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left"/>
        <w:rPr>
          <w:rFonts w:hint="eastAsia" w:hAnsi="宋体"/>
          <w:b/>
          <w:bCs/>
          <w:color w:val="000000"/>
        </w:rPr>
      </w:pPr>
      <w:r>
        <w:rPr>
          <w:rFonts w:hint="eastAsia" w:hAnsi="宋体"/>
          <w:b/>
          <w:bCs/>
          <w:color w:val="000000"/>
        </w:rPr>
        <w:drawing>
          <wp:inline distT="0" distB="0" distL="114300" distR="114300">
            <wp:extent cx="5270500" cy="7618730"/>
            <wp:effectExtent l="0" t="0" r="6350" b="1270"/>
            <wp:docPr id="127" name="图片 127" descr="169880102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698801029132"/>
                    <pic:cNvPicPr>
                      <a:picLocks noChangeAspect="1"/>
                    </pic:cNvPicPr>
                  </pic:nvPicPr>
                  <pic:blipFill>
                    <a:blip r:embed="rId5"/>
                    <a:stretch>
                      <a:fillRect/>
                    </a:stretch>
                  </pic:blipFill>
                  <pic:spPr>
                    <a:xfrm>
                      <a:off x="0" y="0"/>
                      <a:ext cx="5270500" cy="7618730"/>
                    </a:xfrm>
                    <a:prstGeom prst="rect">
                      <a:avLst/>
                    </a:prstGeom>
                  </pic:spPr>
                </pic:pic>
              </a:graphicData>
            </a:graphic>
          </wp:inline>
        </w:drawing>
      </w:r>
      <w:r>
        <w:rPr>
          <w:rFonts w:hint="eastAsia" w:hAnsi="宋体"/>
          <w:b/>
          <w:bCs/>
          <w:color w:val="000000"/>
        </w:rPr>
        <w:br w:type="textWrapping"/>
      </w:r>
      <w:r>
        <w:rPr>
          <w:rFonts w:hint="eastAsia" w:hAnsi="宋体"/>
          <w:b/>
          <w:bCs/>
          <w:color w:val="000000"/>
        </w:rPr>
        <w:br w:type="textWrapping"/>
      </w:r>
      <w:r>
        <w:rPr>
          <w:rFonts w:hint="eastAsia" w:hAnsi="宋体"/>
          <w:b/>
          <w:bCs/>
          <w:color w:val="000000"/>
        </w:rPr>
        <w:br w:type="textWrapping"/>
      </w:r>
    </w:p>
    <w:p>
      <w:pPr>
        <w:adjustRightInd w:val="0"/>
        <w:snapToGrid w:val="0"/>
        <w:jc w:val="left"/>
        <w:rPr>
          <w:rFonts w:hint="eastAsia" w:hAnsi="宋体"/>
          <w:b/>
          <w:bCs/>
          <w:color w:val="000000"/>
        </w:rPr>
      </w:pPr>
      <w:bookmarkStart w:id="1" w:name="_GoBack"/>
      <w:r>
        <w:rPr>
          <w:rFonts w:hint="eastAsia" w:hAnsi="宋体"/>
          <w:b/>
          <w:bCs/>
          <w:color w:val="000000"/>
        </w:rPr>
        <w:drawing>
          <wp:inline distT="0" distB="0" distL="114300" distR="114300">
            <wp:extent cx="5268595" cy="8039735"/>
            <wp:effectExtent l="0" t="0" r="8255" b="18415"/>
            <wp:docPr id="56" name="图片 5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01"/>
                    <pic:cNvPicPr>
                      <a:picLocks noChangeAspect="1"/>
                    </pic:cNvPicPr>
                  </pic:nvPicPr>
                  <pic:blipFill>
                    <a:blip r:embed="rId6"/>
                    <a:stretch>
                      <a:fillRect/>
                    </a:stretch>
                  </pic:blipFill>
                  <pic:spPr>
                    <a:xfrm>
                      <a:off x="0" y="0"/>
                      <a:ext cx="5268595" cy="8039735"/>
                    </a:xfrm>
                    <a:prstGeom prst="rect">
                      <a:avLst/>
                    </a:prstGeom>
                  </pic:spPr>
                </pic:pic>
              </a:graphicData>
            </a:graphic>
          </wp:inline>
        </w:drawing>
      </w:r>
      <w:bookmarkEnd w:id="1"/>
    </w:p>
    <w:p>
      <w:pPr>
        <w:adjustRightInd w:val="0"/>
        <w:snapToGrid w:val="0"/>
        <w:jc w:val="left"/>
        <w:rPr>
          <w:rFonts w:hint="eastAsia" w:hAnsi="宋体"/>
          <w:b/>
          <w:bCs/>
          <w:color w:val="000000"/>
        </w:rPr>
      </w:pPr>
    </w:p>
    <w:p>
      <w:pPr>
        <w:adjustRightInd w:val="0"/>
        <w:snapToGrid w:val="0"/>
        <w:jc w:val="left"/>
        <w:rPr>
          <w:rFonts w:hint="eastAsia" w:hAnsi="宋体"/>
          <w:b/>
          <w:bCs/>
          <w:color w:val="000000"/>
        </w:rPr>
      </w:pPr>
    </w:p>
    <w:p>
      <w:pPr>
        <w:adjustRightInd w:val="0"/>
        <w:snapToGrid w:val="0"/>
        <w:jc w:val="left"/>
        <w:rPr>
          <w:rFonts w:hint="eastAsia" w:hAnsi="宋体"/>
          <w:b/>
          <w:bCs/>
          <w:color w:val="000000"/>
        </w:rPr>
      </w:pPr>
    </w:p>
    <w:p>
      <w:pPr>
        <w:pStyle w:val="2"/>
        <w:keepNext w:val="0"/>
        <w:keepLines w:val="0"/>
        <w:pageBreakBefore w:val="0"/>
        <w:widowControl w:val="0"/>
        <w:kinsoku/>
        <w:wordWrap/>
        <w:overflowPunct/>
        <w:topLinePunct w:val="0"/>
        <w:autoSpaceDE/>
        <w:autoSpaceDN/>
        <w:bidi w:val="0"/>
        <w:adjustRightInd/>
        <w:snapToGrid/>
        <w:ind w:left="0" w:right="102" w:firstLine="425"/>
        <w:textAlignment w:val="auto"/>
        <w:rPr>
          <w:rFonts w:hint="eastAsia" w:hAnsi="宋体" w:eastAsia="宋体"/>
          <w:b/>
          <w:bCs/>
          <w:color w:val="000000"/>
          <w:lang w:eastAsia="zh-CN"/>
        </w:rPr>
      </w:pPr>
      <w:r>
        <w:rPr>
          <w:rFonts w:hint="eastAsia" w:hAnsi="宋体" w:eastAsia="宋体"/>
          <w:b/>
          <w:bCs/>
          <w:color w:val="000000"/>
          <w:lang w:eastAsia="zh-CN"/>
        </w:rPr>
        <w:drawing>
          <wp:inline distT="0" distB="0" distL="114300" distR="114300">
            <wp:extent cx="5427980" cy="7593330"/>
            <wp:effectExtent l="0" t="0" r="1270" b="7620"/>
            <wp:docPr id="59" name="图片 5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02"/>
                    <pic:cNvPicPr>
                      <a:picLocks noChangeAspect="1"/>
                    </pic:cNvPicPr>
                  </pic:nvPicPr>
                  <pic:blipFill>
                    <a:blip r:embed="rId7"/>
                    <a:stretch>
                      <a:fillRect/>
                    </a:stretch>
                  </pic:blipFill>
                  <pic:spPr>
                    <a:xfrm>
                      <a:off x="0" y="0"/>
                      <a:ext cx="5427980" cy="7593330"/>
                    </a:xfrm>
                    <a:prstGeom prst="rect">
                      <a:avLst/>
                    </a:prstGeom>
                  </pic:spPr>
                </pic:pic>
              </a:graphicData>
            </a:graphic>
          </wp:inline>
        </w:drawing>
      </w:r>
    </w:p>
    <w:p>
      <w:pPr>
        <w:rPr>
          <w:rFonts w:hint="eastAsia" w:hAnsi="宋体"/>
          <w:b/>
          <w:bCs/>
          <w:color w:val="000000"/>
        </w:rPr>
      </w:pPr>
    </w:p>
    <w:p>
      <w:pPr>
        <w:pStyle w:val="2"/>
        <w:rPr>
          <w:rFonts w:hint="eastAsia" w:hAnsi="宋体"/>
          <w:b/>
          <w:bCs/>
          <w:color w:val="00000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hAnsi="宋体" w:eastAsia="宋体"/>
          <w:b/>
          <w:bCs/>
          <w:color w:val="000000"/>
          <w:lang w:eastAsia="zh-CN"/>
        </w:rPr>
        <w:drawing>
          <wp:inline distT="0" distB="0" distL="114300" distR="114300">
            <wp:extent cx="7967345" cy="5003800"/>
            <wp:effectExtent l="0" t="0" r="14605" b="6350"/>
            <wp:docPr id="62" name="图片 62" descr="169880039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98800399279"/>
                    <pic:cNvPicPr>
                      <a:picLocks noChangeAspect="1"/>
                    </pic:cNvPicPr>
                  </pic:nvPicPr>
                  <pic:blipFill>
                    <a:blip r:embed="rId8"/>
                    <a:stretch>
                      <a:fillRect/>
                    </a:stretch>
                  </pic:blipFill>
                  <pic:spPr>
                    <a:xfrm>
                      <a:off x="0" y="0"/>
                      <a:ext cx="7967345" cy="5003800"/>
                    </a:xfrm>
                    <a:prstGeom prst="rect">
                      <a:avLst/>
                    </a:prstGeom>
                  </pic:spPr>
                </pic:pic>
              </a:graphicData>
            </a:graphic>
          </wp:inline>
        </w:drawing>
      </w:r>
      <w:r>
        <w:rPr>
          <w:rFonts w:hint="eastAsia" w:hAnsi="宋体" w:eastAsia="宋体"/>
          <w:b/>
          <w:bCs/>
          <w:color w:val="000000"/>
          <w:lang w:eastAsia="zh-CN"/>
        </w:rPr>
        <w:br w:type="textWrapping"/>
      </w:r>
      <w:r>
        <w:rPr>
          <w:rFonts w:hint="eastAsia"/>
          <w:lang w:val="en-US" w:eastAsia="zh-CN"/>
        </w:rPr>
        <w:t xml:space="preserve">    </w:t>
      </w:r>
      <w:r>
        <w:rPr>
          <w:rFonts w:hint="eastAsia"/>
          <w:lang w:eastAsia="zh-CN"/>
        </w:rPr>
        <w:drawing>
          <wp:inline distT="0" distB="0" distL="114300" distR="114300">
            <wp:extent cx="7735570" cy="5273040"/>
            <wp:effectExtent l="0" t="0" r="17780" b="3810"/>
            <wp:docPr id="65" name="图片 65" descr="169880047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98800470210"/>
                    <pic:cNvPicPr>
                      <a:picLocks noChangeAspect="1"/>
                    </pic:cNvPicPr>
                  </pic:nvPicPr>
                  <pic:blipFill>
                    <a:blip r:embed="rId9"/>
                    <a:stretch>
                      <a:fillRect/>
                    </a:stretch>
                  </pic:blipFill>
                  <pic:spPr>
                    <a:xfrm>
                      <a:off x="0" y="0"/>
                      <a:ext cx="7735570" cy="5273040"/>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5271135" cy="7938770"/>
            <wp:effectExtent l="0" t="0" r="5715" b="5080"/>
            <wp:docPr id="68" name="图片 68" descr="169880052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698800526911"/>
                    <pic:cNvPicPr>
                      <a:picLocks noChangeAspect="1"/>
                    </pic:cNvPicPr>
                  </pic:nvPicPr>
                  <pic:blipFill>
                    <a:blip r:embed="rId10"/>
                    <a:stretch>
                      <a:fillRect/>
                    </a:stretch>
                  </pic:blipFill>
                  <pic:spPr>
                    <a:xfrm>
                      <a:off x="0" y="0"/>
                      <a:ext cx="5271135" cy="7938770"/>
                    </a:xfrm>
                    <a:prstGeom prst="rect">
                      <a:avLst/>
                    </a:prstGeom>
                  </pic:spPr>
                </pic:pic>
              </a:graphicData>
            </a:graphic>
          </wp:inline>
        </w:drawing>
      </w:r>
    </w:p>
    <w:p>
      <w:pPr>
        <w:rPr>
          <w:rFonts w:hint="eastAsia" w:hAnsi="宋体"/>
          <w:b/>
          <w:bCs/>
          <w:color w:val="000000"/>
        </w:rPr>
      </w:pPr>
    </w:p>
    <w:p>
      <w:pPr>
        <w:adjustRightInd w:val="0"/>
        <w:snapToGrid w:val="0"/>
        <w:ind w:firstLine="1687" w:firstLineChars="600"/>
        <w:jc w:val="left"/>
        <w:rPr>
          <w:rFonts w:hint="eastAsia" w:hAnsi="宋体"/>
          <w:b/>
          <w:bCs/>
          <w:color w:val="000000"/>
        </w:rPr>
      </w:pPr>
      <w:r>
        <w:rPr>
          <w:rFonts w:hint="eastAsia" w:hAnsi="宋体"/>
          <w:b/>
          <w:bCs/>
          <w:color w:val="000000"/>
        </w:rPr>
        <w:t xml:space="preserve"> </w:t>
      </w:r>
    </w:p>
    <w:p>
      <w:pPr>
        <w:adjustRightInd w:val="0"/>
        <w:snapToGrid w:val="0"/>
        <w:ind w:firstLine="1687" w:firstLineChars="600"/>
        <w:jc w:val="left"/>
        <w:rPr>
          <w:b/>
          <w:bCs/>
          <w:color w:val="000000"/>
        </w:rPr>
      </w:pPr>
      <w:r>
        <w:rPr>
          <w:rFonts w:hint="eastAsia" w:hAnsi="宋体"/>
          <w:b/>
          <w:bCs/>
          <w:color w:val="000000"/>
        </w:rPr>
        <w:t>一、</w:t>
      </w:r>
      <w:r>
        <w:rPr>
          <w:rFonts w:hAnsi="宋体"/>
          <w:b/>
          <w:bCs/>
          <w:color w:val="000000"/>
        </w:rPr>
        <w:t>建设项目基本情况</w:t>
      </w:r>
    </w:p>
    <w:tbl>
      <w:tblPr>
        <w:tblStyle w:val="24"/>
        <w:tblW w:w="9580" w:type="dxa"/>
        <w:jc w:val="center"/>
        <w:tblLayout w:type="fixed"/>
        <w:tblCellMar>
          <w:top w:w="0" w:type="dxa"/>
          <w:left w:w="108" w:type="dxa"/>
          <w:bottom w:w="0" w:type="dxa"/>
          <w:right w:w="108" w:type="dxa"/>
        </w:tblCellMar>
      </w:tblPr>
      <w:tblGrid>
        <w:gridCol w:w="1204"/>
        <w:gridCol w:w="2588"/>
        <w:gridCol w:w="2268"/>
        <w:gridCol w:w="3520"/>
      </w:tblGrid>
      <w:tr>
        <w:tblPrEx>
          <w:tblCellMar>
            <w:top w:w="0" w:type="dxa"/>
            <w:left w:w="108" w:type="dxa"/>
            <w:bottom w:w="0" w:type="dxa"/>
            <w:right w:w="108" w:type="dxa"/>
          </w:tblCellMar>
        </w:tblPrEx>
        <w:trPr>
          <w:trHeight w:val="463" w:hRule="atLeast"/>
          <w:jc w:val="center"/>
        </w:trPr>
        <w:tc>
          <w:tcPr>
            <w:tcW w:w="1204" w:type="dxa"/>
            <w:tcBorders>
              <w:top w:val="single" w:color="auto" w:sz="8" w:space="0"/>
              <w:left w:val="single" w:color="auto" w:sz="8" w:space="0"/>
              <w:bottom w:val="single" w:color="auto" w:sz="4" w:space="0"/>
              <w:right w:val="single" w:color="auto" w:sz="4" w:space="0"/>
            </w:tcBorders>
            <w:vAlign w:val="center"/>
          </w:tcPr>
          <w:p>
            <w:pPr>
              <w:jc w:val="center"/>
              <w:rPr>
                <w:color w:val="000000"/>
                <w:sz w:val="24"/>
                <w:szCs w:val="24"/>
              </w:rPr>
            </w:pPr>
            <w:r>
              <w:rPr>
                <w:rFonts w:hint="eastAsia" w:hAnsi="宋体"/>
                <w:color w:val="000000"/>
                <w:sz w:val="24"/>
                <w:szCs w:val="24"/>
              </w:rPr>
              <w:t>建设</w:t>
            </w:r>
            <w:r>
              <w:rPr>
                <w:rFonts w:hAnsi="宋体"/>
                <w:color w:val="000000"/>
                <w:sz w:val="24"/>
                <w:szCs w:val="24"/>
              </w:rPr>
              <w:t>项目名称</w:t>
            </w:r>
          </w:p>
        </w:tc>
        <w:tc>
          <w:tcPr>
            <w:tcW w:w="8376" w:type="dxa"/>
            <w:gridSpan w:val="3"/>
            <w:tcBorders>
              <w:top w:val="single" w:color="auto" w:sz="8" w:space="0"/>
              <w:left w:val="nil"/>
              <w:bottom w:val="single" w:color="auto" w:sz="4" w:space="0"/>
              <w:right w:val="single" w:color="auto" w:sz="8" w:space="0"/>
            </w:tcBorders>
            <w:vAlign w:val="center"/>
          </w:tcPr>
          <w:p>
            <w:pPr>
              <w:jc w:val="center"/>
              <w:rPr>
                <w:rFonts w:hAnsi="宋体"/>
                <w:color w:val="000000"/>
                <w:sz w:val="24"/>
                <w:szCs w:val="24"/>
              </w:rPr>
            </w:pPr>
            <w:r>
              <w:rPr>
                <w:rFonts w:hint="eastAsia"/>
                <w:sz w:val="24"/>
              </w:rPr>
              <w:t>新乡市鑫瑞新型建材有限公司</w:t>
            </w:r>
            <w:r>
              <w:rPr>
                <w:rFonts w:hint="eastAsia"/>
                <w:sz w:val="24"/>
                <w:lang w:eastAsia="zh-CN"/>
              </w:rPr>
              <w:t>年生产</w:t>
            </w:r>
            <w:r>
              <w:rPr>
                <w:rFonts w:hint="eastAsia"/>
                <w:sz w:val="24"/>
              </w:rPr>
              <w:t>60万立方米商品混凝土项目</w:t>
            </w:r>
          </w:p>
        </w:tc>
      </w:tr>
      <w:tr>
        <w:tblPrEx>
          <w:tblCellMar>
            <w:top w:w="0" w:type="dxa"/>
            <w:left w:w="108" w:type="dxa"/>
            <w:bottom w:w="0" w:type="dxa"/>
            <w:right w:w="108" w:type="dxa"/>
          </w:tblCellMar>
        </w:tblPrEx>
        <w:trPr>
          <w:trHeight w:val="463"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rFonts w:hAnsi="宋体"/>
                <w:color w:val="000000"/>
                <w:sz w:val="24"/>
                <w:szCs w:val="24"/>
              </w:rPr>
            </w:pPr>
            <w:r>
              <w:rPr>
                <w:rFonts w:hint="eastAsia" w:hAnsi="宋体"/>
                <w:color w:val="000000"/>
                <w:sz w:val="24"/>
                <w:szCs w:val="24"/>
              </w:rPr>
              <w:t>项目代码</w:t>
            </w:r>
          </w:p>
        </w:tc>
        <w:tc>
          <w:tcPr>
            <w:tcW w:w="8376" w:type="dxa"/>
            <w:gridSpan w:val="3"/>
            <w:tcBorders>
              <w:top w:val="single" w:color="auto" w:sz="4" w:space="0"/>
              <w:left w:val="nil"/>
              <w:bottom w:val="single" w:color="auto" w:sz="4" w:space="0"/>
              <w:right w:val="single" w:color="auto" w:sz="8" w:space="0"/>
            </w:tcBorders>
            <w:vAlign w:val="center"/>
          </w:tcPr>
          <w:p>
            <w:pPr>
              <w:jc w:val="center"/>
              <w:rPr>
                <w:rFonts w:hint="eastAsia" w:hAnsi="宋体" w:eastAsia="宋体"/>
                <w:sz w:val="24"/>
                <w:szCs w:val="24"/>
                <w:lang w:eastAsia="zh-CN"/>
              </w:rPr>
            </w:pPr>
            <w:r>
              <w:rPr>
                <w:rFonts w:hint="eastAsia"/>
                <w:sz w:val="24"/>
                <w:lang w:eastAsia="zh-CN"/>
              </w:rPr>
              <w:t>2309-410721-04-01-307199</w:t>
            </w:r>
          </w:p>
        </w:tc>
      </w:tr>
      <w:tr>
        <w:tblPrEx>
          <w:tblCellMar>
            <w:top w:w="0" w:type="dxa"/>
            <w:left w:w="108" w:type="dxa"/>
            <w:bottom w:w="0" w:type="dxa"/>
            <w:right w:w="108" w:type="dxa"/>
          </w:tblCellMar>
        </w:tblPrEx>
        <w:trPr>
          <w:trHeight w:val="468"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color w:val="000000"/>
                <w:sz w:val="24"/>
                <w:szCs w:val="24"/>
              </w:rPr>
            </w:pPr>
            <w:r>
              <w:rPr>
                <w:rFonts w:hAnsi="宋体"/>
                <w:color w:val="000000"/>
                <w:sz w:val="24"/>
                <w:szCs w:val="24"/>
              </w:rPr>
              <w:t>建设单位</w:t>
            </w:r>
            <w:r>
              <w:rPr>
                <w:rFonts w:hint="eastAsia" w:hAnsi="宋体"/>
                <w:color w:val="000000"/>
                <w:sz w:val="24"/>
                <w:szCs w:val="24"/>
              </w:rPr>
              <w:t>联系人</w:t>
            </w:r>
          </w:p>
        </w:tc>
        <w:tc>
          <w:tcPr>
            <w:tcW w:w="2588" w:type="dxa"/>
            <w:tcBorders>
              <w:top w:val="single" w:color="auto" w:sz="4" w:space="0"/>
              <w:left w:val="nil"/>
              <w:bottom w:val="single" w:color="auto" w:sz="4" w:space="0"/>
              <w:right w:val="single" w:color="auto" w:sz="4" w:space="0"/>
            </w:tcBorders>
            <w:vAlign w:val="center"/>
          </w:tcPr>
          <w:p>
            <w:pPr>
              <w:jc w:val="center"/>
              <w:rPr>
                <w:sz w:val="24"/>
              </w:rPr>
            </w:pPr>
            <w:r>
              <w:rPr>
                <w:rFonts w:hint="eastAsia"/>
                <w:sz w:val="24"/>
              </w:rPr>
              <w:t>贾玉杰</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szCs w:val="24"/>
              </w:rPr>
            </w:pPr>
            <w:r>
              <w:rPr>
                <w:rFonts w:hint="eastAsia"/>
                <w:color w:val="000000"/>
                <w:sz w:val="24"/>
                <w:szCs w:val="24"/>
              </w:rPr>
              <w:t>联系方式</w:t>
            </w:r>
          </w:p>
        </w:tc>
        <w:tc>
          <w:tcPr>
            <w:tcW w:w="3520" w:type="dxa"/>
            <w:tcBorders>
              <w:top w:val="single" w:color="auto" w:sz="4" w:space="0"/>
              <w:left w:val="single" w:color="auto" w:sz="4" w:space="0"/>
              <w:bottom w:val="single" w:color="auto" w:sz="4" w:space="0"/>
              <w:right w:val="single" w:color="auto" w:sz="8" w:space="0"/>
            </w:tcBorders>
            <w:vAlign w:val="center"/>
          </w:tcPr>
          <w:p>
            <w:pPr>
              <w:jc w:val="center"/>
              <w:rPr>
                <w:b/>
                <w:color w:val="000000"/>
                <w:sz w:val="24"/>
                <w:szCs w:val="24"/>
              </w:rPr>
            </w:pPr>
            <w:r>
              <w:rPr>
                <w:sz w:val="24"/>
              </w:rPr>
              <w:t>13262130777</w:t>
            </w:r>
          </w:p>
        </w:tc>
      </w:tr>
      <w:tr>
        <w:tblPrEx>
          <w:tblCellMar>
            <w:top w:w="0" w:type="dxa"/>
            <w:left w:w="108" w:type="dxa"/>
            <w:bottom w:w="0" w:type="dxa"/>
            <w:right w:w="108" w:type="dxa"/>
          </w:tblCellMar>
        </w:tblPrEx>
        <w:trPr>
          <w:trHeight w:val="468"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z w:val="24"/>
                <w:szCs w:val="24"/>
              </w:rPr>
            </w:pPr>
            <w:r>
              <w:rPr>
                <w:rFonts w:hint="eastAsia"/>
                <w:sz w:val="24"/>
              </w:rPr>
              <w:t>法人代表</w:t>
            </w:r>
          </w:p>
        </w:tc>
        <w:tc>
          <w:tcPr>
            <w:tcW w:w="2588" w:type="dxa"/>
            <w:tcBorders>
              <w:top w:val="single" w:color="auto" w:sz="4" w:space="0"/>
              <w:left w:val="nil"/>
              <w:bottom w:val="single" w:color="auto" w:sz="4" w:space="0"/>
              <w:right w:val="single" w:color="auto" w:sz="4" w:space="0"/>
            </w:tcBorders>
            <w:vAlign w:val="center"/>
          </w:tcPr>
          <w:p>
            <w:pPr>
              <w:adjustRightInd w:val="0"/>
              <w:snapToGrid w:val="0"/>
              <w:jc w:val="center"/>
              <w:rPr>
                <w:sz w:val="24"/>
              </w:rPr>
            </w:pPr>
            <w:r>
              <w:rPr>
                <w:sz w:val="24"/>
              </w:rPr>
              <w:t>娄艳菊410721199901143015</w:t>
            </w:r>
          </w:p>
        </w:tc>
        <w:tc>
          <w:tcPr>
            <w:tcW w:w="22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4"/>
                <w:szCs w:val="24"/>
              </w:rPr>
            </w:pPr>
            <w:r>
              <w:rPr>
                <w:rFonts w:hint="eastAsia"/>
                <w:sz w:val="24"/>
              </w:rPr>
              <w:t>统一社会信用代码</w:t>
            </w:r>
          </w:p>
        </w:tc>
        <w:tc>
          <w:tcPr>
            <w:tcW w:w="3520"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 w:val="24"/>
                <w:szCs w:val="24"/>
              </w:rPr>
            </w:pPr>
            <w:r>
              <w:rPr>
                <w:sz w:val="24"/>
                <w:szCs w:val="24"/>
              </w:rPr>
              <w:t>91410721MA9GGPMK7T</w:t>
            </w:r>
          </w:p>
        </w:tc>
      </w:tr>
      <w:tr>
        <w:tblPrEx>
          <w:tblCellMar>
            <w:top w:w="0" w:type="dxa"/>
            <w:left w:w="108" w:type="dxa"/>
            <w:bottom w:w="0" w:type="dxa"/>
            <w:right w:w="108" w:type="dxa"/>
          </w:tblCellMar>
        </w:tblPrEx>
        <w:trPr>
          <w:trHeight w:val="460"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color w:val="000000"/>
                <w:sz w:val="24"/>
                <w:szCs w:val="24"/>
              </w:rPr>
            </w:pPr>
            <w:r>
              <w:rPr>
                <w:rFonts w:hint="eastAsia" w:hAnsi="宋体"/>
                <w:color w:val="000000"/>
                <w:sz w:val="24"/>
                <w:szCs w:val="24"/>
              </w:rPr>
              <w:t>建设地点</w:t>
            </w:r>
          </w:p>
        </w:tc>
        <w:tc>
          <w:tcPr>
            <w:tcW w:w="8376" w:type="dxa"/>
            <w:gridSpan w:val="3"/>
            <w:tcBorders>
              <w:top w:val="single" w:color="auto" w:sz="4" w:space="0"/>
              <w:left w:val="nil"/>
              <w:bottom w:val="single" w:color="auto" w:sz="4" w:space="0"/>
              <w:right w:val="single" w:color="auto" w:sz="8" w:space="0"/>
            </w:tcBorders>
            <w:vAlign w:val="center"/>
          </w:tcPr>
          <w:p>
            <w:pPr>
              <w:jc w:val="center"/>
              <w:rPr>
                <w:color w:val="000000" w:themeColor="text1"/>
                <w:sz w:val="24"/>
                <w:szCs w:val="24"/>
                <w14:textFill>
                  <w14:solidFill>
                    <w14:schemeClr w14:val="tx1"/>
                  </w14:solidFill>
                </w14:textFill>
              </w:rPr>
            </w:pPr>
            <w:r>
              <w:rPr>
                <w:rFonts w:hint="eastAsia"/>
                <w:sz w:val="24"/>
                <w:lang w:val="en-US" w:eastAsia="zh-CN"/>
              </w:rPr>
              <w:t>河南省</w:t>
            </w:r>
            <w:r>
              <w:rPr>
                <w:rFonts w:hint="eastAsia"/>
                <w:sz w:val="24"/>
              </w:rPr>
              <w:t>新乡市新乡县七里营镇敦留店村</w:t>
            </w:r>
            <w:r>
              <w:rPr>
                <w:sz w:val="24"/>
              </w:rPr>
              <w:t>1151</w:t>
            </w:r>
            <w:r>
              <w:rPr>
                <w:rFonts w:hint="eastAsia"/>
                <w:sz w:val="24"/>
              </w:rPr>
              <w:t>号</w:t>
            </w:r>
          </w:p>
        </w:tc>
      </w:tr>
      <w:tr>
        <w:tblPrEx>
          <w:tblCellMar>
            <w:top w:w="0" w:type="dxa"/>
            <w:left w:w="108" w:type="dxa"/>
            <w:bottom w:w="0" w:type="dxa"/>
            <w:right w:w="108" w:type="dxa"/>
          </w:tblCellMar>
        </w:tblPrEx>
        <w:trPr>
          <w:trHeight w:val="439"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color w:val="000000"/>
                <w:sz w:val="24"/>
                <w:szCs w:val="24"/>
              </w:rPr>
            </w:pPr>
            <w:r>
              <w:rPr>
                <w:rFonts w:hint="eastAsia" w:hAnsi="宋体"/>
                <w:color w:val="000000"/>
                <w:sz w:val="24"/>
                <w:szCs w:val="24"/>
              </w:rPr>
              <w:t>地理坐标</w:t>
            </w:r>
          </w:p>
        </w:tc>
        <w:tc>
          <w:tcPr>
            <w:tcW w:w="8376" w:type="dxa"/>
            <w:gridSpan w:val="3"/>
            <w:tcBorders>
              <w:top w:val="single" w:color="auto" w:sz="4" w:space="0"/>
              <w:left w:val="nil"/>
              <w:bottom w:val="single" w:color="auto" w:sz="4" w:space="0"/>
              <w:right w:val="single" w:color="auto" w:sz="8" w:space="0"/>
            </w:tcBorders>
            <w:vAlign w:val="center"/>
          </w:tcPr>
          <w:p>
            <w:pPr>
              <w:jc w:val="center"/>
              <w:rPr>
                <w:sz w:val="24"/>
                <w:szCs w:val="24"/>
              </w:rPr>
            </w:pPr>
            <w:r>
              <w:rPr>
                <w:rFonts w:hint="eastAsia"/>
                <w:sz w:val="24"/>
              </w:rPr>
              <w:t>（经度</w:t>
            </w:r>
            <w:r>
              <w:rPr>
                <w:sz w:val="24"/>
                <w:u w:val="single"/>
              </w:rPr>
              <w:t>113</w:t>
            </w:r>
            <w:r>
              <w:rPr>
                <w:rFonts w:hint="eastAsia"/>
                <w:sz w:val="24"/>
              </w:rPr>
              <w:t>度</w:t>
            </w:r>
            <w:r>
              <w:rPr>
                <w:rFonts w:hint="eastAsia"/>
                <w:sz w:val="24"/>
                <w:u w:val="single"/>
              </w:rPr>
              <w:t>44</w:t>
            </w:r>
            <w:r>
              <w:rPr>
                <w:rFonts w:hint="eastAsia"/>
                <w:sz w:val="24"/>
              </w:rPr>
              <w:t>分</w:t>
            </w:r>
            <w:r>
              <w:rPr>
                <w:rFonts w:hint="eastAsia"/>
                <w:sz w:val="24"/>
                <w:u w:val="single"/>
              </w:rPr>
              <w:t>00.4</w:t>
            </w:r>
            <w:r>
              <w:rPr>
                <w:rFonts w:hint="eastAsia"/>
                <w:sz w:val="24"/>
              </w:rPr>
              <w:t>秒，纬度</w:t>
            </w:r>
            <w:r>
              <w:rPr>
                <w:sz w:val="24"/>
                <w:u w:val="single"/>
              </w:rPr>
              <w:t xml:space="preserve">35 </w:t>
            </w:r>
            <w:r>
              <w:rPr>
                <w:rFonts w:hint="eastAsia"/>
                <w:sz w:val="24"/>
              </w:rPr>
              <w:t>度</w:t>
            </w:r>
            <w:r>
              <w:rPr>
                <w:rFonts w:hint="eastAsia"/>
                <w:sz w:val="24"/>
                <w:u w:val="single"/>
              </w:rPr>
              <w:t>08</w:t>
            </w:r>
            <w:r>
              <w:rPr>
                <w:rFonts w:hint="eastAsia"/>
                <w:sz w:val="24"/>
              </w:rPr>
              <w:t>分</w:t>
            </w:r>
            <w:r>
              <w:rPr>
                <w:rFonts w:hint="eastAsia"/>
                <w:sz w:val="24"/>
                <w:u w:val="single"/>
              </w:rPr>
              <w:t>59.87</w:t>
            </w:r>
            <w:r>
              <w:rPr>
                <w:rFonts w:hint="eastAsia"/>
                <w:sz w:val="24"/>
              </w:rPr>
              <w:t>秒）</w:t>
            </w:r>
          </w:p>
        </w:tc>
      </w:tr>
      <w:tr>
        <w:tblPrEx>
          <w:tblCellMar>
            <w:top w:w="0" w:type="dxa"/>
            <w:left w:w="108" w:type="dxa"/>
            <w:bottom w:w="0" w:type="dxa"/>
            <w:right w:w="108" w:type="dxa"/>
          </w:tblCellMar>
        </w:tblPrEx>
        <w:trPr>
          <w:trHeight w:val="439"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rFonts w:hAnsi="宋体"/>
                <w:color w:val="000000"/>
                <w:sz w:val="24"/>
                <w:szCs w:val="24"/>
              </w:rPr>
            </w:pPr>
            <w:r>
              <w:rPr>
                <w:rFonts w:hint="eastAsia" w:hAnsi="宋体"/>
                <w:color w:val="000000"/>
                <w:sz w:val="24"/>
                <w:szCs w:val="24"/>
              </w:rPr>
              <w:t>国民经济</w:t>
            </w:r>
          </w:p>
          <w:p>
            <w:pPr>
              <w:jc w:val="center"/>
              <w:rPr>
                <w:rFonts w:hAnsi="宋体"/>
                <w:color w:val="000000"/>
                <w:sz w:val="24"/>
                <w:szCs w:val="24"/>
              </w:rPr>
            </w:pPr>
            <w:r>
              <w:rPr>
                <w:rFonts w:hint="eastAsia" w:hAnsi="宋体"/>
                <w:color w:val="000000"/>
                <w:sz w:val="24"/>
                <w:szCs w:val="24"/>
              </w:rPr>
              <w:t>行业分类</w:t>
            </w:r>
          </w:p>
        </w:tc>
        <w:tc>
          <w:tcPr>
            <w:tcW w:w="2588" w:type="dxa"/>
            <w:tcBorders>
              <w:top w:val="single" w:color="auto" w:sz="4" w:space="0"/>
              <w:left w:val="nil"/>
              <w:bottom w:val="single" w:color="auto" w:sz="4" w:space="0"/>
              <w:right w:val="single" w:color="auto" w:sz="4" w:space="0"/>
            </w:tcBorders>
            <w:vAlign w:val="center"/>
          </w:tcPr>
          <w:p>
            <w:pPr>
              <w:jc w:val="center"/>
              <w:rPr>
                <w:color w:val="000000"/>
                <w:sz w:val="24"/>
                <w:szCs w:val="24"/>
              </w:rPr>
            </w:pPr>
            <w:r>
              <w:rPr>
                <w:sz w:val="24"/>
              </w:rPr>
              <w:t>C</w:t>
            </w:r>
            <w:r>
              <w:rPr>
                <w:rFonts w:hint="eastAsia"/>
                <w:sz w:val="24"/>
              </w:rPr>
              <w:t>3021水泥制品制造</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sz w:val="24"/>
              </w:rPr>
            </w:pPr>
            <w:r>
              <w:rPr>
                <w:rFonts w:hint="eastAsia"/>
                <w:sz w:val="24"/>
              </w:rPr>
              <w:t>建设项目</w:t>
            </w:r>
          </w:p>
          <w:p>
            <w:pPr>
              <w:jc w:val="center"/>
              <w:rPr>
                <w:rFonts w:hint="eastAsia"/>
                <w:sz w:val="24"/>
              </w:rPr>
            </w:pPr>
            <w:r>
              <w:rPr>
                <w:rFonts w:hint="eastAsia"/>
                <w:sz w:val="24"/>
              </w:rPr>
              <w:t>行业类别</w:t>
            </w:r>
          </w:p>
        </w:tc>
        <w:tc>
          <w:tcPr>
            <w:tcW w:w="3520" w:type="dxa"/>
            <w:tcBorders>
              <w:top w:val="single" w:color="auto" w:sz="4" w:space="0"/>
              <w:left w:val="single" w:color="auto" w:sz="4" w:space="0"/>
              <w:bottom w:val="single" w:color="auto" w:sz="4" w:space="0"/>
              <w:right w:val="single" w:color="auto" w:sz="8" w:space="0"/>
            </w:tcBorders>
            <w:vAlign w:val="center"/>
          </w:tcPr>
          <w:p>
            <w:pPr>
              <w:jc w:val="center"/>
              <w:rPr>
                <w:rFonts w:hint="eastAsia"/>
                <w:sz w:val="24"/>
              </w:rPr>
            </w:pPr>
            <w:r>
              <w:rPr>
                <w:rFonts w:hint="eastAsia"/>
                <w:sz w:val="24"/>
              </w:rPr>
              <w:t>二十七、非金属矿物制品业 30：55石膏、水泥制品及类似制品</w:t>
            </w:r>
          </w:p>
          <w:p>
            <w:pPr>
              <w:jc w:val="center"/>
              <w:rPr>
                <w:rFonts w:hint="eastAsia"/>
                <w:sz w:val="24"/>
              </w:rPr>
            </w:pPr>
            <w:r>
              <w:rPr>
                <w:rFonts w:hint="eastAsia"/>
                <w:sz w:val="24"/>
              </w:rPr>
              <w:t>制造302</w:t>
            </w:r>
          </w:p>
        </w:tc>
      </w:tr>
      <w:tr>
        <w:tblPrEx>
          <w:tblCellMar>
            <w:top w:w="0" w:type="dxa"/>
            <w:left w:w="108" w:type="dxa"/>
            <w:bottom w:w="0" w:type="dxa"/>
            <w:right w:w="108" w:type="dxa"/>
          </w:tblCellMar>
        </w:tblPrEx>
        <w:trPr>
          <w:trHeight w:val="439"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rFonts w:hAnsi="宋体"/>
                <w:color w:val="000000"/>
                <w:sz w:val="24"/>
                <w:szCs w:val="24"/>
              </w:rPr>
            </w:pPr>
            <w:r>
              <w:rPr>
                <w:rFonts w:hint="eastAsia" w:hAnsi="宋体"/>
                <w:color w:val="000000"/>
                <w:sz w:val="24"/>
                <w:szCs w:val="24"/>
              </w:rPr>
              <w:t>建设性质</w:t>
            </w:r>
          </w:p>
        </w:tc>
        <w:tc>
          <w:tcPr>
            <w:tcW w:w="2588" w:type="dxa"/>
            <w:tcBorders>
              <w:top w:val="single" w:color="auto" w:sz="4" w:space="0"/>
              <w:left w:val="nil"/>
              <w:bottom w:val="single" w:color="auto" w:sz="4" w:space="0"/>
              <w:right w:val="single" w:color="auto" w:sz="4" w:space="0"/>
            </w:tcBorders>
            <w:vAlign w:val="center"/>
          </w:tcPr>
          <w:p>
            <w:pPr>
              <w:jc w:val="left"/>
              <w:rPr>
                <w:color w:val="000000"/>
                <w:sz w:val="24"/>
                <w:szCs w:val="24"/>
              </w:rPr>
            </w:pPr>
            <w:r>
              <w:rPr>
                <w:color w:val="000000"/>
                <w:sz w:val="24"/>
                <w:szCs w:val="24"/>
              </w:rPr>
              <w:t>√新建（迁建）</w:t>
            </w:r>
          </w:p>
          <w:p>
            <w:pPr>
              <w:jc w:val="left"/>
              <w:rPr>
                <w:color w:val="000000"/>
                <w:sz w:val="24"/>
                <w:szCs w:val="24"/>
              </w:rPr>
            </w:pPr>
            <w:r>
              <w:rPr>
                <w:color w:val="000000"/>
                <w:sz w:val="24"/>
                <w:szCs w:val="24"/>
              </w:rPr>
              <w:t>□改</w:t>
            </w:r>
            <w:r>
              <w:rPr>
                <w:rFonts w:hint="eastAsia"/>
                <w:color w:val="000000"/>
                <w:sz w:val="24"/>
                <w:szCs w:val="24"/>
              </w:rPr>
              <w:t>扩</w:t>
            </w:r>
            <w:r>
              <w:rPr>
                <w:color w:val="000000"/>
                <w:sz w:val="24"/>
                <w:szCs w:val="24"/>
              </w:rPr>
              <w:t>建</w:t>
            </w:r>
          </w:p>
          <w:p>
            <w:pPr>
              <w:jc w:val="left"/>
              <w:rPr>
                <w:color w:val="000000"/>
                <w:sz w:val="24"/>
                <w:szCs w:val="24"/>
              </w:rPr>
            </w:pPr>
            <w:r>
              <w:rPr>
                <w:color w:val="000000"/>
                <w:sz w:val="24"/>
                <w:szCs w:val="24"/>
              </w:rPr>
              <w:t>□技术改造</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szCs w:val="24"/>
              </w:rPr>
            </w:pPr>
            <w:r>
              <w:rPr>
                <w:color w:val="000000"/>
                <w:sz w:val="24"/>
                <w:szCs w:val="24"/>
              </w:rPr>
              <w:t>建设项目</w:t>
            </w:r>
          </w:p>
          <w:p>
            <w:pPr>
              <w:jc w:val="center"/>
              <w:rPr>
                <w:color w:val="000000"/>
                <w:sz w:val="24"/>
                <w:szCs w:val="24"/>
              </w:rPr>
            </w:pPr>
            <w:r>
              <w:rPr>
                <w:color w:val="000000"/>
                <w:sz w:val="24"/>
                <w:szCs w:val="24"/>
              </w:rPr>
              <w:t>申报情形</w:t>
            </w:r>
          </w:p>
        </w:tc>
        <w:tc>
          <w:tcPr>
            <w:tcW w:w="3520" w:type="dxa"/>
            <w:tcBorders>
              <w:top w:val="single" w:color="auto" w:sz="4" w:space="0"/>
              <w:left w:val="single" w:color="auto" w:sz="4" w:space="0"/>
              <w:bottom w:val="single" w:color="auto" w:sz="4" w:space="0"/>
              <w:right w:val="single" w:color="auto" w:sz="8" w:space="0"/>
            </w:tcBorders>
            <w:vAlign w:val="center"/>
          </w:tcPr>
          <w:p>
            <w:pPr>
              <w:jc w:val="left"/>
              <w:rPr>
                <w:color w:val="000000"/>
                <w:sz w:val="24"/>
                <w:szCs w:val="24"/>
              </w:rPr>
            </w:pPr>
            <w:r>
              <w:rPr>
                <w:color w:val="000000"/>
                <w:sz w:val="24"/>
                <w:szCs w:val="24"/>
              </w:rPr>
              <w:t>√首次申报项目</w:t>
            </w:r>
          </w:p>
          <w:p>
            <w:pPr>
              <w:jc w:val="left"/>
              <w:rPr>
                <w:color w:val="000000"/>
                <w:sz w:val="24"/>
                <w:szCs w:val="24"/>
              </w:rPr>
            </w:pPr>
            <w:r>
              <w:rPr>
                <w:color w:val="000000"/>
                <w:sz w:val="24"/>
                <w:szCs w:val="24"/>
              </w:rPr>
              <w:t>□不予批准后再次申报项目</w:t>
            </w:r>
          </w:p>
          <w:p>
            <w:pPr>
              <w:jc w:val="left"/>
              <w:rPr>
                <w:color w:val="000000"/>
                <w:sz w:val="24"/>
                <w:szCs w:val="24"/>
              </w:rPr>
            </w:pPr>
            <w:r>
              <w:rPr>
                <w:color w:val="000000"/>
                <w:sz w:val="24"/>
                <w:szCs w:val="24"/>
              </w:rPr>
              <w:t>□超五年重新审核项目</w:t>
            </w:r>
          </w:p>
          <w:p>
            <w:pPr>
              <w:jc w:val="left"/>
              <w:rPr>
                <w:color w:val="000000"/>
                <w:sz w:val="24"/>
                <w:szCs w:val="24"/>
              </w:rPr>
            </w:pPr>
            <w:r>
              <w:rPr>
                <w:color w:val="000000"/>
                <w:sz w:val="24"/>
                <w:szCs w:val="24"/>
              </w:rPr>
              <w:t>□重大变动重新报批项目</w:t>
            </w:r>
          </w:p>
        </w:tc>
      </w:tr>
      <w:tr>
        <w:tblPrEx>
          <w:tblCellMar>
            <w:top w:w="0" w:type="dxa"/>
            <w:left w:w="108" w:type="dxa"/>
            <w:bottom w:w="0" w:type="dxa"/>
            <w:right w:w="108" w:type="dxa"/>
          </w:tblCellMar>
        </w:tblPrEx>
        <w:trPr>
          <w:trHeight w:val="439"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rFonts w:hAnsi="宋体"/>
                <w:color w:val="000000"/>
                <w:sz w:val="24"/>
                <w:szCs w:val="24"/>
              </w:rPr>
            </w:pPr>
            <w:r>
              <w:rPr>
                <w:rFonts w:hint="eastAsia" w:hAnsi="宋体"/>
                <w:color w:val="000000"/>
                <w:sz w:val="24"/>
                <w:szCs w:val="24"/>
              </w:rPr>
              <w:t>项目审批（核准</w:t>
            </w:r>
            <w:r>
              <w:rPr>
                <w:rFonts w:hAnsi="宋体"/>
                <w:color w:val="000000"/>
                <w:sz w:val="24"/>
                <w:szCs w:val="24"/>
              </w:rPr>
              <w:t>/</w:t>
            </w:r>
          </w:p>
          <w:p>
            <w:pPr>
              <w:jc w:val="center"/>
              <w:rPr>
                <w:rFonts w:hAnsi="宋体"/>
                <w:color w:val="000000"/>
                <w:sz w:val="24"/>
                <w:szCs w:val="24"/>
              </w:rPr>
            </w:pPr>
            <w:r>
              <w:rPr>
                <w:rFonts w:hint="eastAsia" w:hAnsi="宋体"/>
                <w:color w:val="000000"/>
                <w:sz w:val="24"/>
                <w:szCs w:val="24"/>
              </w:rPr>
              <w:t>备案）部门（选填）</w:t>
            </w:r>
          </w:p>
        </w:tc>
        <w:tc>
          <w:tcPr>
            <w:tcW w:w="2588" w:type="dxa"/>
            <w:tcBorders>
              <w:top w:val="single" w:color="auto" w:sz="4" w:space="0"/>
              <w:left w:val="nil"/>
              <w:bottom w:val="single" w:color="auto" w:sz="4" w:space="0"/>
              <w:right w:val="single" w:color="auto" w:sz="4" w:space="0"/>
            </w:tcBorders>
            <w:vAlign w:val="center"/>
          </w:tcPr>
          <w:p>
            <w:pPr>
              <w:jc w:val="center"/>
              <w:rPr>
                <w:color w:val="000000"/>
                <w:sz w:val="24"/>
                <w:szCs w:val="24"/>
              </w:rPr>
            </w:pPr>
            <w:r>
              <w:rPr>
                <w:rFonts w:hint="eastAsia"/>
                <w:color w:val="000000"/>
                <w:sz w:val="24"/>
                <w:szCs w:val="24"/>
              </w:rPr>
              <w:t>新乡县发展和改革委员会</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szCs w:val="24"/>
              </w:rPr>
            </w:pPr>
            <w:r>
              <w:rPr>
                <w:color w:val="000000"/>
                <w:sz w:val="24"/>
                <w:szCs w:val="24"/>
              </w:rPr>
              <w:t>项目审批（核准/</w:t>
            </w:r>
          </w:p>
          <w:p>
            <w:pPr>
              <w:jc w:val="center"/>
              <w:rPr>
                <w:color w:val="000000"/>
                <w:sz w:val="24"/>
                <w:szCs w:val="24"/>
              </w:rPr>
            </w:pPr>
            <w:r>
              <w:rPr>
                <w:color w:val="000000"/>
                <w:sz w:val="24"/>
                <w:szCs w:val="24"/>
              </w:rPr>
              <w:t>备案）文号（选填）</w:t>
            </w:r>
          </w:p>
        </w:tc>
        <w:tc>
          <w:tcPr>
            <w:tcW w:w="3520" w:type="dxa"/>
            <w:tcBorders>
              <w:top w:val="single" w:color="auto" w:sz="4" w:space="0"/>
              <w:left w:val="single" w:color="auto" w:sz="4" w:space="0"/>
              <w:bottom w:val="single" w:color="auto" w:sz="4" w:space="0"/>
              <w:right w:val="single" w:color="auto" w:sz="8" w:space="0"/>
            </w:tcBorders>
            <w:vAlign w:val="center"/>
          </w:tcPr>
          <w:p>
            <w:pPr>
              <w:jc w:val="center"/>
              <w:rPr>
                <w:rFonts w:hint="eastAsia" w:eastAsia="宋体"/>
                <w:sz w:val="24"/>
                <w:szCs w:val="24"/>
                <w:lang w:eastAsia="zh-CN"/>
              </w:rPr>
            </w:pPr>
            <w:r>
              <w:rPr>
                <w:rFonts w:hint="eastAsia"/>
                <w:sz w:val="24"/>
                <w:lang w:eastAsia="zh-CN"/>
              </w:rPr>
              <w:t>2309-410721-04-01-307199</w:t>
            </w:r>
          </w:p>
        </w:tc>
      </w:tr>
      <w:tr>
        <w:tblPrEx>
          <w:tblCellMar>
            <w:top w:w="0" w:type="dxa"/>
            <w:left w:w="108" w:type="dxa"/>
            <w:bottom w:w="0" w:type="dxa"/>
            <w:right w:w="108" w:type="dxa"/>
          </w:tblCellMar>
        </w:tblPrEx>
        <w:trPr>
          <w:trHeight w:val="439"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rFonts w:hAnsi="宋体"/>
                <w:color w:val="000000"/>
                <w:sz w:val="24"/>
                <w:szCs w:val="24"/>
              </w:rPr>
            </w:pPr>
            <w:r>
              <w:rPr>
                <w:rFonts w:hint="eastAsia" w:hAnsi="宋体"/>
                <w:color w:val="000000"/>
                <w:sz w:val="24"/>
                <w:szCs w:val="24"/>
              </w:rPr>
              <w:t>总投资（万元）</w:t>
            </w:r>
          </w:p>
        </w:tc>
        <w:tc>
          <w:tcPr>
            <w:tcW w:w="2588" w:type="dxa"/>
            <w:tcBorders>
              <w:top w:val="single" w:color="auto" w:sz="4" w:space="0"/>
              <w:left w:val="nil"/>
              <w:bottom w:val="single" w:color="auto" w:sz="4" w:space="0"/>
              <w:right w:val="single" w:color="auto" w:sz="4" w:space="0"/>
            </w:tcBorders>
            <w:vAlign w:val="center"/>
          </w:tcPr>
          <w:p>
            <w:pPr>
              <w:adjustRightInd w:val="0"/>
              <w:snapToGrid w:val="0"/>
              <w:jc w:val="center"/>
              <w:rPr>
                <w:sz w:val="24"/>
                <w:szCs w:val="24"/>
              </w:rPr>
            </w:pPr>
            <w:r>
              <w:rPr>
                <w:rFonts w:hint="eastAsia"/>
                <w:sz w:val="24"/>
              </w:rPr>
              <w:t>700</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sz w:val="24"/>
                <w:szCs w:val="24"/>
              </w:rPr>
              <w:t>环保投资（万元）</w:t>
            </w:r>
          </w:p>
        </w:tc>
        <w:tc>
          <w:tcPr>
            <w:tcW w:w="3520"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 w:val="24"/>
                <w:szCs w:val="24"/>
              </w:rPr>
            </w:pPr>
            <w:r>
              <w:rPr>
                <w:rFonts w:hint="eastAsia"/>
                <w:sz w:val="24"/>
                <w:lang w:val="en-US" w:eastAsia="zh-CN"/>
              </w:rPr>
              <w:t>1</w:t>
            </w:r>
            <w:r>
              <w:rPr>
                <w:rFonts w:hint="eastAsia"/>
                <w:sz w:val="24"/>
              </w:rPr>
              <w:t>50</w:t>
            </w:r>
          </w:p>
        </w:tc>
      </w:tr>
      <w:tr>
        <w:tblPrEx>
          <w:tblCellMar>
            <w:top w:w="0" w:type="dxa"/>
            <w:left w:w="108" w:type="dxa"/>
            <w:bottom w:w="0" w:type="dxa"/>
            <w:right w:w="108" w:type="dxa"/>
          </w:tblCellMar>
        </w:tblPrEx>
        <w:trPr>
          <w:trHeight w:val="439"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rFonts w:hAnsi="宋体"/>
                <w:color w:val="000000"/>
                <w:sz w:val="24"/>
                <w:szCs w:val="24"/>
              </w:rPr>
            </w:pPr>
            <w:r>
              <w:rPr>
                <w:rFonts w:hint="eastAsia" w:hAnsi="宋体"/>
                <w:color w:val="000000"/>
                <w:sz w:val="24"/>
                <w:szCs w:val="24"/>
              </w:rPr>
              <w:t>环保投资占比（</w:t>
            </w:r>
            <w:r>
              <w:rPr>
                <w:rFonts w:hAnsi="宋体"/>
                <w:color w:val="000000"/>
                <w:sz w:val="24"/>
                <w:szCs w:val="24"/>
              </w:rPr>
              <w:t>%</w:t>
            </w:r>
            <w:r>
              <w:rPr>
                <w:rFonts w:hint="eastAsia" w:hAnsi="宋体"/>
                <w:color w:val="000000"/>
                <w:sz w:val="24"/>
                <w:szCs w:val="24"/>
              </w:rPr>
              <w:t>）</w:t>
            </w:r>
          </w:p>
        </w:tc>
        <w:tc>
          <w:tcPr>
            <w:tcW w:w="2588" w:type="dxa"/>
            <w:tcBorders>
              <w:top w:val="single" w:color="auto" w:sz="4" w:space="0"/>
              <w:left w:val="nil"/>
              <w:bottom w:val="single" w:color="auto" w:sz="4" w:space="0"/>
              <w:right w:val="single" w:color="auto" w:sz="4" w:space="0"/>
            </w:tcBorders>
            <w:vAlign w:val="center"/>
          </w:tcPr>
          <w:p>
            <w:pPr>
              <w:adjustRightInd w:val="0"/>
              <w:snapToGrid w:val="0"/>
              <w:jc w:val="center"/>
              <w:rPr>
                <w:rFonts w:hint="default" w:eastAsia="宋体"/>
                <w:sz w:val="24"/>
                <w:szCs w:val="24"/>
                <w:lang w:val="en-US" w:eastAsia="zh-CN"/>
              </w:rPr>
            </w:pPr>
            <w:r>
              <w:rPr>
                <w:rFonts w:hint="eastAsia"/>
                <w:sz w:val="24"/>
                <w:lang w:val="en-US" w:eastAsia="zh-CN"/>
              </w:rPr>
              <w:t>21.4</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sz w:val="24"/>
                <w:szCs w:val="24"/>
              </w:rPr>
              <w:t>施工工期</w:t>
            </w:r>
          </w:p>
        </w:tc>
        <w:tc>
          <w:tcPr>
            <w:tcW w:w="3520"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 w:val="24"/>
                <w:szCs w:val="24"/>
              </w:rPr>
            </w:pPr>
            <w:r>
              <w:rPr>
                <w:rFonts w:hint="eastAsia"/>
                <w:sz w:val="24"/>
              </w:rPr>
              <w:t>/</w:t>
            </w:r>
          </w:p>
        </w:tc>
      </w:tr>
      <w:tr>
        <w:tblPrEx>
          <w:tblCellMar>
            <w:top w:w="0" w:type="dxa"/>
            <w:left w:w="108" w:type="dxa"/>
            <w:bottom w:w="0" w:type="dxa"/>
            <w:right w:w="108" w:type="dxa"/>
          </w:tblCellMar>
        </w:tblPrEx>
        <w:trPr>
          <w:trHeight w:val="439"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rFonts w:hAnsi="宋体"/>
                <w:color w:val="000000"/>
                <w:sz w:val="24"/>
                <w:szCs w:val="24"/>
              </w:rPr>
            </w:pPr>
            <w:r>
              <w:rPr>
                <w:rFonts w:hint="eastAsia" w:hAnsi="宋体"/>
                <w:color w:val="000000"/>
                <w:sz w:val="24"/>
                <w:szCs w:val="24"/>
              </w:rPr>
              <w:t>是否开工建设</w:t>
            </w:r>
          </w:p>
        </w:tc>
        <w:tc>
          <w:tcPr>
            <w:tcW w:w="2588" w:type="dxa"/>
            <w:tcBorders>
              <w:top w:val="single" w:color="auto" w:sz="4" w:space="0"/>
              <w:left w:val="nil"/>
              <w:bottom w:val="single" w:color="auto" w:sz="4" w:space="0"/>
              <w:right w:val="single" w:color="auto" w:sz="4" w:space="0"/>
            </w:tcBorders>
            <w:vAlign w:val="center"/>
          </w:tcPr>
          <w:p>
            <w:pPr>
              <w:jc w:val="left"/>
              <w:rPr>
                <w:color w:val="000000"/>
                <w:sz w:val="24"/>
                <w:szCs w:val="24"/>
              </w:rPr>
            </w:pPr>
            <w:r>
              <w:rPr>
                <w:color w:val="000000"/>
                <w:sz w:val="24"/>
                <w:szCs w:val="24"/>
              </w:rPr>
              <w:sym w:font="Wingdings 2" w:char="00A3"/>
            </w:r>
            <w:r>
              <w:rPr>
                <w:rFonts w:hint="eastAsia"/>
                <w:color w:val="000000"/>
                <w:sz w:val="24"/>
                <w:szCs w:val="24"/>
              </w:rPr>
              <w:t>否</w:t>
            </w:r>
          </w:p>
          <w:p>
            <w:pPr>
              <w:pStyle w:val="3"/>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firstLineChars="0"/>
              <w:jc w:val="both"/>
              <w:textAlignment w:val="auto"/>
              <w:rPr>
                <w:rFonts w:hint="default" w:eastAsia="宋体"/>
                <w:color w:val="FF0000"/>
                <w:sz w:val="24"/>
                <w:szCs w:val="24"/>
                <w:highlight w:val="yellow"/>
                <w:lang w:val="en-US" w:eastAsia="zh-CN"/>
              </w:rPr>
            </w:pPr>
            <w:r>
              <w:rPr>
                <w:color w:val="000000"/>
                <w:sz w:val="24"/>
                <w:szCs w:val="24"/>
                <w:highlight w:val="none"/>
              </w:rPr>
              <w:t>√</w:t>
            </w:r>
            <w:r>
              <w:rPr>
                <w:rFonts w:hint="eastAsia"/>
                <w:b w:val="0"/>
                <w:bCs w:val="0"/>
                <w:color w:val="000000"/>
                <w:sz w:val="24"/>
                <w:szCs w:val="24"/>
                <w:highlight w:val="none"/>
              </w:rPr>
              <w:t>是：</w:t>
            </w:r>
            <w:r>
              <w:rPr>
                <w:rFonts w:hint="eastAsia"/>
                <w:b w:val="0"/>
                <w:bCs w:val="0"/>
                <w:color w:val="000000"/>
                <w:sz w:val="24"/>
                <w:szCs w:val="24"/>
                <w:highlight w:val="none"/>
                <w:lang w:val="en-US" w:eastAsia="zh-CN"/>
              </w:rPr>
              <w:t>该项目已建成年生产60</w:t>
            </w:r>
            <w:r>
              <w:rPr>
                <w:rFonts w:hint="eastAsia"/>
                <w:b w:val="0"/>
                <w:bCs w:val="0"/>
                <w:sz w:val="24"/>
                <w:highlight w:val="none"/>
              </w:rPr>
              <w:t>万立方米商品混凝土项目</w:t>
            </w:r>
            <w:r>
              <w:rPr>
                <w:rFonts w:hint="eastAsia"/>
                <w:b w:val="0"/>
                <w:bCs w:val="0"/>
                <w:sz w:val="24"/>
                <w:highlight w:val="none"/>
                <w:lang w:val="en-US" w:eastAsia="zh-CN"/>
              </w:rPr>
              <w:t>生产线</w:t>
            </w:r>
            <w:r>
              <w:rPr>
                <w:rFonts w:hint="eastAsia"/>
                <w:b w:val="0"/>
                <w:bCs w:val="0"/>
                <w:sz w:val="24"/>
                <w:highlight w:val="none"/>
                <w:lang w:eastAsia="zh-CN"/>
              </w:rPr>
              <w:t>，</w:t>
            </w:r>
            <w:r>
              <w:rPr>
                <w:rFonts w:hint="eastAsia"/>
                <w:b w:val="0"/>
                <w:bCs w:val="0"/>
                <w:sz w:val="24"/>
                <w:highlight w:val="none"/>
                <w:lang w:val="en-US" w:eastAsia="zh-CN"/>
              </w:rPr>
              <w:t>新乡市生态环境局新乡县分局于2022年4月29日对该公司下达了行政处罚决定书，决定书文号：新环罚决[2022]第36号</w:t>
            </w:r>
            <w:r>
              <w:rPr>
                <w:rFonts w:ascii="Times New Roman" w:hAnsi="Times New Roman" w:eastAsia="宋体" w:cs="Times New Roman"/>
                <w:b w:val="0"/>
                <w:bCs w:val="0"/>
                <w:color w:val="000000"/>
                <w:kern w:val="2"/>
                <w:sz w:val="24"/>
                <w:szCs w:val="22"/>
                <w:highlight w:val="none"/>
              </w:rPr>
              <w:t>。</w:t>
            </w:r>
            <w:r>
              <w:rPr>
                <w:rFonts w:hint="eastAsia" w:cs="Times New Roman"/>
                <w:b w:val="0"/>
                <w:bCs w:val="0"/>
                <w:color w:val="000000"/>
                <w:kern w:val="2"/>
                <w:sz w:val="24"/>
                <w:szCs w:val="22"/>
                <w:highlight w:val="none"/>
                <w:lang w:val="en-US" w:eastAsia="zh-CN"/>
              </w:rPr>
              <w:t>注：行政处罚决定书和罚款单见附件。</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szCs w:val="24"/>
              </w:rPr>
            </w:pPr>
            <w:r>
              <w:rPr>
                <w:color w:val="000000"/>
                <w:sz w:val="24"/>
                <w:szCs w:val="24"/>
              </w:rPr>
              <w:t>用地（用海）</w:t>
            </w:r>
          </w:p>
          <w:p>
            <w:pPr>
              <w:jc w:val="center"/>
              <w:rPr>
                <w:color w:val="000000"/>
                <w:sz w:val="24"/>
                <w:szCs w:val="24"/>
              </w:rPr>
            </w:pPr>
            <w:r>
              <w:rPr>
                <w:color w:val="000000"/>
                <w:sz w:val="24"/>
                <w:szCs w:val="24"/>
              </w:rPr>
              <w:t>面积（m</w:t>
            </w:r>
            <w:r>
              <w:rPr>
                <w:color w:val="000000"/>
                <w:sz w:val="24"/>
                <w:szCs w:val="24"/>
                <w:vertAlign w:val="superscript"/>
              </w:rPr>
              <w:t>2</w:t>
            </w:r>
            <w:r>
              <w:rPr>
                <w:color w:val="000000"/>
                <w:sz w:val="24"/>
                <w:szCs w:val="24"/>
              </w:rPr>
              <w:t>）</w:t>
            </w:r>
          </w:p>
        </w:tc>
        <w:tc>
          <w:tcPr>
            <w:tcW w:w="3520" w:type="dxa"/>
            <w:tcBorders>
              <w:top w:val="single" w:color="auto" w:sz="4" w:space="0"/>
              <w:left w:val="single" w:color="auto" w:sz="4" w:space="0"/>
              <w:bottom w:val="single" w:color="auto" w:sz="4" w:space="0"/>
              <w:right w:val="single" w:color="auto" w:sz="8" w:space="0"/>
            </w:tcBorders>
            <w:vAlign w:val="center"/>
          </w:tcPr>
          <w:p>
            <w:pPr>
              <w:jc w:val="center"/>
              <w:rPr>
                <w:sz w:val="24"/>
                <w:szCs w:val="24"/>
                <w:highlight w:val="yellow"/>
              </w:rPr>
            </w:pPr>
            <w:r>
              <w:rPr>
                <w:rFonts w:hint="eastAsia"/>
                <w:sz w:val="24"/>
              </w:rPr>
              <w:t>6400</w:t>
            </w:r>
          </w:p>
        </w:tc>
      </w:tr>
      <w:tr>
        <w:tblPrEx>
          <w:tblCellMar>
            <w:top w:w="0" w:type="dxa"/>
            <w:left w:w="108" w:type="dxa"/>
            <w:bottom w:w="0" w:type="dxa"/>
            <w:right w:w="108" w:type="dxa"/>
          </w:tblCellMar>
        </w:tblPrEx>
        <w:trPr>
          <w:trHeight w:val="794"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rFonts w:hAnsi="宋体"/>
                <w:color w:val="000000"/>
                <w:sz w:val="24"/>
                <w:szCs w:val="24"/>
              </w:rPr>
            </w:pPr>
            <w:r>
              <w:rPr>
                <w:rFonts w:hint="eastAsia" w:hAnsi="宋体"/>
                <w:color w:val="000000"/>
                <w:sz w:val="24"/>
                <w:szCs w:val="24"/>
              </w:rPr>
              <w:t>专项评价设置情况</w:t>
            </w:r>
          </w:p>
        </w:tc>
        <w:tc>
          <w:tcPr>
            <w:tcW w:w="8376" w:type="dxa"/>
            <w:gridSpan w:val="3"/>
            <w:tcBorders>
              <w:top w:val="single" w:color="auto" w:sz="4" w:space="0"/>
              <w:left w:val="nil"/>
              <w:bottom w:val="single" w:color="auto" w:sz="4" w:space="0"/>
              <w:right w:val="single" w:color="auto" w:sz="8" w:space="0"/>
            </w:tcBorders>
            <w:vAlign w:val="center"/>
          </w:tcPr>
          <w:p>
            <w:pPr>
              <w:jc w:val="center"/>
              <w:rPr>
                <w:color w:val="000000"/>
                <w:sz w:val="24"/>
                <w:szCs w:val="24"/>
              </w:rPr>
            </w:pPr>
            <w:r>
              <w:rPr>
                <w:rFonts w:hint="eastAsia"/>
                <w:color w:val="000000"/>
                <w:sz w:val="24"/>
                <w:szCs w:val="24"/>
              </w:rPr>
              <w:t>无</w:t>
            </w:r>
          </w:p>
        </w:tc>
      </w:tr>
      <w:tr>
        <w:tblPrEx>
          <w:tblCellMar>
            <w:top w:w="0" w:type="dxa"/>
            <w:left w:w="108" w:type="dxa"/>
            <w:bottom w:w="0" w:type="dxa"/>
            <w:right w:w="108" w:type="dxa"/>
          </w:tblCellMar>
        </w:tblPrEx>
        <w:trPr>
          <w:trHeight w:val="794"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rFonts w:hAnsi="宋体"/>
                <w:color w:val="000000"/>
                <w:sz w:val="24"/>
                <w:szCs w:val="24"/>
              </w:rPr>
            </w:pPr>
            <w:r>
              <w:rPr>
                <w:rFonts w:hint="eastAsia" w:hAnsi="宋体"/>
                <w:color w:val="000000"/>
                <w:sz w:val="24"/>
                <w:szCs w:val="24"/>
              </w:rPr>
              <w:t>规划情况</w:t>
            </w:r>
          </w:p>
        </w:tc>
        <w:tc>
          <w:tcPr>
            <w:tcW w:w="8376" w:type="dxa"/>
            <w:gridSpan w:val="3"/>
            <w:tcBorders>
              <w:top w:val="single" w:color="auto" w:sz="4" w:space="0"/>
              <w:left w:val="nil"/>
              <w:bottom w:val="single" w:color="auto" w:sz="4" w:space="0"/>
              <w:right w:val="single" w:color="auto" w:sz="8" w:space="0"/>
            </w:tcBorders>
            <w:vAlign w:val="center"/>
          </w:tcPr>
          <w:p>
            <w:pPr>
              <w:jc w:val="center"/>
              <w:rPr>
                <w:color w:val="000000"/>
                <w:sz w:val="24"/>
                <w:szCs w:val="24"/>
              </w:rPr>
            </w:pPr>
            <w:r>
              <w:rPr>
                <w:rFonts w:hint="eastAsia"/>
                <w:color w:val="000000"/>
                <w:sz w:val="24"/>
                <w:szCs w:val="24"/>
              </w:rPr>
              <w:t>无</w:t>
            </w:r>
          </w:p>
        </w:tc>
      </w:tr>
      <w:tr>
        <w:tblPrEx>
          <w:tblCellMar>
            <w:top w:w="0" w:type="dxa"/>
            <w:left w:w="108" w:type="dxa"/>
            <w:bottom w:w="0" w:type="dxa"/>
            <w:right w:w="108" w:type="dxa"/>
          </w:tblCellMar>
        </w:tblPrEx>
        <w:trPr>
          <w:trHeight w:val="567"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rFonts w:hAnsi="宋体"/>
                <w:color w:val="000000"/>
                <w:sz w:val="24"/>
                <w:szCs w:val="24"/>
              </w:rPr>
            </w:pPr>
            <w:r>
              <w:rPr>
                <w:rFonts w:hint="eastAsia" w:hAnsi="宋体"/>
                <w:color w:val="000000"/>
                <w:sz w:val="24"/>
                <w:szCs w:val="24"/>
              </w:rPr>
              <w:t>规划环境影响</w:t>
            </w:r>
          </w:p>
          <w:p>
            <w:pPr>
              <w:jc w:val="center"/>
              <w:rPr>
                <w:rFonts w:hAnsi="宋体"/>
                <w:color w:val="000000"/>
                <w:sz w:val="24"/>
                <w:szCs w:val="24"/>
              </w:rPr>
            </w:pPr>
            <w:r>
              <w:rPr>
                <w:rFonts w:hint="eastAsia" w:hAnsi="宋体"/>
                <w:color w:val="000000"/>
                <w:sz w:val="24"/>
                <w:szCs w:val="24"/>
              </w:rPr>
              <w:t>评价情况</w:t>
            </w:r>
          </w:p>
        </w:tc>
        <w:tc>
          <w:tcPr>
            <w:tcW w:w="8376" w:type="dxa"/>
            <w:gridSpan w:val="3"/>
            <w:tcBorders>
              <w:top w:val="single" w:color="auto" w:sz="4" w:space="0"/>
              <w:left w:val="nil"/>
              <w:bottom w:val="single" w:color="auto" w:sz="4" w:space="0"/>
              <w:right w:val="single" w:color="auto" w:sz="8" w:space="0"/>
            </w:tcBorders>
            <w:vAlign w:val="center"/>
          </w:tcPr>
          <w:p>
            <w:pPr>
              <w:jc w:val="center"/>
              <w:rPr>
                <w:color w:val="000000"/>
                <w:sz w:val="24"/>
                <w:szCs w:val="24"/>
              </w:rPr>
            </w:pPr>
            <w:r>
              <w:rPr>
                <w:rFonts w:hint="eastAsia"/>
                <w:color w:val="000000"/>
                <w:sz w:val="24"/>
                <w:szCs w:val="24"/>
              </w:rPr>
              <w:t>无</w:t>
            </w:r>
          </w:p>
        </w:tc>
      </w:tr>
      <w:tr>
        <w:tblPrEx>
          <w:tblCellMar>
            <w:top w:w="0" w:type="dxa"/>
            <w:left w:w="108" w:type="dxa"/>
            <w:bottom w:w="0" w:type="dxa"/>
            <w:right w:w="108" w:type="dxa"/>
          </w:tblCellMar>
        </w:tblPrEx>
        <w:trPr>
          <w:trHeight w:val="1721" w:hRule="atLeast"/>
          <w:jc w:val="center"/>
        </w:trPr>
        <w:tc>
          <w:tcPr>
            <w:tcW w:w="1204" w:type="dxa"/>
            <w:tcBorders>
              <w:top w:val="single" w:color="auto" w:sz="4" w:space="0"/>
              <w:left w:val="single" w:color="auto" w:sz="8" w:space="0"/>
              <w:bottom w:val="single" w:color="auto" w:sz="4" w:space="0"/>
              <w:right w:val="single" w:color="auto" w:sz="4" w:space="0"/>
            </w:tcBorders>
            <w:vAlign w:val="center"/>
          </w:tcPr>
          <w:p>
            <w:pPr>
              <w:jc w:val="center"/>
              <w:rPr>
                <w:rFonts w:hint="eastAsia" w:ascii="Times New Roman" w:hAnsi="宋体" w:eastAsia="宋体" w:cs="Times New Roman"/>
                <w:color w:val="000000"/>
                <w:sz w:val="24"/>
                <w:szCs w:val="24"/>
              </w:rPr>
            </w:pPr>
            <w:r>
              <w:rPr>
                <w:rFonts w:hint="eastAsia" w:ascii="Times New Roman" w:hAnsi="宋体" w:eastAsia="宋体" w:cs="Times New Roman"/>
                <w:color w:val="000000"/>
                <w:sz w:val="24"/>
                <w:szCs w:val="24"/>
              </w:rPr>
              <w:t>规划及规划环境</w:t>
            </w:r>
          </w:p>
          <w:p>
            <w:pPr>
              <w:jc w:val="center"/>
              <w:rPr>
                <w:rFonts w:hAnsi="宋体"/>
                <w:color w:val="000000"/>
                <w:sz w:val="21"/>
                <w:szCs w:val="21"/>
              </w:rPr>
            </w:pPr>
            <w:r>
              <w:rPr>
                <w:rFonts w:hint="eastAsia" w:ascii="Times New Roman" w:hAnsi="宋体" w:eastAsia="宋体" w:cs="Times New Roman"/>
                <w:color w:val="000000"/>
                <w:sz w:val="24"/>
                <w:szCs w:val="24"/>
              </w:rPr>
              <w:t>影响评价符合性</w:t>
            </w:r>
            <w:r>
              <w:rPr>
                <w:rFonts w:hint="eastAsia" w:ascii="Times New Roman" w:hAnsi="宋体" w:eastAsia="宋体" w:cs="Times New Roman"/>
                <w:color w:val="000000"/>
                <w:sz w:val="24"/>
                <w:szCs w:val="24"/>
              </w:rPr>
              <w:br w:type="textWrapping"/>
            </w:r>
            <w:r>
              <w:rPr>
                <w:rFonts w:hint="eastAsia" w:ascii="Times New Roman" w:hAnsi="宋体" w:eastAsia="宋体" w:cs="Times New Roman"/>
                <w:color w:val="000000"/>
                <w:sz w:val="24"/>
                <w:szCs w:val="24"/>
              </w:rPr>
              <w:t>分析</w:t>
            </w:r>
          </w:p>
        </w:tc>
        <w:tc>
          <w:tcPr>
            <w:tcW w:w="8376" w:type="dxa"/>
            <w:gridSpan w:val="3"/>
            <w:tcBorders>
              <w:top w:val="single" w:color="auto" w:sz="4" w:space="0"/>
              <w:left w:val="nil"/>
              <w:bottom w:val="single" w:color="auto" w:sz="4" w:space="0"/>
              <w:right w:val="single" w:color="auto" w:sz="8" w:space="0"/>
            </w:tcBorders>
            <w:vAlign w:val="center"/>
          </w:tcPr>
          <w:p>
            <w:pPr>
              <w:spacing w:line="460" w:lineRule="exact"/>
              <w:jc w:val="left"/>
            </w:pPr>
            <w:r>
              <w:rPr>
                <w:rFonts w:hint="eastAsia"/>
                <w:sz w:val="24"/>
              </w:rPr>
              <w:t xml:space="preserve">                                 无</w:t>
            </w:r>
          </w:p>
        </w:tc>
      </w:tr>
      <w:tr>
        <w:tblPrEx>
          <w:tblCellMar>
            <w:top w:w="0" w:type="dxa"/>
            <w:left w:w="108" w:type="dxa"/>
            <w:bottom w:w="0" w:type="dxa"/>
            <w:right w:w="108" w:type="dxa"/>
          </w:tblCellMar>
        </w:tblPrEx>
        <w:trPr>
          <w:trHeight w:val="2051" w:hRule="atLeast"/>
          <w:jc w:val="center"/>
        </w:trPr>
        <w:tc>
          <w:tcPr>
            <w:tcW w:w="1204" w:type="dxa"/>
            <w:tcBorders>
              <w:top w:val="single" w:color="auto" w:sz="4" w:space="0"/>
              <w:left w:val="single" w:color="auto" w:sz="8" w:space="0"/>
              <w:right w:val="single" w:color="auto" w:sz="4" w:space="0"/>
            </w:tcBorders>
            <w:vAlign w:val="center"/>
          </w:tcPr>
          <w:p>
            <w:pPr>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其他符合性分析</w:t>
            </w:r>
          </w:p>
        </w:tc>
        <w:tc>
          <w:tcPr>
            <w:tcW w:w="8376" w:type="dxa"/>
            <w:gridSpan w:val="3"/>
            <w:tcBorders>
              <w:top w:val="single" w:color="auto" w:sz="4" w:space="0"/>
              <w:left w:val="nil"/>
              <w:bottom w:val="single" w:color="auto" w:sz="4" w:space="0"/>
              <w:right w:val="single" w:color="auto" w:sz="8" w:space="0"/>
            </w:tcBorders>
            <w:vAlign w:val="center"/>
          </w:tcPr>
          <w:p>
            <w:pPr>
              <w:spacing w:line="440" w:lineRule="exact"/>
              <w:ind w:firstLine="480" w:firstLineChars="200"/>
              <w:jc w:val="left"/>
              <w:textAlignment w:val="baseline"/>
              <w:rPr>
                <w:sz w:val="24"/>
                <w:szCs w:val="24"/>
              </w:rPr>
            </w:pPr>
            <w:r>
              <w:rPr>
                <w:rFonts w:hint="eastAsia"/>
                <w:sz w:val="24"/>
                <w:szCs w:val="24"/>
              </w:rPr>
              <w:t>1、本项目与分类管理名录对照分析</w:t>
            </w:r>
          </w:p>
          <w:p>
            <w:pPr>
              <w:spacing w:line="440" w:lineRule="exact"/>
              <w:ind w:firstLine="480" w:firstLineChars="200"/>
              <w:textAlignment w:val="baseline"/>
              <w:rPr>
                <w:sz w:val="24"/>
                <w:szCs w:val="24"/>
              </w:rPr>
            </w:pPr>
            <w:r>
              <w:rPr>
                <w:rFonts w:hint="eastAsia"/>
                <w:sz w:val="24"/>
                <w:szCs w:val="24"/>
              </w:rPr>
              <w:t>经查阅《建设项目环境影响评价分类管理名录》（2021年版</w:t>
            </w:r>
            <w:r>
              <w:rPr>
                <w:sz w:val="24"/>
                <w:szCs w:val="24"/>
              </w:rPr>
              <w:t>）</w:t>
            </w:r>
            <w:r>
              <w:rPr>
                <w:rFonts w:hint="eastAsia"/>
                <w:sz w:val="24"/>
                <w:szCs w:val="24"/>
              </w:rPr>
              <w:t>，</w:t>
            </w:r>
            <w:r>
              <w:rPr>
                <w:sz w:val="24"/>
                <w:szCs w:val="24"/>
              </w:rPr>
              <w:t>本项目</w:t>
            </w:r>
            <w:r>
              <w:rPr>
                <w:rFonts w:hint="eastAsia"/>
                <w:sz w:val="24"/>
                <w:szCs w:val="24"/>
                <w:lang w:val="en-US" w:eastAsia="zh-CN"/>
              </w:rPr>
              <w:t>产品为商品混凝土，项目</w:t>
            </w:r>
            <w:r>
              <w:rPr>
                <w:sz w:val="24"/>
                <w:szCs w:val="24"/>
              </w:rPr>
              <w:t>属于</w:t>
            </w:r>
            <w:r>
              <w:rPr>
                <w:rFonts w:hint="eastAsia"/>
                <w:sz w:val="24"/>
                <w:szCs w:val="24"/>
              </w:rPr>
              <w:t>二十七</w:t>
            </w:r>
            <w:r>
              <w:rPr>
                <w:sz w:val="24"/>
                <w:szCs w:val="24"/>
              </w:rPr>
              <w:t>、</w:t>
            </w:r>
            <w:r>
              <w:rPr>
                <w:rFonts w:hint="eastAsia"/>
                <w:sz w:val="24"/>
                <w:szCs w:val="24"/>
              </w:rPr>
              <w:t>非金属矿物制品业</w:t>
            </w:r>
            <w:r>
              <w:rPr>
                <w:sz w:val="24"/>
                <w:szCs w:val="24"/>
              </w:rPr>
              <w:t>中第</w:t>
            </w:r>
            <w:r>
              <w:rPr>
                <w:rFonts w:hint="eastAsia"/>
                <w:sz w:val="24"/>
                <w:szCs w:val="24"/>
              </w:rPr>
              <w:t>5</w:t>
            </w:r>
            <w:r>
              <w:rPr>
                <w:rFonts w:hint="eastAsia"/>
                <w:sz w:val="24"/>
                <w:szCs w:val="24"/>
                <w:lang w:val="en-US" w:eastAsia="zh-CN"/>
              </w:rPr>
              <w:t>5</w:t>
            </w:r>
            <w:r>
              <w:rPr>
                <w:sz w:val="24"/>
                <w:szCs w:val="24"/>
              </w:rPr>
              <w:t>条</w:t>
            </w:r>
            <w:r>
              <w:rPr>
                <w:rFonts w:hint="eastAsia"/>
                <w:sz w:val="24"/>
                <w:szCs w:val="24"/>
                <w:lang w:val="en-US" w:eastAsia="zh-CN"/>
              </w:rPr>
              <w:t>石膏、水泥制品及类似</w:t>
            </w:r>
            <w:r>
              <w:rPr>
                <w:rFonts w:hint="eastAsia"/>
                <w:sz w:val="24"/>
                <w:szCs w:val="24"/>
              </w:rPr>
              <w:t>制造30</w:t>
            </w:r>
            <w:r>
              <w:rPr>
                <w:rFonts w:hint="eastAsia"/>
                <w:sz w:val="24"/>
                <w:szCs w:val="24"/>
                <w:lang w:val="en-US" w:eastAsia="zh-CN"/>
              </w:rPr>
              <w:t>2</w:t>
            </w:r>
            <w:r>
              <w:rPr>
                <w:sz w:val="24"/>
                <w:szCs w:val="24"/>
              </w:rPr>
              <w:t>，</w:t>
            </w:r>
            <w:r>
              <w:rPr>
                <w:rFonts w:hint="eastAsia"/>
                <w:sz w:val="24"/>
                <w:szCs w:val="24"/>
              </w:rPr>
              <w:t>名录要求：</w:t>
            </w:r>
            <w:r>
              <w:rPr>
                <w:rFonts w:hint="eastAsia"/>
                <w:sz w:val="24"/>
                <w:szCs w:val="24"/>
                <w:lang w:val="en-US" w:eastAsia="zh-CN"/>
              </w:rPr>
              <w:t>商品混凝土；砼结构构件制造；水泥制品制造</w:t>
            </w:r>
            <w:r>
              <w:rPr>
                <w:rFonts w:hint="eastAsia"/>
                <w:sz w:val="24"/>
                <w:szCs w:val="24"/>
              </w:rPr>
              <w:t>应编制环境影响报告表</w:t>
            </w:r>
            <w:r>
              <w:rPr>
                <w:rFonts w:hint="eastAsia"/>
                <w:sz w:val="24"/>
                <w:szCs w:val="24"/>
                <w:lang w:eastAsia="zh-CN"/>
              </w:rPr>
              <w:t>。</w:t>
            </w:r>
            <w:r>
              <w:rPr>
                <w:rFonts w:hint="eastAsia"/>
                <w:sz w:val="24"/>
                <w:szCs w:val="24"/>
                <w:lang w:val="en-US" w:eastAsia="zh-CN"/>
              </w:rPr>
              <w:t>经对比名录，</w:t>
            </w:r>
            <w:r>
              <w:rPr>
                <w:rFonts w:hint="eastAsia"/>
                <w:sz w:val="24"/>
                <w:szCs w:val="24"/>
              </w:rPr>
              <w:t>本项目应编制环境影响报告表</w:t>
            </w:r>
            <w:r>
              <w:rPr>
                <w:sz w:val="24"/>
                <w:szCs w:val="24"/>
              </w:rPr>
              <w:t>。</w:t>
            </w:r>
          </w:p>
          <w:p>
            <w:pPr>
              <w:spacing w:line="440" w:lineRule="exact"/>
              <w:ind w:firstLine="480" w:firstLineChars="200"/>
              <w:jc w:val="left"/>
              <w:textAlignment w:val="baseline"/>
              <w:rPr>
                <w:rFonts w:hint="default"/>
                <w:sz w:val="24"/>
                <w:szCs w:val="24"/>
              </w:rPr>
            </w:pPr>
            <w:r>
              <w:rPr>
                <w:rFonts w:hint="default"/>
                <w:sz w:val="24"/>
                <w:szCs w:val="24"/>
              </w:rPr>
              <w:t>2、项目建设与产业政策及备案相符性分析</w:t>
            </w:r>
          </w:p>
          <w:p>
            <w:pPr>
              <w:adjustRightInd w:val="0"/>
              <w:snapToGrid w:val="0"/>
              <w:spacing w:line="440" w:lineRule="exact"/>
              <w:ind w:firstLine="480" w:firstLineChars="200"/>
              <w:jc w:val="left"/>
              <w:textAlignment w:val="baseline"/>
              <w:rPr>
                <w:rFonts w:hint="default"/>
                <w:sz w:val="24"/>
                <w:szCs w:val="24"/>
              </w:rPr>
            </w:pPr>
            <w:r>
              <w:rPr>
                <w:rFonts w:hint="default"/>
                <w:sz w:val="24"/>
                <w:szCs w:val="24"/>
              </w:rPr>
              <w:t>经查阅《产业结构调整指导目录》（发改委令（2019）第29号），本项目生产设备、原料、成品均不在限制类、淘汰类之列，属于允许类，符合国家产业政策。本项目已由新乡县发展和改革委员会备案，项目代码：</w:t>
            </w:r>
            <w:r>
              <w:rPr>
                <w:rFonts w:hint="eastAsia"/>
                <w:sz w:val="24"/>
                <w:szCs w:val="24"/>
                <w:lang w:eastAsia="zh-CN"/>
              </w:rPr>
              <w:t>2309-410721-04-01-307199</w:t>
            </w:r>
            <w:r>
              <w:rPr>
                <w:rFonts w:hint="default"/>
                <w:sz w:val="24"/>
                <w:szCs w:val="24"/>
              </w:rPr>
              <w:t>，项目建设符合国家相关产业政策。</w:t>
            </w:r>
          </w:p>
          <w:p>
            <w:pPr>
              <w:adjustRightInd w:val="0"/>
              <w:snapToGrid w:val="0"/>
              <w:spacing w:line="440" w:lineRule="exact"/>
              <w:ind w:firstLine="480" w:firstLineChars="200"/>
              <w:textAlignment w:val="baseline"/>
              <w:rPr>
                <w:rFonts w:hint="eastAsia"/>
                <w:sz w:val="24"/>
                <w:szCs w:val="24"/>
                <w:lang w:val="en-US" w:eastAsia="zh-CN"/>
              </w:rPr>
            </w:pPr>
            <w:r>
              <w:rPr>
                <w:rFonts w:hint="default"/>
                <w:sz w:val="24"/>
                <w:szCs w:val="24"/>
              </w:rPr>
              <w:t>项目与备案一致性分析</w:t>
            </w:r>
            <w:r>
              <w:rPr>
                <w:rFonts w:hint="eastAsia"/>
                <w:sz w:val="24"/>
                <w:szCs w:val="24"/>
                <w:lang w:val="en-US" w:eastAsia="zh-CN"/>
              </w:rPr>
              <w:t>如下</w:t>
            </w:r>
          </w:p>
          <w:p>
            <w:pPr>
              <w:spacing w:line="440" w:lineRule="exact"/>
              <w:ind w:firstLine="723" w:firstLineChars="300"/>
              <w:rPr>
                <w:rFonts w:hint="default"/>
                <w:b/>
                <w:bCs/>
                <w:sz w:val="24"/>
                <w:szCs w:val="24"/>
                <w:lang w:val="pt-BR"/>
              </w:rPr>
            </w:pPr>
            <w:r>
              <w:rPr>
                <w:rFonts w:hint="default"/>
                <w:b/>
                <w:bCs/>
                <w:sz w:val="24"/>
                <w:szCs w:val="24"/>
                <w:lang w:val="pt-BR"/>
              </w:rPr>
              <w:t>表</w:t>
            </w:r>
            <w:r>
              <w:rPr>
                <w:rFonts w:hint="eastAsia"/>
                <w:b/>
                <w:bCs/>
                <w:sz w:val="24"/>
                <w:szCs w:val="24"/>
                <w:lang w:val="en-US" w:eastAsia="zh-CN"/>
              </w:rPr>
              <w:t>1-1</w:t>
            </w:r>
            <w:r>
              <w:rPr>
                <w:rFonts w:hint="default"/>
                <w:b/>
                <w:bCs/>
                <w:sz w:val="24"/>
                <w:szCs w:val="24"/>
                <w:lang w:val="pt-BR"/>
              </w:rPr>
              <w:t xml:space="preserve">        本项目与备案一致性分析一览表</w:t>
            </w:r>
          </w:p>
          <w:tbl>
            <w:tblPr>
              <w:tblStyle w:val="24"/>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62"/>
              <w:gridCol w:w="3018"/>
              <w:gridCol w:w="3018"/>
              <w:gridCol w:w="99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962" w:type="dxa"/>
                  <w:tcBorders>
                    <w:top w:val="single" w:color="auto" w:sz="8" w:space="0"/>
                    <w:left w:val="nil"/>
                    <w:bottom w:val="single" w:color="auto" w:sz="8" w:space="0"/>
                    <w:right w:val="single" w:color="000000" w:sz="4" w:space="0"/>
                  </w:tcBorders>
                  <w:vAlign w:val="center"/>
                </w:tcPr>
                <w:p>
                  <w:pPr>
                    <w:adjustRightInd w:val="0"/>
                    <w:snapToGrid w:val="0"/>
                    <w:jc w:val="center"/>
                    <w:rPr>
                      <w:rFonts w:hint="default"/>
                      <w:sz w:val="21"/>
                      <w:szCs w:val="21"/>
                    </w:rPr>
                  </w:pPr>
                  <w:r>
                    <w:rPr>
                      <w:rFonts w:hint="default"/>
                      <w:sz w:val="21"/>
                      <w:szCs w:val="21"/>
                    </w:rPr>
                    <w:t>名称</w:t>
                  </w:r>
                </w:p>
              </w:tc>
              <w:tc>
                <w:tcPr>
                  <w:tcW w:w="3018" w:type="dxa"/>
                  <w:tcBorders>
                    <w:top w:val="single" w:color="auto" w:sz="8" w:space="0"/>
                    <w:left w:val="single" w:color="000000" w:sz="4" w:space="0"/>
                    <w:bottom w:val="single" w:color="auto" w:sz="8" w:space="0"/>
                    <w:right w:val="single" w:color="000000" w:sz="4" w:space="0"/>
                  </w:tcBorders>
                  <w:vAlign w:val="center"/>
                </w:tcPr>
                <w:p>
                  <w:pPr>
                    <w:adjustRightInd w:val="0"/>
                    <w:snapToGrid w:val="0"/>
                    <w:jc w:val="center"/>
                    <w:rPr>
                      <w:rFonts w:hint="default"/>
                      <w:sz w:val="21"/>
                      <w:szCs w:val="21"/>
                    </w:rPr>
                  </w:pPr>
                  <w:r>
                    <w:rPr>
                      <w:rFonts w:hint="default"/>
                      <w:sz w:val="21"/>
                      <w:szCs w:val="21"/>
                    </w:rPr>
                    <w:t>项目备案</w:t>
                  </w:r>
                </w:p>
              </w:tc>
              <w:tc>
                <w:tcPr>
                  <w:tcW w:w="3018" w:type="dxa"/>
                  <w:tcBorders>
                    <w:top w:val="single" w:color="auto" w:sz="8" w:space="0"/>
                    <w:left w:val="single" w:color="000000" w:sz="4" w:space="0"/>
                    <w:bottom w:val="single" w:color="auto" w:sz="8" w:space="0"/>
                    <w:right w:val="single" w:color="000000" w:sz="4" w:space="0"/>
                  </w:tcBorders>
                  <w:vAlign w:val="center"/>
                </w:tcPr>
                <w:p>
                  <w:pPr>
                    <w:adjustRightInd w:val="0"/>
                    <w:snapToGrid w:val="0"/>
                    <w:jc w:val="center"/>
                    <w:rPr>
                      <w:rFonts w:hint="default"/>
                      <w:sz w:val="21"/>
                      <w:szCs w:val="21"/>
                    </w:rPr>
                  </w:pPr>
                  <w:r>
                    <w:rPr>
                      <w:rFonts w:hint="default"/>
                      <w:sz w:val="21"/>
                      <w:szCs w:val="21"/>
                    </w:rPr>
                    <w:t>项目情况</w:t>
                  </w:r>
                </w:p>
              </w:tc>
              <w:tc>
                <w:tcPr>
                  <w:tcW w:w="999" w:type="dxa"/>
                  <w:tcBorders>
                    <w:top w:val="single" w:color="auto" w:sz="8" w:space="0"/>
                    <w:left w:val="single" w:color="000000" w:sz="4" w:space="0"/>
                    <w:bottom w:val="single" w:color="auto" w:sz="8" w:space="0"/>
                    <w:right w:val="nil"/>
                  </w:tcBorders>
                  <w:vAlign w:val="center"/>
                </w:tcPr>
                <w:p>
                  <w:pPr>
                    <w:adjustRightInd w:val="0"/>
                    <w:snapToGrid w:val="0"/>
                    <w:jc w:val="center"/>
                    <w:rPr>
                      <w:rFonts w:hint="default"/>
                      <w:sz w:val="21"/>
                      <w:szCs w:val="21"/>
                    </w:rPr>
                  </w:pPr>
                  <w:r>
                    <w:rPr>
                      <w:rFonts w:hint="default"/>
                      <w:sz w:val="21"/>
                      <w:szCs w:val="21"/>
                    </w:rPr>
                    <w:t>一致性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962" w:type="dxa"/>
                  <w:tcBorders>
                    <w:top w:val="single" w:color="auto" w:sz="8" w:space="0"/>
                    <w:left w:val="nil"/>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建设</w:t>
                  </w:r>
                </w:p>
                <w:p>
                  <w:pPr>
                    <w:adjustRightInd w:val="0"/>
                    <w:snapToGrid w:val="0"/>
                    <w:jc w:val="center"/>
                    <w:rPr>
                      <w:rFonts w:hint="default"/>
                      <w:sz w:val="21"/>
                      <w:szCs w:val="21"/>
                    </w:rPr>
                  </w:pPr>
                  <w:r>
                    <w:rPr>
                      <w:rFonts w:hint="default"/>
                      <w:sz w:val="21"/>
                      <w:szCs w:val="21"/>
                    </w:rPr>
                    <w:t>地点</w:t>
                  </w:r>
                </w:p>
              </w:tc>
              <w:tc>
                <w:tcPr>
                  <w:tcW w:w="3018" w:type="dxa"/>
                  <w:tcBorders>
                    <w:top w:val="single" w:color="auto" w:sz="8" w:space="0"/>
                    <w:left w:val="single" w:color="000000" w:sz="4" w:space="0"/>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新乡市新乡县七里营镇敦留店村1151号</w:t>
                  </w:r>
                </w:p>
              </w:tc>
              <w:tc>
                <w:tcPr>
                  <w:tcW w:w="3018" w:type="dxa"/>
                  <w:tcBorders>
                    <w:top w:val="single" w:color="auto" w:sz="8" w:space="0"/>
                    <w:left w:val="single" w:color="000000" w:sz="4" w:space="0"/>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新乡市新乡县七里营镇敦留店村1151号</w:t>
                  </w:r>
                </w:p>
              </w:tc>
              <w:tc>
                <w:tcPr>
                  <w:tcW w:w="999" w:type="dxa"/>
                  <w:tcBorders>
                    <w:top w:val="single" w:color="auto" w:sz="8" w:space="0"/>
                    <w:left w:val="single" w:color="000000" w:sz="4" w:space="0"/>
                    <w:bottom w:val="single" w:color="000000" w:sz="4" w:space="0"/>
                    <w:right w:val="nil"/>
                  </w:tcBorders>
                  <w:vAlign w:val="center"/>
                </w:tcPr>
                <w:p>
                  <w:pPr>
                    <w:adjustRightInd w:val="0"/>
                    <w:snapToGrid w:val="0"/>
                    <w:jc w:val="center"/>
                    <w:rPr>
                      <w:rFonts w:hint="default"/>
                      <w:sz w:val="21"/>
                      <w:szCs w:val="21"/>
                    </w:rPr>
                  </w:pPr>
                  <w:r>
                    <w:rPr>
                      <w:rFonts w:hint="default"/>
                      <w:sz w:val="21"/>
                      <w:szCs w:val="21"/>
                    </w:rPr>
                    <w:t>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62" w:type="dxa"/>
                  <w:tcBorders>
                    <w:top w:val="single" w:color="000000" w:sz="4" w:space="0"/>
                    <w:left w:val="nil"/>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投资</w:t>
                  </w:r>
                </w:p>
              </w:tc>
              <w:tc>
                <w:tcPr>
                  <w:tcW w:w="301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700万</w:t>
                  </w:r>
                </w:p>
              </w:tc>
              <w:tc>
                <w:tcPr>
                  <w:tcW w:w="301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700万</w:t>
                  </w:r>
                </w:p>
              </w:tc>
              <w:tc>
                <w:tcPr>
                  <w:tcW w:w="999" w:type="dxa"/>
                  <w:tcBorders>
                    <w:top w:val="single" w:color="000000" w:sz="4" w:space="0"/>
                    <w:left w:val="single" w:color="000000" w:sz="4" w:space="0"/>
                    <w:bottom w:val="single" w:color="000000" w:sz="4" w:space="0"/>
                    <w:right w:val="nil"/>
                  </w:tcBorders>
                  <w:vAlign w:val="center"/>
                </w:tcPr>
                <w:p>
                  <w:pPr>
                    <w:adjustRightInd w:val="0"/>
                    <w:snapToGrid w:val="0"/>
                    <w:jc w:val="center"/>
                    <w:rPr>
                      <w:rFonts w:hint="default"/>
                      <w:sz w:val="21"/>
                      <w:szCs w:val="21"/>
                    </w:rPr>
                  </w:pPr>
                  <w:r>
                    <w:rPr>
                      <w:rFonts w:hint="default"/>
                      <w:sz w:val="21"/>
                      <w:szCs w:val="21"/>
                    </w:rPr>
                    <w:t>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962" w:type="dxa"/>
                  <w:tcBorders>
                    <w:top w:val="single" w:color="000000" w:sz="4" w:space="0"/>
                    <w:left w:val="nil"/>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生产</w:t>
                  </w:r>
                </w:p>
                <w:p>
                  <w:pPr>
                    <w:adjustRightInd w:val="0"/>
                    <w:snapToGrid w:val="0"/>
                    <w:jc w:val="center"/>
                    <w:rPr>
                      <w:rFonts w:hint="default"/>
                      <w:sz w:val="21"/>
                      <w:szCs w:val="21"/>
                    </w:rPr>
                  </w:pPr>
                  <w:r>
                    <w:rPr>
                      <w:rFonts w:hint="default"/>
                      <w:sz w:val="21"/>
                      <w:szCs w:val="21"/>
                    </w:rPr>
                    <w:t>规模</w:t>
                  </w:r>
                </w:p>
              </w:tc>
              <w:tc>
                <w:tcPr>
                  <w:tcW w:w="301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sz w:val="21"/>
                      <w:szCs w:val="21"/>
                    </w:rPr>
                  </w:pPr>
                  <w:r>
                    <w:rPr>
                      <w:rFonts w:hint="eastAsia"/>
                      <w:sz w:val="21"/>
                      <w:szCs w:val="21"/>
                      <w:lang w:eastAsia="zh-CN"/>
                    </w:rPr>
                    <w:t>年生产</w:t>
                  </w:r>
                  <w:r>
                    <w:rPr>
                      <w:rFonts w:hint="default"/>
                      <w:sz w:val="21"/>
                      <w:szCs w:val="21"/>
                    </w:rPr>
                    <w:t>60万立方米商品混凝土</w:t>
                  </w:r>
                </w:p>
              </w:tc>
              <w:tc>
                <w:tcPr>
                  <w:tcW w:w="301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sz w:val="21"/>
                      <w:szCs w:val="21"/>
                    </w:rPr>
                  </w:pPr>
                  <w:r>
                    <w:rPr>
                      <w:rFonts w:hint="eastAsia"/>
                      <w:sz w:val="21"/>
                      <w:szCs w:val="21"/>
                      <w:lang w:eastAsia="zh-CN"/>
                    </w:rPr>
                    <w:t>年生产</w:t>
                  </w:r>
                  <w:r>
                    <w:rPr>
                      <w:rFonts w:hint="default"/>
                      <w:sz w:val="21"/>
                      <w:szCs w:val="21"/>
                    </w:rPr>
                    <w:t>60万立方米商品混凝土</w:t>
                  </w:r>
                </w:p>
              </w:tc>
              <w:tc>
                <w:tcPr>
                  <w:tcW w:w="999" w:type="dxa"/>
                  <w:tcBorders>
                    <w:top w:val="single" w:color="000000" w:sz="4" w:space="0"/>
                    <w:left w:val="single" w:color="000000" w:sz="4" w:space="0"/>
                    <w:bottom w:val="single" w:color="000000" w:sz="4" w:space="0"/>
                    <w:right w:val="nil"/>
                  </w:tcBorders>
                  <w:vAlign w:val="center"/>
                </w:tcPr>
                <w:p>
                  <w:pPr>
                    <w:adjustRightInd w:val="0"/>
                    <w:snapToGrid w:val="0"/>
                    <w:jc w:val="center"/>
                    <w:rPr>
                      <w:rFonts w:hint="default"/>
                      <w:sz w:val="21"/>
                      <w:szCs w:val="21"/>
                    </w:rPr>
                  </w:pPr>
                  <w:r>
                    <w:rPr>
                      <w:rFonts w:hint="default"/>
                      <w:sz w:val="21"/>
                      <w:szCs w:val="21"/>
                    </w:rPr>
                    <w:t>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962" w:type="dxa"/>
                  <w:tcBorders>
                    <w:top w:val="single" w:color="000000" w:sz="4" w:space="0"/>
                    <w:left w:val="nil"/>
                    <w:bottom w:val="single" w:color="000000" w:sz="4" w:space="0"/>
                    <w:right w:val="single" w:color="000000" w:sz="4" w:space="0"/>
                  </w:tcBorders>
                  <w:vAlign w:val="center"/>
                </w:tcPr>
                <w:p>
                  <w:pPr>
                    <w:adjustRightInd w:val="0"/>
                    <w:snapToGrid w:val="0"/>
                    <w:jc w:val="center"/>
                    <w:rPr>
                      <w:rFonts w:hint="eastAsia"/>
                      <w:sz w:val="21"/>
                      <w:szCs w:val="21"/>
                      <w:lang w:val="en-US" w:eastAsia="zh-CN"/>
                    </w:rPr>
                  </w:pPr>
                  <w:r>
                    <w:rPr>
                      <w:rFonts w:hint="eastAsia"/>
                      <w:sz w:val="21"/>
                      <w:szCs w:val="21"/>
                      <w:lang w:val="en-US" w:eastAsia="zh-CN"/>
                    </w:rPr>
                    <w:t>生产</w:t>
                  </w:r>
                </w:p>
                <w:p>
                  <w:pPr>
                    <w:adjustRightInd w:val="0"/>
                    <w:snapToGrid w:val="0"/>
                    <w:jc w:val="center"/>
                    <w:rPr>
                      <w:rFonts w:hint="default"/>
                      <w:sz w:val="21"/>
                      <w:szCs w:val="21"/>
                    </w:rPr>
                  </w:pPr>
                  <w:r>
                    <w:rPr>
                      <w:rFonts w:hint="default"/>
                      <w:sz w:val="21"/>
                      <w:szCs w:val="21"/>
                    </w:rPr>
                    <w:t>设备</w:t>
                  </w:r>
                </w:p>
              </w:tc>
              <w:tc>
                <w:tcPr>
                  <w:tcW w:w="301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拌合机、水泥筒仓、粉煤灰筒仓、矿粉筒仓、配料机及计量设备等</w:t>
                  </w:r>
                </w:p>
              </w:tc>
              <w:tc>
                <w:tcPr>
                  <w:tcW w:w="301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拌合机、水泥筒仓、粉煤灰筒仓、矿粉筒仓、配料机及计量设备、试验设备</w:t>
                  </w:r>
                </w:p>
              </w:tc>
              <w:tc>
                <w:tcPr>
                  <w:tcW w:w="999" w:type="dxa"/>
                  <w:tcBorders>
                    <w:top w:val="single" w:color="000000" w:sz="4" w:space="0"/>
                    <w:left w:val="single" w:color="000000" w:sz="4" w:space="0"/>
                    <w:bottom w:val="single" w:color="000000" w:sz="4" w:space="0"/>
                    <w:right w:val="nil"/>
                  </w:tcBorders>
                  <w:vAlign w:val="center"/>
                </w:tcPr>
                <w:p>
                  <w:pPr>
                    <w:adjustRightInd w:val="0"/>
                    <w:snapToGrid w:val="0"/>
                    <w:jc w:val="center"/>
                    <w:rPr>
                      <w:rFonts w:hint="default"/>
                      <w:sz w:val="21"/>
                      <w:szCs w:val="21"/>
                      <w:lang w:eastAsia="zh-CN"/>
                    </w:rPr>
                  </w:pPr>
                  <w:r>
                    <w:rPr>
                      <w:rFonts w:hint="default"/>
                      <w:sz w:val="21"/>
                      <w:szCs w:val="21"/>
                    </w:rPr>
                    <w:t>基本</w:t>
                  </w:r>
                </w:p>
                <w:p>
                  <w:pPr>
                    <w:adjustRightInd w:val="0"/>
                    <w:snapToGrid w:val="0"/>
                    <w:jc w:val="center"/>
                    <w:rPr>
                      <w:rFonts w:hint="default"/>
                      <w:sz w:val="21"/>
                      <w:szCs w:val="21"/>
                    </w:rPr>
                  </w:pPr>
                  <w:r>
                    <w:rPr>
                      <w:rFonts w:hint="default"/>
                      <w:sz w:val="21"/>
                      <w:szCs w:val="21"/>
                    </w:rPr>
                    <w:t>一致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962" w:type="dxa"/>
                  <w:tcBorders>
                    <w:top w:val="single" w:color="000000" w:sz="4" w:space="0"/>
                    <w:left w:val="nil"/>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生产</w:t>
                  </w:r>
                </w:p>
                <w:p>
                  <w:pPr>
                    <w:adjustRightInd w:val="0"/>
                    <w:snapToGrid w:val="0"/>
                    <w:jc w:val="center"/>
                    <w:rPr>
                      <w:rFonts w:hint="default"/>
                      <w:sz w:val="21"/>
                      <w:szCs w:val="21"/>
                    </w:rPr>
                  </w:pPr>
                  <w:r>
                    <w:rPr>
                      <w:rFonts w:hint="default"/>
                      <w:sz w:val="21"/>
                      <w:szCs w:val="21"/>
                    </w:rPr>
                    <w:t>工艺</w:t>
                  </w:r>
                </w:p>
              </w:tc>
              <w:tc>
                <w:tcPr>
                  <w:tcW w:w="301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原料—计量配料—搅拌—出料</w:t>
                  </w:r>
                </w:p>
              </w:tc>
              <w:tc>
                <w:tcPr>
                  <w:tcW w:w="301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default"/>
                      <w:sz w:val="21"/>
                      <w:szCs w:val="21"/>
                    </w:rPr>
                  </w:pPr>
                  <w:r>
                    <w:rPr>
                      <w:rFonts w:hint="default"/>
                      <w:sz w:val="21"/>
                      <w:szCs w:val="21"/>
                    </w:rPr>
                    <w:t>原料—计量配料—搅拌—出料</w:t>
                  </w:r>
                </w:p>
              </w:tc>
              <w:tc>
                <w:tcPr>
                  <w:tcW w:w="999" w:type="dxa"/>
                  <w:tcBorders>
                    <w:top w:val="single" w:color="000000" w:sz="4" w:space="0"/>
                    <w:left w:val="single" w:color="000000" w:sz="4" w:space="0"/>
                    <w:bottom w:val="single" w:color="000000" w:sz="4" w:space="0"/>
                    <w:right w:val="nil"/>
                  </w:tcBorders>
                  <w:vAlign w:val="center"/>
                </w:tcPr>
                <w:p>
                  <w:pPr>
                    <w:adjustRightInd w:val="0"/>
                    <w:snapToGrid w:val="0"/>
                    <w:jc w:val="center"/>
                    <w:rPr>
                      <w:rFonts w:hint="default"/>
                      <w:sz w:val="21"/>
                      <w:szCs w:val="21"/>
                    </w:rPr>
                  </w:pPr>
                  <w:r>
                    <w:rPr>
                      <w:rFonts w:hint="default"/>
                      <w:sz w:val="21"/>
                      <w:szCs w:val="21"/>
                    </w:rPr>
                    <w:t>一致</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szCs w:val="24"/>
                <w:lang w:eastAsia="zh-CN"/>
              </w:rPr>
            </w:pPr>
            <w:r>
              <w:rPr>
                <w:rFonts w:hint="default"/>
                <w:sz w:val="24"/>
                <w:szCs w:val="24"/>
              </w:rPr>
              <w:t>由上表可知，本项目实际建设情况与备案一致</w:t>
            </w:r>
            <w:r>
              <w:rPr>
                <w:rFonts w:hint="default"/>
                <w:sz w:val="24"/>
                <w:szCs w:val="24"/>
                <w:lang w:eastAsia="zh-CN"/>
              </w:rPr>
              <w:t>。</w:t>
            </w:r>
          </w:p>
          <w:p>
            <w:pPr>
              <w:spacing w:line="440" w:lineRule="exact"/>
              <w:ind w:firstLine="480" w:firstLineChars="200"/>
              <w:jc w:val="left"/>
              <w:textAlignment w:val="baseline"/>
              <w:rPr>
                <w:rFonts w:hint="default"/>
                <w:sz w:val="24"/>
                <w:szCs w:val="24"/>
              </w:rPr>
            </w:pPr>
            <w:r>
              <w:rPr>
                <w:rFonts w:hint="eastAsia"/>
                <w:sz w:val="24"/>
                <w:szCs w:val="24"/>
                <w:lang w:val="en-US" w:eastAsia="zh-CN"/>
              </w:rPr>
              <w:t>3</w:t>
            </w:r>
            <w:r>
              <w:rPr>
                <w:rFonts w:hint="default"/>
                <w:sz w:val="24"/>
                <w:szCs w:val="24"/>
              </w:rPr>
              <w:t>、项目建设与 “三线一单”相符性分析</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default"/>
                <w:sz w:val="24"/>
                <w:szCs w:val="24"/>
              </w:rPr>
            </w:pPr>
            <w:r>
              <w:rPr>
                <w:rFonts w:hint="eastAsia"/>
                <w:sz w:val="24"/>
                <w:szCs w:val="24"/>
                <w:lang w:val="en-US" w:eastAsia="zh-CN"/>
              </w:rPr>
              <w:t xml:space="preserve">根据《关于以改善环境质量为核心加强环境影响评价管理的通知》(环评 </w:t>
            </w:r>
          </w:p>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sz w:val="24"/>
                <w:szCs w:val="24"/>
              </w:rPr>
            </w:pPr>
            <w:r>
              <w:rPr>
                <w:rFonts w:hint="default"/>
                <w:sz w:val="24"/>
                <w:szCs w:val="24"/>
                <w:lang w:val="en-US" w:eastAsia="zh-CN"/>
              </w:rPr>
              <w:t>[2016]150</w:t>
            </w:r>
            <w:r>
              <w:rPr>
                <w:rFonts w:hint="eastAsia"/>
                <w:sz w:val="24"/>
                <w:szCs w:val="24"/>
                <w:lang w:val="en-US" w:eastAsia="zh-CN"/>
              </w:rPr>
              <w:t>号)要求，落实“生态保护红线、环境质量底线、资源利用上线和环境准入负面清单”（以下简称“三线一单”）约束，现分析如下：</w:t>
            </w:r>
            <w:r>
              <w:rPr>
                <w:rFonts w:hint="eastAsia"/>
                <w:sz w:val="24"/>
                <w:szCs w:val="24"/>
                <w:lang w:val="en-US" w:eastAsia="zh-CN"/>
              </w:rPr>
              <w:br w:type="textWrapping"/>
            </w:r>
            <w:r>
              <w:rPr>
                <w:rFonts w:hint="eastAsia"/>
                <w:sz w:val="24"/>
                <w:szCs w:val="24"/>
                <w:lang w:val="en-US" w:eastAsia="zh-CN"/>
              </w:rPr>
              <w:t xml:space="preserve">  （1）生态保护红线 </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default"/>
              </w:rPr>
            </w:pPr>
            <w:r>
              <w:rPr>
                <w:rFonts w:hint="eastAsia"/>
                <w:sz w:val="24"/>
                <w:szCs w:val="24"/>
                <w:lang w:val="en-US" w:eastAsia="zh-CN"/>
              </w:rPr>
              <w:t>本项目所在地位于</w:t>
            </w:r>
            <w:r>
              <w:rPr>
                <w:rFonts w:hint="eastAsia"/>
                <w:sz w:val="24"/>
                <w:szCs w:val="24"/>
              </w:rPr>
              <w:t>新乡市新乡县七里营镇敦留店村</w:t>
            </w:r>
            <w:r>
              <w:rPr>
                <w:sz w:val="24"/>
                <w:szCs w:val="24"/>
              </w:rPr>
              <w:t>1151</w:t>
            </w:r>
            <w:r>
              <w:rPr>
                <w:rFonts w:hint="eastAsia"/>
                <w:sz w:val="24"/>
                <w:szCs w:val="24"/>
              </w:rPr>
              <w:t>号</w:t>
            </w:r>
            <w:r>
              <w:rPr>
                <w:rFonts w:hint="eastAsia"/>
                <w:sz w:val="24"/>
                <w:szCs w:val="24"/>
                <w:lang w:val="en-US" w:eastAsia="zh-CN"/>
              </w:rPr>
              <w:t>，本项目租赁厂房进行生产，不新增占地。经查阅《新乡市生态保护红线划分结果图》，本项目所在地不涉及生态保护红线。</w:t>
            </w:r>
          </w:p>
          <w:p>
            <w:pPr>
              <w:ind w:firstLine="204" w:firstLineChars="73"/>
              <w:rPr>
                <w:rFonts w:hint="default"/>
              </w:rPr>
            </w:pPr>
            <w:r>
              <w:rPr>
                <w:rFonts w:hint="default"/>
              </w:rPr>
              <mc:AlternateContent>
                <mc:Choice Requires="wps">
                  <w:drawing>
                    <wp:anchor distT="0" distB="0" distL="114300" distR="114300" simplePos="0" relativeHeight="251661312" behindDoc="0" locked="0" layoutInCell="1" allowOverlap="1">
                      <wp:simplePos x="0" y="0"/>
                      <wp:positionH relativeFrom="column">
                        <wp:posOffset>898525</wp:posOffset>
                      </wp:positionH>
                      <wp:positionV relativeFrom="paragraph">
                        <wp:posOffset>1838325</wp:posOffset>
                      </wp:positionV>
                      <wp:extent cx="702945" cy="175895"/>
                      <wp:effectExtent l="4445" t="5080" r="16510" b="314325"/>
                      <wp:wrapNone/>
                      <wp:docPr id="4" name="自选图形 2"/>
                      <wp:cNvGraphicFramePr/>
                      <a:graphic xmlns:a="http://schemas.openxmlformats.org/drawingml/2006/main">
                        <a:graphicData uri="http://schemas.microsoft.com/office/word/2010/wordprocessingShape">
                          <wps:wsp>
                            <wps:cNvSpPr/>
                            <wps:spPr>
                              <a:xfrm>
                                <a:off x="0" y="0"/>
                                <a:ext cx="702945" cy="175895"/>
                              </a:xfrm>
                              <a:prstGeom prst="wedgeRectCallout">
                                <a:avLst>
                                  <a:gd name="adj1" fmla="val 3838"/>
                                  <a:gd name="adj2" fmla="val 212093"/>
                                </a:avLst>
                              </a:prstGeom>
                              <a:noFill/>
                              <a:ln w="9525" cap="flat" cmpd="sng">
                                <a:solidFill>
                                  <a:srgbClr val="FF0000"/>
                                </a:solidFill>
                                <a:prstDash val="solid"/>
                                <a:miter/>
                                <a:headEnd type="none" w="med" len="med"/>
                                <a:tailEnd type="none" w="med" len="med"/>
                              </a:ln>
                            </wps:spPr>
                            <wps:txbx>
                              <w:txbxContent>
                                <w:p>
                                  <w:pPr>
                                    <w:jc w:val="center"/>
                                    <w:rPr>
                                      <w:b/>
                                      <w:color w:val="FF0000"/>
                                      <w:sz w:val="21"/>
                                      <w:szCs w:val="21"/>
                                    </w:rPr>
                                  </w:pPr>
                                  <w:r>
                                    <w:rPr>
                                      <w:rFonts w:hint="eastAsia"/>
                                      <w:b/>
                                      <w:color w:val="FF0000"/>
                                      <w:sz w:val="21"/>
                                      <w:szCs w:val="21"/>
                                    </w:rPr>
                                    <w:t>项目所在地</w:t>
                                  </w:r>
                                </w:p>
                              </w:txbxContent>
                            </wps:txbx>
                            <wps:bodyPr lIns="0" tIns="0" rIns="0" bIns="0" upright="1"/>
                          </wps:wsp>
                        </a:graphicData>
                      </a:graphic>
                    </wp:anchor>
                  </w:drawing>
                </mc:Choice>
                <mc:Fallback>
                  <w:pict>
                    <v:shape id="自选图形 2" o:spid="_x0000_s1026" o:spt="61" type="#_x0000_t61" style="position:absolute;left:0pt;margin-left:70.75pt;margin-top:144.75pt;height:13.85pt;width:55.35pt;z-index:251661312;mso-width-relative:page;mso-height-relative:page;" filled="f" stroked="t" coordsize="21600,21600" o:gfxdata="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TLdvtoAAAALAQAADwAAAAAAAAABACAA&#10;AAAiAAAAZHJzL2Rvd25yZXYueG1sUEsBAhQAFAAAAAgAh07iQKOP7JxEAgAAhgQAAA4AAAAAAAAA&#10;AQAgAAAAKQEAAGRycy9lMm9Eb2MueG1sUEsFBgAAAAAGAAYAWQEAAN8FAAAAAA==&#10;" adj="11629,56612">
                      <v:fill on="f" focussize="0,0"/>
                      <v:stroke color="#FF0000" joinstyle="miter"/>
                      <v:imagedata o:title=""/>
                      <o:lock v:ext="edit" aspectratio="f"/>
                      <v:textbox inset="0mm,0mm,0mm,0mm">
                        <w:txbxContent>
                          <w:p>
                            <w:pPr>
                              <w:jc w:val="center"/>
                              <w:rPr>
                                <w:b/>
                                <w:color w:val="FF0000"/>
                                <w:sz w:val="21"/>
                                <w:szCs w:val="21"/>
                              </w:rPr>
                            </w:pPr>
                            <w:r>
                              <w:rPr>
                                <w:rFonts w:hint="eastAsia"/>
                                <w:b/>
                                <w:color w:val="FF0000"/>
                                <w:sz w:val="21"/>
                                <w:szCs w:val="21"/>
                              </w:rPr>
                              <w:t>项目所在地</w:t>
                            </w:r>
                          </w:p>
                        </w:txbxContent>
                      </v:textbox>
                    </v:shape>
                  </w:pict>
                </mc:Fallback>
              </mc:AlternateContent>
            </w:r>
            <w:r>
              <w:rPr>
                <w:rFonts w:hint="eastAsia"/>
                <w:lang w:val="en-US" w:eastAsia="zh-CN"/>
              </w:rPr>
              <w:t xml:space="preserve"> </w:t>
            </w:r>
            <w:r>
              <w:rPr>
                <w:rFonts w:hint="default"/>
              </w:rPr>
              <w:drawing>
                <wp:inline distT="0" distB="0" distL="0" distR="0">
                  <wp:extent cx="4871720" cy="3310890"/>
                  <wp:effectExtent l="19050" t="0" r="4673" b="0"/>
                  <wp:docPr id="3" name="图片 2" descr="C:\Users\Administrator\Desktop\1632475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1632475420.png"/>
                          <pic:cNvPicPr preferRelativeResize="0">
                            <a:picLocks noChangeAspect="1" noChangeArrowheads="1"/>
                          </pic:cNvPicPr>
                        </pic:nvPicPr>
                        <pic:blipFill>
                          <a:blip r:embed="rId11"/>
                          <a:srcRect/>
                          <a:stretch>
                            <a:fillRect/>
                          </a:stretch>
                        </pic:blipFill>
                        <pic:spPr>
                          <a:xfrm>
                            <a:off x="0" y="0"/>
                            <a:ext cx="4877467" cy="3314700"/>
                          </a:xfrm>
                          <a:prstGeom prst="rect">
                            <a:avLst/>
                          </a:prstGeom>
                          <a:noFill/>
                          <a:ln w="9525">
                            <a:noFill/>
                            <a:miter lim="800000"/>
                            <a:headEnd/>
                            <a:tailEnd/>
                          </a:ln>
                        </pic:spPr>
                      </pic:pic>
                    </a:graphicData>
                  </a:graphic>
                </wp:inline>
              </w:drawing>
            </w:r>
          </w:p>
          <w:p>
            <w:pPr>
              <w:ind w:firstLine="2400" w:firstLineChars="1000"/>
              <w:rPr>
                <w:rFonts w:hint="default"/>
                <w:sz w:val="24"/>
                <w:szCs w:val="24"/>
              </w:rPr>
            </w:pPr>
            <w:r>
              <w:rPr>
                <w:rFonts w:hint="default"/>
                <w:sz w:val="24"/>
                <w:szCs w:val="24"/>
              </w:rPr>
              <w:t>图1    生态保护红线图</w:t>
            </w:r>
          </w:p>
          <w:p>
            <w:pPr>
              <w:keepNext w:val="0"/>
              <w:keepLines w:val="0"/>
              <w:widowControl/>
              <w:suppressLineNumbers w:val="0"/>
              <w:ind w:left="241" w:hanging="240" w:hangingChars="100"/>
              <w:jc w:val="left"/>
              <w:rPr>
                <w:sz w:val="24"/>
                <w:szCs w:val="24"/>
              </w:rPr>
            </w:pPr>
            <w:r>
              <w:rPr>
                <w:rFonts w:hint="eastAsia"/>
                <w:sz w:val="24"/>
                <w:szCs w:val="24"/>
                <w:lang w:val="en-US" w:eastAsia="zh-CN"/>
              </w:rPr>
              <w:t xml:space="preserve">（2）环境质量底线相符性分析 </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sz w:val="24"/>
                <w:szCs w:val="24"/>
              </w:rPr>
            </w:pPr>
            <w:r>
              <w:rPr>
                <w:rFonts w:hint="eastAsia"/>
                <w:sz w:val="24"/>
                <w:szCs w:val="24"/>
                <w:lang w:val="en-US" w:eastAsia="zh-CN"/>
              </w:rPr>
              <w:t>《关于印发新乡市</w:t>
            </w:r>
            <w:r>
              <w:rPr>
                <w:rFonts w:hint="default"/>
                <w:sz w:val="24"/>
                <w:szCs w:val="24"/>
                <w:lang w:val="en-US" w:eastAsia="zh-CN"/>
              </w:rPr>
              <w:t>2022</w:t>
            </w:r>
            <w:r>
              <w:rPr>
                <w:rFonts w:hint="eastAsia"/>
                <w:sz w:val="24"/>
                <w:szCs w:val="24"/>
                <w:lang w:val="en-US" w:eastAsia="zh-CN"/>
              </w:rPr>
              <w:t>年大气、水、土壤污染防治攻坚战及农业农村污染治理攻坚战实施方案的通知》（新环攻坚办〔</w:t>
            </w:r>
            <w:r>
              <w:rPr>
                <w:rFonts w:hint="default"/>
                <w:sz w:val="24"/>
                <w:szCs w:val="24"/>
                <w:lang w:val="en-US" w:eastAsia="zh-CN"/>
              </w:rPr>
              <w:t>2022</w:t>
            </w:r>
            <w:r>
              <w:rPr>
                <w:rFonts w:hint="eastAsia"/>
                <w:sz w:val="24"/>
                <w:szCs w:val="24"/>
                <w:lang w:val="en-US" w:eastAsia="zh-CN"/>
              </w:rPr>
              <w:t>〕</w:t>
            </w:r>
            <w:r>
              <w:rPr>
                <w:rFonts w:hint="default"/>
                <w:sz w:val="24"/>
                <w:szCs w:val="24"/>
                <w:lang w:val="en-US" w:eastAsia="zh-CN"/>
              </w:rPr>
              <w:t>60</w:t>
            </w:r>
            <w:r>
              <w:rPr>
                <w:rFonts w:hint="eastAsia"/>
                <w:sz w:val="24"/>
                <w:szCs w:val="24"/>
                <w:lang w:val="en-US" w:eastAsia="zh-CN"/>
              </w:rPr>
              <w:t xml:space="preserve">号），新乡市大气、地表水及土壤工作目标如下： </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sz w:val="24"/>
                <w:szCs w:val="24"/>
              </w:rPr>
            </w:pPr>
            <w:r>
              <w:rPr>
                <w:rFonts w:hint="eastAsia"/>
                <w:sz w:val="24"/>
                <w:szCs w:val="24"/>
                <w:lang w:val="en-US" w:eastAsia="zh-CN"/>
              </w:rPr>
              <w:t>①大气：</w:t>
            </w:r>
            <w:r>
              <w:rPr>
                <w:rFonts w:hint="default"/>
                <w:sz w:val="24"/>
                <w:szCs w:val="24"/>
                <w:lang w:val="en-US" w:eastAsia="zh-CN"/>
              </w:rPr>
              <w:t>2022</w:t>
            </w:r>
            <w:r>
              <w:rPr>
                <w:rFonts w:hint="eastAsia"/>
                <w:sz w:val="24"/>
                <w:szCs w:val="24"/>
                <w:lang w:val="en-US" w:eastAsia="zh-CN"/>
              </w:rPr>
              <w:t>年全市细颗粒物（</w:t>
            </w:r>
            <w:r>
              <w:rPr>
                <w:rFonts w:hint="default"/>
                <w:sz w:val="24"/>
                <w:szCs w:val="24"/>
                <w:lang w:val="en-US" w:eastAsia="zh-CN"/>
              </w:rPr>
              <w:t>PM</w:t>
            </w:r>
            <w:r>
              <w:rPr>
                <w:rFonts w:hint="default"/>
                <w:sz w:val="24"/>
                <w:szCs w:val="24"/>
                <w:vertAlign w:val="subscript"/>
                <w:lang w:val="en-US" w:eastAsia="zh-CN"/>
              </w:rPr>
              <w:t>2.5</w:t>
            </w:r>
            <w:r>
              <w:rPr>
                <w:rFonts w:hint="eastAsia"/>
                <w:sz w:val="24"/>
                <w:szCs w:val="24"/>
                <w:lang w:val="en-US" w:eastAsia="zh-CN"/>
              </w:rPr>
              <w:t>）平均浓度控制在</w:t>
            </w:r>
            <w:r>
              <w:rPr>
                <w:rFonts w:hint="default"/>
                <w:sz w:val="24"/>
                <w:szCs w:val="24"/>
                <w:lang w:val="en-US" w:eastAsia="zh-CN"/>
              </w:rPr>
              <w:t>51</w:t>
            </w:r>
            <w:r>
              <w:rPr>
                <w:rFonts w:hint="eastAsia"/>
                <w:sz w:val="24"/>
                <w:szCs w:val="24"/>
                <w:lang w:val="en-US" w:eastAsia="zh-CN"/>
              </w:rPr>
              <w:t>微克/立方米以下，可吸入颗粒物（</w:t>
            </w:r>
            <w:r>
              <w:rPr>
                <w:rFonts w:hint="default"/>
                <w:sz w:val="24"/>
                <w:szCs w:val="24"/>
                <w:lang w:val="en-US" w:eastAsia="zh-CN"/>
              </w:rPr>
              <w:t>PM</w:t>
            </w:r>
            <w:r>
              <w:rPr>
                <w:rFonts w:hint="default"/>
                <w:sz w:val="24"/>
                <w:szCs w:val="24"/>
                <w:vertAlign w:val="subscript"/>
                <w:lang w:val="en-US" w:eastAsia="zh-CN"/>
              </w:rPr>
              <w:t>10</w:t>
            </w:r>
            <w:r>
              <w:rPr>
                <w:rFonts w:hint="eastAsia"/>
                <w:sz w:val="24"/>
                <w:szCs w:val="24"/>
                <w:lang w:val="en-US" w:eastAsia="zh-CN"/>
              </w:rPr>
              <w:t>）平均浓度控制在</w:t>
            </w:r>
            <w:r>
              <w:rPr>
                <w:rFonts w:hint="default"/>
                <w:sz w:val="24"/>
                <w:szCs w:val="24"/>
                <w:lang w:val="en-US" w:eastAsia="zh-CN"/>
              </w:rPr>
              <w:t>91</w:t>
            </w:r>
            <w:r>
              <w:rPr>
                <w:rFonts w:hint="eastAsia"/>
                <w:sz w:val="24"/>
                <w:szCs w:val="24"/>
                <w:lang w:val="en-US" w:eastAsia="zh-CN"/>
              </w:rPr>
              <w:t>微克</w:t>
            </w:r>
            <w:r>
              <w:rPr>
                <w:rFonts w:hint="default"/>
                <w:sz w:val="24"/>
                <w:szCs w:val="24"/>
                <w:lang w:val="en-US" w:eastAsia="zh-CN"/>
              </w:rPr>
              <w:t>/</w:t>
            </w:r>
            <w:r>
              <w:rPr>
                <w:rFonts w:hint="eastAsia"/>
                <w:sz w:val="24"/>
                <w:szCs w:val="24"/>
                <w:lang w:val="en-US" w:eastAsia="zh-CN"/>
              </w:rPr>
              <w:t>立方米以下，</w:t>
            </w:r>
            <w:r>
              <w:rPr>
                <w:rFonts w:hint="default"/>
                <w:sz w:val="24"/>
                <w:szCs w:val="24"/>
                <w:lang w:val="en-US" w:eastAsia="zh-CN"/>
              </w:rPr>
              <w:t>5-9</w:t>
            </w:r>
            <w:r>
              <w:rPr>
                <w:rFonts w:hint="eastAsia"/>
                <w:sz w:val="24"/>
                <w:szCs w:val="24"/>
                <w:lang w:val="en-US" w:eastAsia="zh-CN"/>
              </w:rPr>
              <w:t>月臭氧（</w:t>
            </w:r>
            <w:r>
              <w:rPr>
                <w:rFonts w:hint="default"/>
                <w:sz w:val="24"/>
                <w:szCs w:val="24"/>
                <w:lang w:val="en-US" w:eastAsia="zh-CN"/>
              </w:rPr>
              <w:t>O</w:t>
            </w:r>
            <w:r>
              <w:rPr>
                <w:rFonts w:hint="default"/>
                <w:sz w:val="24"/>
                <w:szCs w:val="24"/>
                <w:vertAlign w:val="subscript"/>
                <w:lang w:val="en-US" w:eastAsia="zh-CN"/>
              </w:rPr>
              <w:t>3</w:t>
            </w:r>
            <w:r>
              <w:rPr>
                <w:rFonts w:hint="eastAsia"/>
                <w:sz w:val="24"/>
                <w:szCs w:val="24"/>
                <w:lang w:val="en-US" w:eastAsia="zh-CN"/>
              </w:rPr>
              <w:t>）日最大</w:t>
            </w:r>
            <w:r>
              <w:rPr>
                <w:rFonts w:hint="default"/>
                <w:sz w:val="24"/>
                <w:szCs w:val="24"/>
                <w:lang w:val="en-US" w:eastAsia="zh-CN"/>
              </w:rPr>
              <w:t>8</w:t>
            </w:r>
            <w:r>
              <w:rPr>
                <w:rFonts w:hint="eastAsia"/>
                <w:sz w:val="24"/>
                <w:szCs w:val="24"/>
                <w:lang w:val="en-US" w:eastAsia="zh-CN"/>
              </w:rPr>
              <w:t>小时平均浓度超标率控制在</w:t>
            </w:r>
            <w:r>
              <w:rPr>
                <w:rFonts w:hint="default"/>
                <w:sz w:val="24"/>
                <w:szCs w:val="24"/>
                <w:lang w:val="en-US" w:eastAsia="zh-CN"/>
              </w:rPr>
              <w:t>31.7%</w:t>
            </w:r>
            <w:r>
              <w:rPr>
                <w:rFonts w:hint="eastAsia"/>
                <w:sz w:val="24"/>
                <w:szCs w:val="24"/>
                <w:lang w:val="en-US" w:eastAsia="zh-CN"/>
              </w:rPr>
              <w:t>（</w:t>
            </w:r>
            <w:r>
              <w:rPr>
                <w:rFonts w:hint="default"/>
                <w:sz w:val="24"/>
                <w:szCs w:val="24"/>
                <w:lang w:val="en-US" w:eastAsia="zh-CN"/>
              </w:rPr>
              <w:t>49</w:t>
            </w:r>
            <w:r>
              <w:rPr>
                <w:rFonts w:hint="eastAsia"/>
                <w:sz w:val="24"/>
                <w:szCs w:val="24"/>
                <w:lang w:val="en-US" w:eastAsia="zh-CN"/>
              </w:rPr>
              <w:t>天）及以下，环境空气质量优良天数比例不低于</w:t>
            </w:r>
            <w:r>
              <w:rPr>
                <w:rFonts w:hint="default"/>
                <w:sz w:val="24"/>
                <w:szCs w:val="24"/>
                <w:lang w:val="en-US" w:eastAsia="zh-CN"/>
              </w:rPr>
              <w:t>61.0%</w:t>
            </w:r>
            <w:r>
              <w:rPr>
                <w:rFonts w:hint="eastAsia"/>
                <w:sz w:val="24"/>
                <w:szCs w:val="24"/>
                <w:lang w:val="en-US" w:eastAsia="zh-CN"/>
              </w:rPr>
              <w:t>（</w:t>
            </w:r>
            <w:r>
              <w:rPr>
                <w:rFonts w:hint="default"/>
                <w:sz w:val="24"/>
                <w:szCs w:val="24"/>
                <w:lang w:val="en-US" w:eastAsia="zh-CN"/>
              </w:rPr>
              <w:t>223</w:t>
            </w:r>
            <w:r>
              <w:rPr>
                <w:rFonts w:hint="eastAsia"/>
                <w:sz w:val="24"/>
                <w:szCs w:val="24"/>
                <w:lang w:val="en-US" w:eastAsia="zh-CN"/>
              </w:rPr>
              <w:t>天），重污染天数比例不高于</w:t>
            </w:r>
            <w:r>
              <w:rPr>
                <w:rFonts w:hint="default"/>
                <w:sz w:val="24"/>
                <w:szCs w:val="24"/>
                <w:lang w:val="en-US" w:eastAsia="zh-CN"/>
              </w:rPr>
              <w:t>3.0%</w:t>
            </w:r>
            <w:r>
              <w:rPr>
                <w:rFonts w:hint="eastAsia"/>
                <w:sz w:val="24"/>
                <w:szCs w:val="24"/>
                <w:lang w:val="en-US" w:eastAsia="zh-CN"/>
              </w:rPr>
              <w:t>（</w:t>
            </w:r>
            <w:r>
              <w:rPr>
                <w:rFonts w:hint="default"/>
                <w:sz w:val="24"/>
                <w:szCs w:val="24"/>
                <w:lang w:val="en-US" w:eastAsia="zh-CN"/>
              </w:rPr>
              <w:t>11</w:t>
            </w:r>
            <w:r>
              <w:rPr>
                <w:rFonts w:hint="eastAsia"/>
                <w:sz w:val="24"/>
                <w:szCs w:val="24"/>
                <w:lang w:val="en-US" w:eastAsia="zh-CN"/>
              </w:rPr>
              <w:t>天）。</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color w:val="auto"/>
                <w:sz w:val="24"/>
                <w:szCs w:val="24"/>
              </w:rPr>
            </w:pPr>
            <w:r>
              <w:rPr>
                <w:rFonts w:hint="eastAsia"/>
                <w:color w:val="auto"/>
                <w:sz w:val="24"/>
                <w:szCs w:val="24"/>
                <w:lang w:val="en-US" w:eastAsia="zh-CN"/>
              </w:rPr>
              <w:t>根据《新乡市</w:t>
            </w:r>
            <w:r>
              <w:rPr>
                <w:rFonts w:hint="default"/>
                <w:color w:val="auto"/>
                <w:sz w:val="24"/>
                <w:szCs w:val="24"/>
                <w:lang w:val="en-US" w:eastAsia="zh-CN"/>
              </w:rPr>
              <w:t>202</w:t>
            </w:r>
            <w:r>
              <w:rPr>
                <w:rFonts w:hint="eastAsia"/>
                <w:color w:val="auto"/>
                <w:sz w:val="24"/>
                <w:szCs w:val="24"/>
                <w:lang w:val="en-US" w:eastAsia="zh-CN"/>
              </w:rPr>
              <w:t>2年度环境质量概要》，除</w:t>
            </w:r>
            <w:r>
              <w:rPr>
                <w:rFonts w:hint="default"/>
                <w:color w:val="auto"/>
                <w:sz w:val="24"/>
                <w:szCs w:val="24"/>
                <w:lang w:val="en-US" w:eastAsia="zh-CN"/>
              </w:rPr>
              <w:t>SO</w:t>
            </w:r>
            <w:r>
              <w:rPr>
                <w:rFonts w:hint="default"/>
                <w:color w:val="auto"/>
                <w:sz w:val="24"/>
                <w:szCs w:val="24"/>
                <w:vertAlign w:val="subscript"/>
                <w:lang w:val="en-US" w:eastAsia="zh-CN"/>
              </w:rPr>
              <w:t>2</w:t>
            </w:r>
            <w:r>
              <w:rPr>
                <w:rFonts w:hint="eastAsia"/>
                <w:color w:val="auto"/>
                <w:sz w:val="24"/>
                <w:szCs w:val="24"/>
                <w:lang w:val="en-US" w:eastAsia="zh-CN"/>
              </w:rPr>
              <w:t>、</w:t>
            </w:r>
            <w:r>
              <w:rPr>
                <w:rFonts w:hint="default"/>
                <w:color w:val="auto"/>
                <w:sz w:val="24"/>
                <w:szCs w:val="24"/>
                <w:lang w:val="en-US" w:eastAsia="zh-CN"/>
              </w:rPr>
              <w:t>NO</w:t>
            </w:r>
            <w:r>
              <w:rPr>
                <w:rFonts w:hint="default"/>
                <w:color w:val="auto"/>
                <w:sz w:val="24"/>
                <w:szCs w:val="24"/>
                <w:vertAlign w:val="subscript"/>
                <w:lang w:val="en-US" w:eastAsia="zh-CN"/>
              </w:rPr>
              <w:t>2</w:t>
            </w:r>
            <w:r>
              <w:rPr>
                <w:rFonts w:hint="eastAsia"/>
                <w:color w:val="auto"/>
                <w:sz w:val="24"/>
                <w:szCs w:val="24"/>
                <w:lang w:val="en-US" w:eastAsia="zh-CN"/>
              </w:rPr>
              <w:t>、</w:t>
            </w:r>
            <w:r>
              <w:rPr>
                <w:rFonts w:hint="default"/>
                <w:color w:val="auto"/>
                <w:sz w:val="24"/>
                <w:szCs w:val="24"/>
                <w:lang w:val="en-US" w:eastAsia="zh-CN"/>
              </w:rPr>
              <w:t>CO</w:t>
            </w:r>
            <w:r>
              <w:rPr>
                <w:rFonts w:hint="eastAsia"/>
                <w:color w:val="auto"/>
                <w:sz w:val="24"/>
                <w:szCs w:val="24"/>
                <w:lang w:val="en-US" w:eastAsia="zh-CN"/>
              </w:rPr>
              <w:t>达标外，其他因子</w:t>
            </w:r>
            <w:r>
              <w:rPr>
                <w:rFonts w:hint="default"/>
                <w:color w:val="auto"/>
                <w:sz w:val="24"/>
                <w:szCs w:val="24"/>
                <w:lang w:val="en-US" w:eastAsia="zh-CN"/>
              </w:rPr>
              <w:t>PM</w:t>
            </w:r>
            <w:r>
              <w:rPr>
                <w:rFonts w:hint="default"/>
                <w:color w:val="auto"/>
                <w:sz w:val="24"/>
                <w:szCs w:val="24"/>
                <w:vertAlign w:val="subscript"/>
                <w:lang w:val="en-US" w:eastAsia="zh-CN"/>
              </w:rPr>
              <w:t>10</w:t>
            </w:r>
            <w:r>
              <w:rPr>
                <w:rFonts w:hint="eastAsia"/>
                <w:color w:val="auto"/>
                <w:sz w:val="24"/>
                <w:szCs w:val="24"/>
                <w:lang w:val="en-US" w:eastAsia="zh-CN"/>
              </w:rPr>
              <w:t>、</w:t>
            </w:r>
            <w:r>
              <w:rPr>
                <w:rFonts w:hint="default"/>
                <w:color w:val="auto"/>
                <w:sz w:val="24"/>
                <w:szCs w:val="24"/>
                <w:lang w:val="en-US" w:eastAsia="zh-CN"/>
              </w:rPr>
              <w:t>PM</w:t>
            </w:r>
            <w:r>
              <w:rPr>
                <w:rFonts w:hint="default"/>
                <w:color w:val="auto"/>
                <w:sz w:val="24"/>
                <w:szCs w:val="24"/>
                <w:vertAlign w:val="subscript"/>
                <w:lang w:val="en-US" w:eastAsia="zh-CN"/>
              </w:rPr>
              <w:t>2.5</w:t>
            </w:r>
            <w:r>
              <w:rPr>
                <w:rFonts w:hint="eastAsia"/>
                <w:color w:val="auto"/>
                <w:sz w:val="24"/>
                <w:szCs w:val="24"/>
                <w:lang w:val="en-US" w:eastAsia="zh-CN"/>
              </w:rPr>
              <w:t>、</w:t>
            </w:r>
            <w:r>
              <w:rPr>
                <w:rFonts w:hint="default"/>
                <w:color w:val="auto"/>
                <w:sz w:val="24"/>
                <w:szCs w:val="24"/>
                <w:lang w:val="en-US" w:eastAsia="zh-CN"/>
              </w:rPr>
              <w:t>O</w:t>
            </w:r>
            <w:r>
              <w:rPr>
                <w:rFonts w:hint="default"/>
                <w:color w:val="auto"/>
                <w:sz w:val="24"/>
                <w:szCs w:val="24"/>
                <w:vertAlign w:val="subscript"/>
                <w:lang w:val="en-US" w:eastAsia="zh-CN"/>
              </w:rPr>
              <w:t>3</w:t>
            </w:r>
            <w:r>
              <w:rPr>
                <w:rFonts w:hint="eastAsia"/>
                <w:color w:val="auto"/>
                <w:sz w:val="24"/>
                <w:szCs w:val="24"/>
                <w:lang w:val="en-US" w:eastAsia="zh-CN"/>
              </w:rPr>
              <w:t>均不能够满足《环境空气质量标准》（</w:t>
            </w:r>
            <w:r>
              <w:rPr>
                <w:rFonts w:hint="default"/>
                <w:color w:val="auto"/>
                <w:sz w:val="24"/>
                <w:szCs w:val="24"/>
                <w:lang w:val="en-US" w:eastAsia="zh-CN"/>
              </w:rPr>
              <w:t>GB3095-2012</w:t>
            </w:r>
            <w:r>
              <w:rPr>
                <w:rFonts w:hint="eastAsia"/>
                <w:color w:val="auto"/>
                <w:sz w:val="24"/>
                <w:szCs w:val="24"/>
                <w:lang w:val="en-US" w:eastAsia="zh-CN"/>
              </w:rPr>
              <w:t>）及其</w:t>
            </w:r>
            <w:r>
              <w:rPr>
                <w:rFonts w:hint="default"/>
                <w:color w:val="auto"/>
                <w:sz w:val="24"/>
                <w:szCs w:val="24"/>
                <w:lang w:val="en-US" w:eastAsia="zh-CN"/>
              </w:rPr>
              <w:t>2018</w:t>
            </w:r>
            <w:r>
              <w:rPr>
                <w:rFonts w:hint="eastAsia"/>
                <w:color w:val="auto"/>
                <w:sz w:val="24"/>
                <w:szCs w:val="24"/>
                <w:lang w:val="en-US" w:eastAsia="zh-CN"/>
              </w:rPr>
              <w:t>年修改单二级标准要求。根据《环境影响评价技术导则大气环境》</w:t>
            </w:r>
            <w:r>
              <w:rPr>
                <w:rFonts w:hint="default"/>
                <w:color w:val="auto"/>
                <w:sz w:val="24"/>
                <w:szCs w:val="24"/>
                <w:lang w:val="en-US" w:eastAsia="zh-CN"/>
              </w:rPr>
              <w:t>(HJ2.2-2018)</w:t>
            </w:r>
            <w:r>
              <w:rPr>
                <w:rFonts w:hint="eastAsia"/>
                <w:color w:val="auto"/>
                <w:sz w:val="24"/>
                <w:szCs w:val="24"/>
                <w:lang w:val="en-US" w:eastAsia="zh-CN"/>
              </w:rPr>
              <w:t xml:space="preserve">，本项目所在区域属于不达标区。 </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sz w:val="24"/>
                <w:szCs w:val="24"/>
                <w:lang w:val="en-US" w:eastAsia="zh-CN"/>
              </w:rPr>
            </w:pPr>
            <w:r>
              <w:rPr>
                <w:rFonts w:hint="eastAsia"/>
                <w:sz w:val="24"/>
                <w:szCs w:val="24"/>
                <w:lang w:val="en-US" w:eastAsia="zh-CN"/>
              </w:rPr>
              <w:t>②地表水：完成国家下达和我省确定的地表水环境质量和饮用水水源地取水水质目标；县级以上城市集中式饮用水水源地取水水质达标率达到</w:t>
            </w:r>
            <w:r>
              <w:rPr>
                <w:rFonts w:hint="default"/>
                <w:sz w:val="24"/>
                <w:szCs w:val="24"/>
                <w:lang w:val="en-US" w:eastAsia="zh-CN"/>
              </w:rPr>
              <w:t>100%(</w:t>
            </w:r>
            <w:r>
              <w:rPr>
                <w:rFonts w:hint="eastAsia"/>
                <w:sz w:val="24"/>
                <w:szCs w:val="24"/>
                <w:lang w:val="en-US" w:eastAsia="zh-CN"/>
              </w:rPr>
              <w:t>自然本底值高除外</w:t>
            </w:r>
            <w:r>
              <w:rPr>
                <w:rFonts w:hint="default"/>
                <w:sz w:val="24"/>
                <w:szCs w:val="24"/>
                <w:lang w:val="en-US" w:eastAsia="zh-CN"/>
              </w:rPr>
              <w:t>)</w:t>
            </w:r>
            <w:r>
              <w:rPr>
                <w:rFonts w:hint="eastAsia"/>
                <w:sz w:val="24"/>
                <w:szCs w:val="24"/>
                <w:lang w:val="en-US" w:eastAsia="zh-CN"/>
              </w:rPr>
              <w:t xml:space="preserve">。 </w:t>
            </w:r>
          </w:p>
          <w:p>
            <w:pPr>
              <w:pStyle w:val="4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leftChars="0" w:right="0" w:firstLine="480" w:firstLineChars="200"/>
              <w:textAlignment w:val="auto"/>
              <w:rPr>
                <w:rFonts w:hint="eastAsia" w:ascii="宋体" w:hAnsi="宋体"/>
                <w:color w:val="auto"/>
                <w:sz w:val="24"/>
              </w:rPr>
            </w:pPr>
            <w:r>
              <w:rPr>
                <w:rFonts w:hint="eastAsia"/>
                <w:sz w:val="24"/>
                <w:szCs w:val="24"/>
                <w:highlight w:val="none"/>
                <w:lang w:val="en-US" w:eastAsia="zh-CN"/>
              </w:rPr>
              <w:t>该项目无生产及生活废水排放，距离项目最近的纳污水体为东孟姜女河，依据新乡市生态环境关于下达《</w:t>
            </w:r>
            <w:r>
              <w:rPr>
                <w:rFonts w:hint="default"/>
                <w:sz w:val="24"/>
                <w:szCs w:val="24"/>
                <w:highlight w:val="none"/>
                <w:lang w:val="en-US" w:eastAsia="zh-CN"/>
              </w:rPr>
              <w:t>2022</w:t>
            </w:r>
            <w:r>
              <w:rPr>
                <w:rFonts w:hint="eastAsia"/>
                <w:sz w:val="24"/>
                <w:szCs w:val="24"/>
                <w:highlight w:val="none"/>
                <w:lang w:val="en-US" w:eastAsia="zh-CN"/>
              </w:rPr>
              <w:t>年地表水环境质量暂定目标》的函，</w:t>
            </w:r>
            <w:r>
              <w:rPr>
                <w:rFonts w:hint="eastAsia" w:ascii="Times New Roman" w:hAnsi="Times New Roman" w:eastAsia="宋体" w:cs="Times New Roman"/>
                <w:color w:val="auto"/>
                <w:sz w:val="24"/>
                <w:szCs w:val="24"/>
                <w:highlight w:val="none"/>
                <w:lang w:val="en-US" w:eastAsia="zh-CN"/>
              </w:rPr>
              <w:t>东</w:t>
            </w:r>
            <w:r>
              <w:rPr>
                <w:rFonts w:hint="default" w:ascii="Times New Roman" w:hAnsi="Times New Roman" w:eastAsia="宋体" w:cs="Times New Roman"/>
                <w:color w:val="auto"/>
                <w:sz w:val="24"/>
                <w:szCs w:val="24"/>
                <w:highlight w:val="none"/>
                <w:lang w:val="en-US" w:eastAsia="zh-CN"/>
              </w:rPr>
              <w:t>孟</w:t>
            </w:r>
            <w:r>
              <w:rPr>
                <w:rFonts w:hint="default" w:ascii="Times New Roman" w:hAnsi="Times New Roman" w:eastAsia="宋体" w:cs="Times New Roman"/>
                <w:color w:val="auto"/>
                <w:sz w:val="24"/>
                <w:szCs w:val="24"/>
                <w:lang w:val="en-US" w:eastAsia="zh-CN"/>
              </w:rPr>
              <w:t>姜女河</w:t>
            </w:r>
            <w:r>
              <w:rPr>
                <w:rFonts w:hint="eastAsia" w:cs="Times New Roman"/>
                <w:color w:val="auto"/>
                <w:sz w:val="24"/>
                <w:szCs w:val="24"/>
                <w:lang w:val="en-US" w:eastAsia="zh-CN"/>
              </w:rPr>
              <w:t>区域水体</w:t>
            </w: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年地表水环境质量目标为</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4 \* ROMAN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IV</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sz w:val="24"/>
                <w:szCs w:val="24"/>
                <w:lang w:val="en-US" w:eastAsia="zh-CN"/>
              </w:rPr>
            </w:pPr>
            <w:r>
              <w:rPr>
                <w:rFonts w:hint="eastAsia"/>
                <w:sz w:val="24"/>
                <w:szCs w:val="24"/>
                <w:lang w:val="en-US" w:eastAsia="zh-CN"/>
              </w:rPr>
              <w:t>③土壤：全市土壤和地下水环境质量总体保持稳定，土壤和地下水环境风险得到管控，土壤污染防治体系基本完善；土壤安全利用进一步巩固提升，受污染耕地安全利用率实现</w:t>
            </w:r>
            <w:r>
              <w:rPr>
                <w:rFonts w:hint="default"/>
                <w:sz w:val="24"/>
                <w:szCs w:val="24"/>
                <w:lang w:val="en-US" w:eastAsia="zh-CN"/>
              </w:rPr>
              <w:t>95%</w:t>
            </w:r>
            <w:r>
              <w:rPr>
                <w:rFonts w:hint="eastAsia"/>
                <w:sz w:val="24"/>
                <w:szCs w:val="24"/>
                <w:lang w:val="en-US" w:eastAsia="zh-CN"/>
              </w:rPr>
              <w:t xml:space="preserve">以上，重点建设用地安全利用有效保障。地下水国考区域点位、“双源”（地下水型饮用水水源、重点污染源）点位水质保持稳定。 </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default"/>
                <w:sz w:val="24"/>
                <w:szCs w:val="24"/>
                <w:lang w:val="en-US" w:eastAsia="zh-CN"/>
              </w:rPr>
            </w:pPr>
            <w:r>
              <w:rPr>
                <w:rFonts w:hint="default"/>
                <w:sz w:val="24"/>
                <w:szCs w:val="24"/>
                <w:lang w:val="en-US" w:eastAsia="zh-CN"/>
              </w:rPr>
              <w:t>④噪声：建设项目所在区域为2类声环境功能区，各厂界应执行《声环境质量标准》（GB3096-2008）2类标准（昼间</w:t>
            </w:r>
            <w:r>
              <w:rPr>
                <w:rFonts w:hint="eastAsia"/>
                <w:sz w:val="24"/>
                <w:szCs w:val="24"/>
                <w:lang w:val="en-US" w:eastAsia="zh-CN"/>
              </w:rPr>
              <w:t>≤</w:t>
            </w:r>
            <w:r>
              <w:rPr>
                <w:rFonts w:hint="default"/>
                <w:sz w:val="24"/>
                <w:szCs w:val="24"/>
                <w:lang w:val="en-US" w:eastAsia="zh-CN"/>
              </w:rPr>
              <w:t>60dB（A），夜间</w:t>
            </w:r>
            <w:r>
              <w:rPr>
                <w:rFonts w:hint="eastAsia"/>
                <w:sz w:val="24"/>
                <w:szCs w:val="24"/>
                <w:lang w:val="en-US" w:eastAsia="zh-CN"/>
              </w:rPr>
              <w:t>≤</w:t>
            </w:r>
            <w:r>
              <w:rPr>
                <w:rFonts w:hint="default"/>
                <w:sz w:val="24"/>
                <w:szCs w:val="24"/>
                <w:lang w:val="en-US" w:eastAsia="zh-CN"/>
              </w:rPr>
              <w:t>50dB（A）），</w:t>
            </w:r>
            <w:r>
              <w:rPr>
                <w:rFonts w:hint="eastAsia"/>
                <w:sz w:val="24"/>
                <w:szCs w:val="24"/>
                <w:lang w:val="en-US" w:eastAsia="zh-CN"/>
              </w:rPr>
              <w:t>建设单位对</w:t>
            </w:r>
            <w:r>
              <w:rPr>
                <w:rFonts w:hint="default"/>
                <w:sz w:val="24"/>
                <w:szCs w:val="24"/>
                <w:lang w:val="en-US" w:eastAsia="zh-CN"/>
              </w:rPr>
              <w:t>厂界50米范围内</w:t>
            </w:r>
            <w:r>
              <w:rPr>
                <w:rFonts w:hint="eastAsia"/>
                <w:sz w:val="24"/>
                <w:szCs w:val="24"/>
                <w:lang w:val="en-US" w:eastAsia="zh-CN"/>
              </w:rPr>
              <w:t>的敏感点（敦留店村）进行了现状环境质量监测，监测结果显示厂界四周噪声实测值均能达到</w:t>
            </w:r>
            <w:r>
              <w:rPr>
                <w:rFonts w:hint="default"/>
                <w:sz w:val="24"/>
                <w:szCs w:val="24"/>
                <w:lang w:val="en-US" w:eastAsia="zh-CN"/>
              </w:rPr>
              <w:t>《声环境质量标准》（GB3096-2008）2类标准（昼间</w:t>
            </w:r>
            <w:r>
              <w:rPr>
                <w:rFonts w:hint="eastAsia"/>
                <w:sz w:val="24"/>
                <w:szCs w:val="24"/>
                <w:lang w:val="en-US" w:eastAsia="zh-CN"/>
              </w:rPr>
              <w:t>≤</w:t>
            </w:r>
            <w:r>
              <w:rPr>
                <w:rFonts w:hint="default"/>
                <w:sz w:val="24"/>
                <w:szCs w:val="24"/>
                <w:lang w:val="en-US" w:eastAsia="zh-CN"/>
              </w:rPr>
              <w:t>60dB（A），夜间</w:t>
            </w:r>
            <w:r>
              <w:rPr>
                <w:rFonts w:hint="eastAsia"/>
                <w:sz w:val="24"/>
                <w:szCs w:val="24"/>
                <w:lang w:val="en-US" w:eastAsia="zh-CN"/>
              </w:rPr>
              <w:t>≤</w:t>
            </w:r>
            <w:r>
              <w:rPr>
                <w:rFonts w:hint="default"/>
                <w:sz w:val="24"/>
                <w:szCs w:val="24"/>
                <w:lang w:val="en-US" w:eastAsia="zh-CN"/>
              </w:rPr>
              <w:t>50dB（A））</w:t>
            </w:r>
            <w:r>
              <w:rPr>
                <w:rFonts w:hint="eastAsia"/>
                <w:sz w:val="24"/>
                <w:szCs w:val="24"/>
                <w:lang w:val="en-US" w:eastAsia="zh-CN"/>
              </w:rPr>
              <w:t>的限值要求。</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sz w:val="24"/>
                <w:szCs w:val="24"/>
                <w:lang w:val="en-US" w:eastAsia="zh-CN"/>
              </w:rPr>
            </w:pPr>
            <w:r>
              <w:rPr>
                <w:rFonts w:hint="eastAsia"/>
                <w:sz w:val="24"/>
                <w:szCs w:val="24"/>
                <w:lang w:val="en-US" w:eastAsia="zh-CN"/>
              </w:rPr>
              <w:t>⑤本项目产生的颗粒物废气通过脉冲袋式除尘器处理后尾气由</w:t>
            </w:r>
            <w:r>
              <w:rPr>
                <w:rFonts w:hint="default"/>
                <w:sz w:val="24"/>
                <w:szCs w:val="24"/>
                <w:lang w:val="en-US" w:eastAsia="zh-CN"/>
              </w:rPr>
              <w:t>15m</w:t>
            </w:r>
            <w:r>
              <w:rPr>
                <w:rFonts w:hint="eastAsia"/>
                <w:sz w:val="24"/>
                <w:szCs w:val="24"/>
                <w:lang w:val="en-US" w:eastAsia="zh-CN"/>
              </w:rPr>
              <w:t xml:space="preserve">排气筒进行排放。实现稳定达标排放，对区域环境空气质量影响较小；项目生产废水沉淀后回用不外排、生活污水经化粪池处理后定期清运不外排，不会对周边地表水环境造成不利影响；固体废物全部得到资源化利用；根据噪声预测结果，在采取噪声防治措施后，企业厂界噪声排放满足达标要求；项目化粪池采取防渗措施，不会对地下水产生影响。因此，落实本环评提出的相关防治措施后，本项目排放的污染物不会对区域环境质量底线造成冲击，满足环境质量底线的要求。 </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sz w:val="24"/>
                <w:szCs w:val="24"/>
                <w:lang w:val="en-US" w:eastAsia="zh-CN"/>
              </w:rPr>
            </w:pPr>
            <w:r>
              <w:rPr>
                <w:rFonts w:hint="eastAsia"/>
                <w:sz w:val="24"/>
                <w:szCs w:val="24"/>
                <w:lang w:val="en-US" w:eastAsia="zh-CN"/>
              </w:rPr>
              <w:t>（</w:t>
            </w:r>
            <w:r>
              <w:rPr>
                <w:rFonts w:hint="default"/>
                <w:sz w:val="24"/>
                <w:szCs w:val="24"/>
                <w:lang w:val="en-US" w:eastAsia="zh-CN"/>
              </w:rPr>
              <w:t>3</w:t>
            </w:r>
            <w:r>
              <w:rPr>
                <w:rFonts w:hint="eastAsia"/>
                <w:sz w:val="24"/>
                <w:szCs w:val="24"/>
                <w:lang w:val="en-US" w:eastAsia="zh-CN"/>
              </w:rPr>
              <w:t xml:space="preserve">）资源利用上线 </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sz w:val="24"/>
                <w:szCs w:val="24"/>
                <w:lang w:val="en-US" w:eastAsia="zh-CN"/>
              </w:rPr>
            </w:pPr>
            <w:r>
              <w:rPr>
                <w:rFonts w:hint="eastAsia"/>
                <w:sz w:val="24"/>
                <w:szCs w:val="24"/>
                <w:lang w:val="en-US" w:eastAsia="zh-CN"/>
              </w:rPr>
              <w:t>本项目属于水泥制品制造，不属于高耗水工业行业。本项目利用现有厂房进行建设，对土地资源影响较小。营运期通过内部管理、设备选择、原辅材料的选用和管理、废物回收利用、污染治理等多方面采取合理可行的防治措施，以“节能、降耗、减污”为目标，有效地控制污染，实现废物资源化。故本项目不会对区域资源利用造成负面影响。项目的水、气等资源利用不会突破区域的资源利用上线。</w:t>
            </w:r>
          </w:p>
          <w:p>
            <w:pPr>
              <w:spacing w:line="440" w:lineRule="exact"/>
              <w:ind w:firstLine="240" w:firstLineChars="100"/>
              <w:rPr>
                <w:rFonts w:hint="default"/>
                <w:sz w:val="24"/>
                <w:szCs w:val="24"/>
              </w:rPr>
            </w:pPr>
            <w:r>
              <w:rPr>
                <w:rFonts w:hint="default"/>
                <w:sz w:val="24"/>
                <w:szCs w:val="24"/>
              </w:rPr>
              <w:t>（4）生态环境准入清单</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default"/>
                <w:sz w:val="24"/>
                <w:szCs w:val="24"/>
                <w:lang w:val="en-US" w:eastAsia="zh-CN"/>
              </w:rPr>
            </w:pPr>
            <w:r>
              <w:rPr>
                <w:rFonts w:hint="eastAsia"/>
                <w:sz w:val="24"/>
                <w:szCs w:val="24"/>
                <w:lang w:val="en-US" w:eastAsia="zh-CN"/>
              </w:rPr>
              <w:t>本项目与河南省生态环境分区管控总体要求、新乡市生态环境准入要求以及新乡县大气高排放区环境准入要求相符性分析见下表。</w:t>
            </w:r>
          </w:p>
          <w:p>
            <w:pPr>
              <w:keepNext w:val="0"/>
              <w:keepLines w:val="0"/>
              <w:pageBreakBefore w:val="0"/>
              <w:widowControl/>
              <w:suppressLineNumbers w:val="0"/>
              <w:kinsoku/>
              <w:wordWrap/>
              <w:overflowPunct/>
              <w:topLinePunct w:val="0"/>
              <w:autoSpaceDE/>
              <w:autoSpaceDN/>
              <w:bidi w:val="0"/>
              <w:adjustRightInd/>
              <w:snapToGrid/>
              <w:spacing w:before="157" w:beforeLines="50"/>
              <w:jc w:val="left"/>
              <w:textAlignment w:val="auto"/>
            </w:pPr>
            <w:r>
              <w:rPr>
                <w:rFonts w:hint="default"/>
                <w:b/>
                <w:bCs/>
                <w:sz w:val="24"/>
                <w:szCs w:val="24"/>
                <w:lang w:val="pt-BR" w:eastAsia="zh-CN"/>
              </w:rPr>
              <w:t>表1</w:t>
            </w:r>
            <w:r>
              <w:rPr>
                <w:rFonts w:hint="eastAsia"/>
                <w:b/>
                <w:bCs/>
                <w:sz w:val="24"/>
                <w:szCs w:val="24"/>
                <w:lang w:val="en-US" w:eastAsia="zh-CN"/>
              </w:rPr>
              <w:t>-2</w:t>
            </w:r>
            <w:r>
              <w:rPr>
                <w:rFonts w:hint="default"/>
                <w:b/>
                <w:bCs/>
                <w:sz w:val="24"/>
                <w:szCs w:val="24"/>
                <w:lang w:val="pt-BR" w:eastAsia="zh-CN"/>
              </w:rPr>
              <w:t xml:space="preserve"> </w:t>
            </w:r>
            <w:r>
              <w:rPr>
                <w:rFonts w:hint="eastAsia" w:ascii="宋体" w:hAnsi="宋体" w:eastAsia="宋体" w:cs="宋体"/>
                <w:b/>
                <w:bCs/>
                <w:color w:val="000000"/>
                <w:kern w:val="0"/>
                <w:sz w:val="24"/>
                <w:szCs w:val="24"/>
                <w:lang w:val="en-US" w:eastAsia="zh-CN" w:bidi="ar"/>
              </w:rPr>
              <w:t>项目与河南省、新乡市及新乡县大气高排放区环境准入要求符合性分析</w:t>
            </w:r>
          </w:p>
          <w:tbl>
            <w:tblPr>
              <w:tblStyle w:val="24"/>
              <w:tblW w:w="8207"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928"/>
              <w:gridCol w:w="2952"/>
              <w:gridCol w:w="1843"/>
              <w:gridCol w:w="865"/>
              <w:gridCol w:w="22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1398" w:type="dxa"/>
                  <w:tcBorders>
                    <w:top w:val="single" w:color="auto" w:sz="8" w:space="0"/>
                    <w:bottom w:val="single" w:color="auto" w:sz="8" w:space="0"/>
                  </w:tcBorders>
                  <w:vAlign w:val="center"/>
                </w:tcPr>
                <w:p>
                  <w:pPr>
                    <w:pStyle w:val="118"/>
                    <w:jc w:val="center"/>
                    <w:rPr>
                      <w:rFonts w:hint="default"/>
                      <w:sz w:val="21"/>
                      <w:szCs w:val="21"/>
                    </w:rPr>
                  </w:pPr>
                  <w:r>
                    <w:rPr>
                      <w:rFonts w:hint="eastAsia" w:ascii="Times New Roman" w:hAnsi="Times New Roman" w:eastAsia="宋体" w:cs="Times New Roman"/>
                      <w:snapToGrid/>
                      <w:color w:val="auto"/>
                      <w:kern w:val="2"/>
                      <w:sz w:val="21"/>
                      <w:szCs w:val="21"/>
                      <w:lang w:val="en-US" w:eastAsia="zh-CN" w:bidi="ar-SA"/>
                    </w:rPr>
                    <w:t>要求</w:t>
                  </w:r>
                  <w:r>
                    <w:rPr>
                      <w:rFonts w:hint="default" w:ascii="Times New Roman" w:hAnsi="Times New Roman" w:eastAsia="宋体" w:cs="Times New Roman"/>
                      <w:snapToGrid/>
                      <w:color w:val="auto"/>
                      <w:kern w:val="2"/>
                      <w:sz w:val="21"/>
                      <w:szCs w:val="21"/>
                      <w:lang w:val="en-US" w:eastAsia="zh-CN" w:bidi="ar-SA"/>
                    </w:rPr>
                    <w:t>名称</w:t>
                  </w:r>
                </w:p>
              </w:tc>
              <w:tc>
                <w:tcPr>
                  <w:tcW w:w="3880" w:type="dxa"/>
                  <w:gridSpan w:val="2"/>
                  <w:tcBorders>
                    <w:top w:val="single" w:color="auto" w:sz="8" w:space="0"/>
                    <w:bottom w:val="single" w:color="auto" w:sz="8" w:space="0"/>
                  </w:tcBorders>
                  <w:vAlign w:val="center"/>
                </w:tcPr>
                <w:p>
                  <w:pPr>
                    <w:adjustRightInd w:val="0"/>
                    <w:snapToGrid w:val="0"/>
                    <w:jc w:val="center"/>
                    <w:textAlignment w:val="baseline"/>
                    <w:rPr>
                      <w:rFonts w:hint="eastAsia"/>
                      <w:sz w:val="21"/>
                      <w:szCs w:val="21"/>
                      <w:lang w:eastAsia="zh-CN"/>
                    </w:rPr>
                  </w:pPr>
                  <w:r>
                    <w:rPr>
                      <w:rFonts w:hint="eastAsia"/>
                      <w:sz w:val="21"/>
                      <w:szCs w:val="21"/>
                      <w:lang w:val="en-US" w:eastAsia="zh-CN"/>
                    </w:rPr>
                    <w:t>具体管控要求</w:t>
                  </w:r>
                </w:p>
              </w:tc>
              <w:tc>
                <w:tcPr>
                  <w:tcW w:w="1843" w:type="dxa"/>
                  <w:tcBorders>
                    <w:bottom w:val="single" w:color="auto" w:sz="8" w:space="0"/>
                  </w:tcBorders>
                  <w:vAlign w:val="center"/>
                </w:tcPr>
                <w:p>
                  <w:pPr>
                    <w:adjustRightInd w:val="0"/>
                    <w:snapToGrid w:val="0"/>
                    <w:jc w:val="center"/>
                    <w:textAlignment w:val="baseline"/>
                    <w:rPr>
                      <w:rFonts w:hint="default"/>
                      <w:sz w:val="21"/>
                      <w:szCs w:val="21"/>
                    </w:rPr>
                  </w:pPr>
                  <w:r>
                    <w:rPr>
                      <w:rFonts w:hint="eastAsia"/>
                      <w:sz w:val="21"/>
                      <w:szCs w:val="21"/>
                      <w:lang w:val="en-US" w:eastAsia="zh-CN"/>
                    </w:rPr>
                    <w:t>本项目情况</w:t>
                  </w:r>
                </w:p>
              </w:tc>
              <w:tc>
                <w:tcPr>
                  <w:tcW w:w="865" w:type="dxa"/>
                  <w:tcBorders>
                    <w:bottom w:val="single" w:color="auto" w:sz="8" w:space="0"/>
                    <w:right w:val="nil"/>
                  </w:tcBorders>
                  <w:vAlign w:val="center"/>
                </w:tcPr>
                <w:p>
                  <w:pPr>
                    <w:adjustRightInd w:val="0"/>
                    <w:snapToGrid w:val="0"/>
                    <w:jc w:val="center"/>
                    <w:textAlignment w:val="baseline"/>
                    <w:rPr>
                      <w:rFonts w:hint="default"/>
                      <w:sz w:val="21"/>
                      <w:szCs w:val="21"/>
                    </w:rPr>
                  </w:pPr>
                  <w:r>
                    <w:rPr>
                      <w:rFonts w:hint="eastAsia"/>
                      <w:sz w:val="21"/>
                      <w:szCs w:val="21"/>
                      <w:lang w:val="en-US" w:eastAsia="zh-CN"/>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7986" w:type="dxa"/>
                  <w:gridSpan w:val="5"/>
                  <w:tcBorders>
                    <w:top w:val="single" w:color="auto" w:sz="8" w:space="0"/>
                    <w:bottom w:val="single" w:color="auto" w:sz="8" w:space="0"/>
                    <w:right w:val="nil"/>
                  </w:tcBorders>
                  <w:vAlign w:val="center"/>
                </w:tcPr>
                <w:p>
                  <w:pPr>
                    <w:keepNext w:val="0"/>
                    <w:keepLines w:val="0"/>
                    <w:widowControl/>
                    <w:suppressLineNumbers w:val="0"/>
                    <w:ind w:firstLine="2310" w:firstLineChars="1100"/>
                    <w:jc w:val="left"/>
                    <w:rPr>
                      <w:rFonts w:hint="default"/>
                      <w:sz w:val="21"/>
                      <w:szCs w:val="21"/>
                    </w:rPr>
                  </w:pPr>
                  <w:r>
                    <w:rPr>
                      <w:rFonts w:hint="eastAsia"/>
                      <w:sz w:val="21"/>
                      <w:szCs w:val="21"/>
                      <w:lang w:val="en-US" w:eastAsia="zh-CN"/>
                    </w:rPr>
                    <w:t>河南省生态环境准入清单符合性分析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1398" w:type="dxa"/>
                  <w:tcBorders>
                    <w:top w:val="single" w:color="auto" w:sz="8" w:space="0"/>
                    <w:bottom w:val="single" w:color="auto" w:sz="8" w:space="0"/>
                  </w:tcBorders>
                  <w:vAlign w:val="center"/>
                </w:tcPr>
                <w:p>
                  <w:pPr>
                    <w:adjustRightInd w:val="0"/>
                    <w:snapToGrid w:val="0"/>
                    <w:jc w:val="center"/>
                    <w:textAlignment w:val="baseline"/>
                    <w:rPr>
                      <w:rFonts w:hint="default"/>
                      <w:sz w:val="21"/>
                      <w:szCs w:val="21"/>
                    </w:rPr>
                  </w:pPr>
                  <w:r>
                    <w:rPr>
                      <w:rFonts w:hint="eastAsia"/>
                      <w:sz w:val="21"/>
                      <w:szCs w:val="21"/>
                      <w:lang w:val="en-US" w:eastAsia="zh-CN"/>
                    </w:rPr>
                    <w:t xml:space="preserve">河南省产业发展总体准入要求 </w:t>
                  </w:r>
                </w:p>
              </w:tc>
              <w:tc>
                <w:tcPr>
                  <w:tcW w:w="3880" w:type="dxa"/>
                  <w:gridSpan w:val="2"/>
                  <w:tcBorders>
                    <w:bottom w:val="single" w:color="auto" w:sz="8" w:space="0"/>
                  </w:tcBorders>
                  <w:vAlign w:val="center"/>
                </w:tcPr>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①推进全省产业高质量发展：培育壮大人工智能及新能源等新兴产业；持续巩固提升装备、食品、新型材料、汽车、电子信息等五大制造业主导产业优势地位；深入推进钢铁、铝工业、水泥、煤化工、煤电等传统产业减量、延长链条、提质发展；加快生产性服务业发展，提升科技支撑能力。充分发挥河南省在推动形成以国内大循环为主体、国内国际双循环相互促进的新发展格局中的作用。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②禁止新建、扩建《产业结构调整指导目录（2019 年本）》明确的淘汰类项目。禁止引入《市场准入负面清单（2019 年版）》禁止准入类事项。</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③原则上禁止新增钢铁、电解铝、水泥、平板玻璃、传统煤化工（甲醇、合成氨）、焦化、铸造、铝用炭素、砖瓦窑、耐火材料等行业产能。</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④原则上禁止新建燃料类煤气发生炉和35蒸吨/时及以下燃煤锅炉。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⑤原则上不再新建天然气热电联产和天然气化工项目。</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⑥禁止耐火材料、陶瓷等行业新建、扩建以煤炭为燃料的项目和企业。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⑦禁止建设生产和使用高VOCs 含量的溶剂型涂料、油墨、胶粘剂等项目。全面取缔露天和敞开式喷涂作业，有条件的工业集聚区建设集中喷涂工程中心。 </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⑧禁止新建采用含汞工艺的电石法聚氯乙烯生产项目，禁止新建原生汞矿，逐步停止原生 汞开采。</w:t>
                  </w:r>
                </w:p>
                <w:p>
                  <w:pPr>
                    <w:keepNext w:val="0"/>
                    <w:keepLines w:val="0"/>
                    <w:widowControl/>
                    <w:suppressLineNumbers w:val="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⑨原则上禁止新建露天矿山建设项目。 </w:t>
                  </w:r>
                </w:p>
                <w:p>
                  <w:pPr>
                    <w:keepNext w:val="0"/>
                    <w:keepLines w:val="0"/>
                    <w:widowControl/>
                    <w:suppressLineNumbers w:val="0"/>
                    <w:jc w:val="left"/>
                    <w:rPr>
                      <w:rFonts w:hint="default"/>
                      <w:sz w:val="21"/>
                      <w:szCs w:val="21"/>
                    </w:rPr>
                  </w:pPr>
                  <w:r>
                    <w:rPr>
                      <w:rFonts w:hint="default" w:ascii="Times New Roman" w:hAnsi="Times New Roman" w:cs="Times New Roman"/>
                      <w:sz w:val="21"/>
                      <w:szCs w:val="21"/>
                      <w:lang w:val="en-US" w:eastAsia="zh-CN"/>
                    </w:rPr>
                    <w:t>⑩支持各省辖市、省直管县（市）大力推动焦炭、铸造、炭素、耐火材料、铁合金、棕刚玉等产业整合，加快集中集群集约发展。</w:t>
                  </w:r>
                </w:p>
              </w:tc>
              <w:tc>
                <w:tcPr>
                  <w:tcW w:w="1843" w:type="dxa"/>
                  <w:tcBorders>
                    <w:bottom w:val="single" w:color="auto" w:sz="8" w:space="0"/>
                  </w:tcBorders>
                  <w:vAlign w:val="center"/>
                </w:tcPr>
                <w:p>
                  <w:pPr>
                    <w:keepNext w:val="0"/>
                    <w:keepLines w:val="0"/>
                    <w:widowControl/>
                    <w:suppressLineNumbers w:val="0"/>
                    <w:jc w:val="left"/>
                    <w:rPr>
                      <w:sz w:val="21"/>
                      <w:szCs w:val="21"/>
                    </w:rPr>
                  </w:pPr>
                  <w:r>
                    <w:rPr>
                      <w:rFonts w:hint="eastAsia"/>
                      <w:sz w:val="21"/>
                      <w:szCs w:val="21"/>
                      <w:lang w:val="en-US" w:eastAsia="zh-CN"/>
                    </w:rPr>
                    <w:t>经逐条对比，本项目不属于上述禁止建设的项目，项目符合河南省产业发展总体准入要求。</w:t>
                  </w:r>
                </w:p>
                <w:p>
                  <w:pPr>
                    <w:keepNext w:val="0"/>
                    <w:keepLines w:val="0"/>
                    <w:widowControl/>
                    <w:suppressLineNumbers w:val="0"/>
                    <w:jc w:val="left"/>
                    <w:rPr>
                      <w:sz w:val="21"/>
                      <w:szCs w:val="21"/>
                    </w:rPr>
                  </w:pPr>
                </w:p>
                <w:p>
                  <w:pPr>
                    <w:adjustRightInd w:val="0"/>
                    <w:snapToGrid w:val="0"/>
                    <w:jc w:val="center"/>
                    <w:textAlignment w:val="baseline"/>
                    <w:rPr>
                      <w:rFonts w:hint="default"/>
                      <w:sz w:val="21"/>
                      <w:szCs w:val="21"/>
                    </w:rPr>
                  </w:pPr>
                </w:p>
              </w:tc>
              <w:tc>
                <w:tcPr>
                  <w:tcW w:w="865" w:type="dxa"/>
                  <w:tcBorders>
                    <w:bottom w:val="single" w:color="auto" w:sz="8" w:space="0"/>
                    <w:right w:val="nil"/>
                  </w:tcBorders>
                  <w:vAlign w:val="center"/>
                </w:tcPr>
                <w:p>
                  <w:pPr>
                    <w:adjustRightInd w:val="0"/>
                    <w:snapToGrid w:val="0"/>
                    <w:jc w:val="center"/>
                    <w:textAlignment w:val="baseline"/>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1398" w:type="dxa"/>
                  <w:tcBorders>
                    <w:top w:val="single" w:color="auto" w:sz="8" w:space="0"/>
                    <w:bottom w:val="single" w:color="auto" w:sz="8" w:space="0"/>
                  </w:tcBorders>
                  <w:vAlign w:val="center"/>
                </w:tcPr>
                <w:p>
                  <w:pPr>
                    <w:keepNext w:val="0"/>
                    <w:keepLines w:val="0"/>
                    <w:widowControl/>
                    <w:suppressLineNumbers w:val="0"/>
                    <w:jc w:val="center"/>
                    <w:rPr>
                      <w:rFonts w:hint="eastAsia"/>
                      <w:sz w:val="21"/>
                      <w:szCs w:val="21"/>
                      <w:lang w:val="en-US" w:eastAsia="zh-CN"/>
                    </w:rPr>
                  </w:pPr>
                  <w:r>
                    <w:rPr>
                      <w:rFonts w:hint="eastAsia"/>
                      <w:sz w:val="21"/>
                      <w:szCs w:val="21"/>
                      <w:lang w:val="en-US" w:eastAsia="zh-CN"/>
                    </w:rPr>
                    <w:t>河南省生态空间总体控制要求</w:t>
                  </w:r>
                </w:p>
              </w:tc>
              <w:tc>
                <w:tcPr>
                  <w:tcW w:w="3880" w:type="dxa"/>
                  <w:gridSpan w:val="2"/>
                  <w:tcBorders>
                    <w:bottom w:val="single" w:color="auto" w:sz="8" w:space="0"/>
                  </w:tcBorders>
                  <w:vAlign w:val="center"/>
                </w:tcPr>
                <w:p>
                  <w:pPr>
                    <w:keepNext w:val="0"/>
                    <w:keepLines w:val="0"/>
                    <w:widowControl/>
                    <w:suppressLineNumbers w:val="0"/>
                    <w:jc w:val="left"/>
                    <w:rPr>
                      <w:sz w:val="21"/>
                      <w:szCs w:val="21"/>
                    </w:rPr>
                  </w:pPr>
                  <w:r>
                    <w:rPr>
                      <w:rFonts w:hint="eastAsia"/>
                      <w:sz w:val="21"/>
                      <w:szCs w:val="21"/>
                      <w:lang w:val="en-US" w:eastAsia="zh-CN"/>
                    </w:rPr>
                    <w:t>生态红线包括：</w:t>
                  </w:r>
                  <w:r>
                    <w:rPr>
                      <w:rFonts w:hint="default"/>
                      <w:sz w:val="21"/>
                      <w:szCs w:val="21"/>
                      <w:lang w:val="en-US" w:eastAsia="zh-CN"/>
                    </w:rPr>
                    <w:t>“</w:t>
                  </w:r>
                  <w:r>
                    <w:rPr>
                      <w:rFonts w:hint="eastAsia"/>
                      <w:sz w:val="21"/>
                      <w:szCs w:val="21"/>
                      <w:lang w:val="en-US" w:eastAsia="zh-CN"/>
                    </w:rPr>
                    <w:t xml:space="preserve">自然保护区、风景名胜区、森林公园、饮用水水源保护区、水产种质资源保护区、湿地公园、地质公园、生态公益林、其它（严格禁止在国家公园、自然保护区、风景名胜区、饮用水水源保护区规划布局新的煤矿项目，严格限制高硫高灰高砷煤项目开 </w:t>
                  </w:r>
                </w:p>
                <w:p>
                  <w:pPr>
                    <w:keepNext w:val="0"/>
                    <w:keepLines w:val="0"/>
                    <w:widowControl/>
                    <w:suppressLineNumbers w:val="0"/>
                    <w:jc w:val="left"/>
                    <w:rPr>
                      <w:sz w:val="21"/>
                      <w:szCs w:val="21"/>
                    </w:rPr>
                  </w:pPr>
                  <w:r>
                    <w:rPr>
                      <w:rFonts w:hint="eastAsia"/>
                      <w:sz w:val="21"/>
                      <w:szCs w:val="21"/>
                      <w:lang w:val="en-US" w:eastAsia="zh-CN"/>
                    </w:rPr>
                    <w:t>发。）</w:t>
                  </w:r>
                  <w:r>
                    <w:rPr>
                      <w:rFonts w:hint="default"/>
                      <w:sz w:val="21"/>
                      <w:szCs w:val="21"/>
                      <w:lang w:val="en-US" w:eastAsia="zh-CN"/>
                    </w:rPr>
                    <w:t>”</w:t>
                  </w:r>
                  <w:r>
                    <w:rPr>
                      <w:rFonts w:hint="eastAsia"/>
                      <w:sz w:val="21"/>
                      <w:szCs w:val="21"/>
                      <w:lang w:val="en-US" w:eastAsia="zh-CN"/>
                    </w:rPr>
                    <w:t>。</w:t>
                  </w:r>
                </w:p>
                <w:p>
                  <w:pPr>
                    <w:keepNext w:val="0"/>
                    <w:keepLines w:val="0"/>
                    <w:widowControl/>
                    <w:suppressLineNumbers w:val="0"/>
                    <w:jc w:val="left"/>
                    <w:rPr>
                      <w:rFonts w:hint="default"/>
                      <w:sz w:val="21"/>
                      <w:szCs w:val="21"/>
                    </w:rPr>
                  </w:pPr>
                  <w:r>
                    <w:rPr>
                      <w:rFonts w:hint="eastAsia"/>
                      <w:sz w:val="21"/>
                      <w:szCs w:val="21"/>
                      <w:lang w:val="en-US" w:eastAsia="zh-CN"/>
                    </w:rPr>
                    <w:t>一般生态空间包括：</w:t>
                  </w:r>
                  <w:r>
                    <w:rPr>
                      <w:rFonts w:hint="default"/>
                      <w:sz w:val="21"/>
                      <w:szCs w:val="21"/>
                      <w:lang w:val="en-US" w:eastAsia="zh-CN"/>
                    </w:rPr>
                    <w:t>“</w:t>
                  </w:r>
                  <w:r>
                    <w:rPr>
                      <w:rFonts w:hint="eastAsia"/>
                      <w:sz w:val="21"/>
                      <w:szCs w:val="21"/>
                      <w:lang w:val="en-US" w:eastAsia="zh-CN"/>
                    </w:rPr>
                    <w:t>水源涵养重要区、水土保持重要区、生物多样性维护重要区、饮用水水源保护区、生态公益林、湿地</w:t>
                  </w:r>
                  <w:r>
                    <w:rPr>
                      <w:rFonts w:hint="default"/>
                      <w:sz w:val="21"/>
                      <w:szCs w:val="21"/>
                      <w:lang w:val="en-US" w:eastAsia="zh-CN"/>
                    </w:rPr>
                    <w:t>”</w:t>
                  </w:r>
                  <w:r>
                    <w:rPr>
                      <w:rFonts w:hint="eastAsia"/>
                      <w:sz w:val="21"/>
                      <w:szCs w:val="21"/>
                      <w:lang w:val="en-US" w:eastAsia="zh-CN"/>
                    </w:rPr>
                    <w:t xml:space="preserve">。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 </w:t>
                  </w:r>
                </w:p>
              </w:tc>
              <w:tc>
                <w:tcPr>
                  <w:tcW w:w="1843" w:type="dxa"/>
                  <w:tcBorders>
                    <w:bottom w:val="single" w:color="auto" w:sz="8" w:space="0"/>
                  </w:tcBorders>
                  <w:vAlign w:val="center"/>
                </w:tcPr>
                <w:p>
                  <w:pPr>
                    <w:keepNext w:val="0"/>
                    <w:keepLines w:val="0"/>
                    <w:widowControl/>
                    <w:suppressLineNumbers w:val="0"/>
                    <w:jc w:val="left"/>
                    <w:rPr>
                      <w:sz w:val="21"/>
                      <w:szCs w:val="21"/>
                    </w:rPr>
                  </w:pPr>
                  <w:r>
                    <w:rPr>
                      <w:rFonts w:hint="eastAsia"/>
                      <w:sz w:val="21"/>
                      <w:szCs w:val="21"/>
                      <w:lang w:val="en-US" w:eastAsia="zh-CN"/>
                    </w:rPr>
                    <w:t>本项目选址用地区域不涉及自然保护区、风景名胜区、森林公园、饮用水水源保护区、水产种质资源保护区、湿地公园、地质公园、生态公益林及其他生态保护红线内容，同时不涉及一般生态空间区域。</w:t>
                  </w:r>
                </w:p>
                <w:p>
                  <w:pPr>
                    <w:adjustRightInd w:val="0"/>
                    <w:snapToGrid w:val="0"/>
                    <w:jc w:val="center"/>
                    <w:textAlignment w:val="baseline"/>
                    <w:rPr>
                      <w:rFonts w:hint="default"/>
                      <w:sz w:val="21"/>
                      <w:szCs w:val="21"/>
                    </w:rPr>
                  </w:pPr>
                </w:p>
              </w:tc>
              <w:tc>
                <w:tcPr>
                  <w:tcW w:w="865" w:type="dxa"/>
                  <w:tcBorders>
                    <w:bottom w:val="single" w:color="auto" w:sz="8" w:space="0"/>
                    <w:right w:val="nil"/>
                  </w:tcBorders>
                  <w:vAlign w:val="center"/>
                </w:tcPr>
                <w:p>
                  <w:pPr>
                    <w:adjustRightInd w:val="0"/>
                    <w:snapToGrid w:val="0"/>
                    <w:jc w:val="center"/>
                    <w:textAlignment w:val="baseline"/>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7986" w:type="dxa"/>
                  <w:gridSpan w:val="5"/>
                  <w:tcBorders>
                    <w:top w:val="single" w:color="auto" w:sz="8" w:space="0"/>
                    <w:bottom w:val="single" w:color="auto" w:sz="8" w:space="0"/>
                    <w:right w:val="nil"/>
                  </w:tcBorders>
                  <w:vAlign w:val="center"/>
                </w:tcPr>
                <w:p>
                  <w:pPr>
                    <w:keepNext w:val="0"/>
                    <w:keepLines w:val="0"/>
                    <w:widowControl/>
                    <w:suppressLineNumbers w:val="0"/>
                    <w:ind w:firstLine="2100" w:firstLineChars="1000"/>
                    <w:jc w:val="left"/>
                    <w:rPr>
                      <w:rFonts w:hint="default"/>
                    </w:rPr>
                  </w:pPr>
                  <w:r>
                    <w:rPr>
                      <w:rFonts w:hint="eastAsia" w:ascii="Times New Roman" w:hAnsi="Times New Roman" w:eastAsia="宋体" w:cs="Times New Roman"/>
                      <w:sz w:val="21"/>
                      <w:szCs w:val="21"/>
                      <w:lang w:val="en-US" w:eastAsia="zh-CN"/>
                    </w:rPr>
                    <w:t>新乡市生态环境总体准入要求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1398" w:type="dxa"/>
                  <w:vMerge w:val="restart"/>
                  <w:tcBorders>
                    <w:top w:val="single" w:color="auto" w:sz="8" w:space="0"/>
                  </w:tcBorders>
                  <w:vAlign w:val="center"/>
                </w:tcPr>
                <w:p>
                  <w:pPr>
                    <w:keepNext w:val="0"/>
                    <w:keepLines w:val="0"/>
                    <w:widowControl/>
                    <w:suppressLineNumbers w:val="0"/>
                    <w:jc w:val="center"/>
                    <w:rPr>
                      <w:rFonts w:hint="eastAsia"/>
                      <w:sz w:val="21"/>
                      <w:szCs w:val="21"/>
                      <w:lang w:val="en-US" w:eastAsia="zh-CN"/>
                    </w:rPr>
                  </w:pPr>
                  <w:r>
                    <w:rPr>
                      <w:rFonts w:hint="eastAsia"/>
                      <w:sz w:val="21"/>
                      <w:szCs w:val="21"/>
                      <w:lang w:val="en-US" w:eastAsia="zh-CN"/>
                    </w:rPr>
                    <w:t>新乡市生态环境总体准入要求</w:t>
                  </w:r>
                </w:p>
              </w:tc>
              <w:tc>
                <w:tcPr>
                  <w:tcW w:w="928" w:type="dxa"/>
                  <w:tcBorders>
                    <w:bottom w:val="single" w:color="auto" w:sz="8" w:space="0"/>
                  </w:tcBorders>
                  <w:vAlign w:val="center"/>
                </w:tcPr>
                <w:p>
                  <w:pPr>
                    <w:adjustRightInd w:val="0"/>
                    <w:snapToGrid w:val="0"/>
                    <w:jc w:val="center"/>
                    <w:textAlignment w:val="baseline"/>
                    <w:rPr>
                      <w:rFonts w:hint="default"/>
                      <w:sz w:val="21"/>
                      <w:szCs w:val="21"/>
                    </w:rPr>
                  </w:pPr>
                  <w:r>
                    <w:rPr>
                      <w:rFonts w:hint="default"/>
                      <w:sz w:val="21"/>
                      <w:szCs w:val="21"/>
                    </w:rPr>
                    <w:t>空间布局约束</w:t>
                  </w:r>
                </w:p>
              </w:tc>
              <w:tc>
                <w:tcPr>
                  <w:tcW w:w="2952" w:type="dxa"/>
                  <w:tcBorders>
                    <w:bottom w:val="single" w:color="auto" w:sz="8" w:space="0"/>
                  </w:tcBorders>
                  <w:vAlign w:val="center"/>
                </w:tcPr>
                <w:p>
                  <w:pPr>
                    <w:keepNext w:val="0"/>
                    <w:keepLines w:val="0"/>
                    <w:widowControl/>
                    <w:suppressLineNumbers w:val="0"/>
                    <w:jc w:val="left"/>
                    <w:rPr>
                      <w:rFonts w:hint="default"/>
                      <w:sz w:val="21"/>
                      <w:szCs w:val="21"/>
                    </w:rPr>
                  </w:pPr>
                  <w:r>
                    <w:rPr>
                      <w:rFonts w:hint="default"/>
                      <w:sz w:val="21"/>
                      <w:szCs w:val="21"/>
                      <w:lang w:val="en-US" w:eastAsia="zh-CN"/>
                    </w:rPr>
                    <w:t>9</w:t>
                  </w:r>
                  <w:r>
                    <w:rPr>
                      <w:rFonts w:hint="eastAsia"/>
                      <w:sz w:val="21"/>
                      <w:szCs w:val="21"/>
                      <w:lang w:val="en-US" w:eastAsia="zh-CN"/>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实。</w:t>
                  </w:r>
                </w:p>
              </w:tc>
              <w:tc>
                <w:tcPr>
                  <w:tcW w:w="1843" w:type="dxa"/>
                  <w:tcBorders>
                    <w:bottom w:val="single" w:color="auto" w:sz="8" w:space="0"/>
                  </w:tcBorders>
                  <w:vAlign w:val="center"/>
                </w:tcPr>
                <w:p>
                  <w:pPr>
                    <w:keepNext w:val="0"/>
                    <w:keepLines w:val="0"/>
                    <w:widowControl/>
                    <w:suppressLineNumbers w:val="0"/>
                    <w:jc w:val="left"/>
                    <w:rPr>
                      <w:sz w:val="21"/>
                      <w:szCs w:val="21"/>
                    </w:rPr>
                  </w:pPr>
                  <w:r>
                    <w:rPr>
                      <w:rFonts w:hint="eastAsia"/>
                      <w:sz w:val="21"/>
                      <w:szCs w:val="21"/>
                      <w:lang w:val="en-US" w:eastAsia="zh-CN"/>
                    </w:rPr>
                    <w:t xml:space="preserve">本项目为商品混凝土制造，不属于本条款中严格控制类项目，不属于两高项目。 </w:t>
                  </w:r>
                </w:p>
                <w:p>
                  <w:pPr>
                    <w:adjustRightInd w:val="0"/>
                    <w:snapToGrid w:val="0"/>
                    <w:jc w:val="center"/>
                    <w:textAlignment w:val="baseline"/>
                    <w:rPr>
                      <w:rFonts w:hint="default"/>
                      <w:sz w:val="21"/>
                      <w:szCs w:val="21"/>
                    </w:rPr>
                  </w:pPr>
                </w:p>
              </w:tc>
              <w:tc>
                <w:tcPr>
                  <w:tcW w:w="865" w:type="dxa"/>
                  <w:tcBorders>
                    <w:bottom w:val="single" w:color="auto" w:sz="8" w:space="0"/>
                    <w:right w:val="nil"/>
                  </w:tcBorders>
                  <w:vAlign w:val="center"/>
                </w:tcPr>
                <w:p>
                  <w:pPr>
                    <w:adjustRightInd w:val="0"/>
                    <w:snapToGrid w:val="0"/>
                    <w:jc w:val="center"/>
                    <w:textAlignment w:val="baseline"/>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1398" w:type="dxa"/>
                  <w:vMerge w:val="continue"/>
                  <w:tcBorders>
                    <w:bottom w:val="single" w:color="auto" w:sz="8" w:space="0"/>
                  </w:tcBorders>
                  <w:vAlign w:val="center"/>
                </w:tcPr>
                <w:p>
                  <w:pPr>
                    <w:pStyle w:val="118"/>
                    <w:jc w:val="center"/>
                    <w:rPr>
                      <w:rFonts w:hint="eastAsia"/>
                      <w:sz w:val="21"/>
                      <w:szCs w:val="21"/>
                      <w:lang w:val="en-US" w:eastAsia="zh-CN"/>
                    </w:rPr>
                  </w:pPr>
                </w:p>
              </w:tc>
              <w:tc>
                <w:tcPr>
                  <w:tcW w:w="928" w:type="dxa"/>
                  <w:tcBorders>
                    <w:bottom w:val="single" w:color="auto" w:sz="8" w:space="0"/>
                  </w:tcBorders>
                  <w:vAlign w:val="center"/>
                </w:tcPr>
                <w:p>
                  <w:pPr>
                    <w:adjustRightInd w:val="0"/>
                    <w:snapToGrid w:val="0"/>
                    <w:jc w:val="center"/>
                    <w:textAlignment w:val="baseline"/>
                    <w:rPr>
                      <w:rFonts w:hint="default"/>
                      <w:sz w:val="21"/>
                      <w:szCs w:val="21"/>
                    </w:rPr>
                  </w:pPr>
                  <w:r>
                    <w:rPr>
                      <w:rFonts w:hint="eastAsia"/>
                      <w:sz w:val="21"/>
                      <w:szCs w:val="21"/>
                      <w:lang w:val="en-US" w:eastAsia="zh-CN"/>
                    </w:rPr>
                    <w:t xml:space="preserve">污 </w:t>
                  </w:r>
                </w:p>
                <w:p>
                  <w:pPr>
                    <w:adjustRightInd w:val="0"/>
                    <w:snapToGrid w:val="0"/>
                    <w:jc w:val="center"/>
                    <w:textAlignment w:val="baseline"/>
                    <w:rPr>
                      <w:rFonts w:hint="default"/>
                      <w:sz w:val="21"/>
                      <w:szCs w:val="21"/>
                    </w:rPr>
                  </w:pPr>
                  <w:r>
                    <w:rPr>
                      <w:rFonts w:hint="eastAsia"/>
                      <w:sz w:val="21"/>
                      <w:szCs w:val="21"/>
                      <w:lang w:val="en-US" w:eastAsia="zh-CN"/>
                    </w:rPr>
                    <w:t xml:space="preserve">染 </w:t>
                  </w:r>
                </w:p>
                <w:p>
                  <w:pPr>
                    <w:adjustRightInd w:val="0"/>
                    <w:snapToGrid w:val="0"/>
                    <w:jc w:val="center"/>
                    <w:textAlignment w:val="baseline"/>
                    <w:rPr>
                      <w:rFonts w:hint="default"/>
                      <w:sz w:val="21"/>
                      <w:szCs w:val="21"/>
                    </w:rPr>
                  </w:pPr>
                  <w:r>
                    <w:rPr>
                      <w:rFonts w:hint="eastAsia"/>
                      <w:sz w:val="21"/>
                      <w:szCs w:val="21"/>
                      <w:lang w:val="en-US" w:eastAsia="zh-CN"/>
                    </w:rPr>
                    <w:t xml:space="preserve">物 </w:t>
                  </w:r>
                </w:p>
                <w:p>
                  <w:pPr>
                    <w:adjustRightInd w:val="0"/>
                    <w:snapToGrid w:val="0"/>
                    <w:jc w:val="center"/>
                    <w:textAlignment w:val="baseline"/>
                    <w:rPr>
                      <w:rFonts w:hint="default"/>
                      <w:sz w:val="21"/>
                      <w:szCs w:val="21"/>
                    </w:rPr>
                  </w:pPr>
                  <w:r>
                    <w:rPr>
                      <w:rFonts w:hint="eastAsia"/>
                      <w:sz w:val="21"/>
                      <w:szCs w:val="21"/>
                      <w:lang w:val="en-US" w:eastAsia="zh-CN"/>
                    </w:rPr>
                    <w:t xml:space="preserve">排 </w:t>
                  </w:r>
                </w:p>
                <w:p>
                  <w:pPr>
                    <w:adjustRightInd w:val="0"/>
                    <w:snapToGrid w:val="0"/>
                    <w:jc w:val="center"/>
                    <w:textAlignment w:val="baseline"/>
                    <w:rPr>
                      <w:rFonts w:hint="default"/>
                      <w:sz w:val="21"/>
                      <w:szCs w:val="21"/>
                    </w:rPr>
                  </w:pPr>
                  <w:r>
                    <w:rPr>
                      <w:rFonts w:hint="eastAsia"/>
                      <w:sz w:val="21"/>
                      <w:szCs w:val="21"/>
                      <w:lang w:val="en-US" w:eastAsia="zh-CN"/>
                    </w:rPr>
                    <w:t xml:space="preserve">放 </w:t>
                  </w:r>
                </w:p>
                <w:p>
                  <w:pPr>
                    <w:adjustRightInd w:val="0"/>
                    <w:snapToGrid w:val="0"/>
                    <w:jc w:val="center"/>
                    <w:textAlignment w:val="baseline"/>
                    <w:rPr>
                      <w:rFonts w:hint="default"/>
                      <w:sz w:val="21"/>
                      <w:szCs w:val="21"/>
                    </w:rPr>
                  </w:pPr>
                  <w:r>
                    <w:rPr>
                      <w:rFonts w:hint="eastAsia"/>
                      <w:sz w:val="21"/>
                      <w:szCs w:val="21"/>
                      <w:lang w:val="en-US" w:eastAsia="zh-CN"/>
                    </w:rPr>
                    <w:t xml:space="preserve">管 </w:t>
                  </w:r>
                </w:p>
                <w:p>
                  <w:pPr>
                    <w:adjustRightInd w:val="0"/>
                    <w:snapToGrid w:val="0"/>
                    <w:jc w:val="center"/>
                    <w:textAlignment w:val="baseline"/>
                    <w:rPr>
                      <w:rFonts w:hint="default"/>
                      <w:sz w:val="21"/>
                      <w:szCs w:val="21"/>
                    </w:rPr>
                  </w:pPr>
                  <w:r>
                    <w:rPr>
                      <w:rFonts w:hint="eastAsia"/>
                      <w:sz w:val="21"/>
                      <w:szCs w:val="21"/>
                      <w:lang w:val="en-US" w:eastAsia="zh-CN"/>
                    </w:rPr>
                    <w:t>控</w:t>
                  </w:r>
                </w:p>
                <w:p>
                  <w:pPr>
                    <w:adjustRightInd w:val="0"/>
                    <w:snapToGrid w:val="0"/>
                    <w:jc w:val="center"/>
                    <w:textAlignment w:val="baseline"/>
                    <w:rPr>
                      <w:rFonts w:hint="default"/>
                      <w:sz w:val="21"/>
                      <w:szCs w:val="21"/>
                    </w:rPr>
                  </w:pPr>
                </w:p>
              </w:tc>
              <w:tc>
                <w:tcPr>
                  <w:tcW w:w="2952" w:type="dxa"/>
                  <w:tcBorders>
                    <w:bottom w:val="single" w:color="auto" w:sz="8" w:space="0"/>
                  </w:tcBorders>
                  <w:vAlign w:val="center"/>
                </w:tcPr>
                <w:p>
                  <w:pPr>
                    <w:keepNext w:val="0"/>
                    <w:keepLines w:val="0"/>
                    <w:widowControl/>
                    <w:suppressLineNumbers w:val="0"/>
                    <w:jc w:val="left"/>
                    <w:rPr>
                      <w:sz w:val="21"/>
                      <w:szCs w:val="21"/>
                    </w:rPr>
                  </w:pPr>
                  <w:r>
                    <w:rPr>
                      <w:rFonts w:hint="default"/>
                      <w:sz w:val="21"/>
                      <w:szCs w:val="21"/>
                      <w:lang w:val="en-US" w:eastAsia="zh-CN"/>
                    </w:rPr>
                    <w:t>1</w:t>
                  </w:r>
                  <w:r>
                    <w:rPr>
                      <w:rFonts w:hint="eastAsia"/>
                      <w:sz w:val="21"/>
                      <w:szCs w:val="21"/>
                      <w:lang w:val="en-US" w:eastAsia="zh-CN"/>
                    </w:rPr>
                    <w:t>、新、改、扩建项目主要污染物排放要求满足当地总量减排要求。</w:t>
                  </w:r>
                  <w:r>
                    <w:rPr>
                      <w:rFonts w:hint="default"/>
                      <w:sz w:val="21"/>
                      <w:szCs w:val="21"/>
                      <w:lang w:val="en-US" w:eastAsia="zh-CN"/>
                    </w:rPr>
                    <w:t>2</w:t>
                  </w:r>
                  <w:r>
                    <w:rPr>
                      <w:rFonts w:hint="eastAsia"/>
                      <w:sz w:val="21"/>
                      <w:szCs w:val="21"/>
                      <w:lang w:val="en-US" w:eastAsia="zh-CN"/>
                    </w:rPr>
                    <w:t xml:space="preserve">、卫河、共产主义渠、文岩渠保持Ⅴ类指标，黄庄河、西柳青河达到Ⅳ类指标，天然渠、人民胜利渠达到Ⅲ类指标；城市集中式饮用水水源地取水水质达标率达到 </w:t>
                  </w:r>
                  <w:r>
                    <w:rPr>
                      <w:rFonts w:hint="default"/>
                      <w:sz w:val="21"/>
                      <w:szCs w:val="21"/>
                      <w:lang w:val="en-US" w:eastAsia="zh-CN"/>
                    </w:rPr>
                    <w:t>100%</w:t>
                  </w:r>
                  <w:r>
                    <w:rPr>
                      <w:rFonts w:hint="eastAsia"/>
                      <w:sz w:val="21"/>
                      <w:szCs w:val="21"/>
                      <w:lang w:val="en-US" w:eastAsia="zh-CN"/>
                    </w:rPr>
                    <w:t>；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Ⅱ类的水体和地表水型集中式生活饮用水水源保护区内的水体排放污水；污水排入黄河干流、黄河一级支流和涉及Ⅲ类水功能区要求的其它水体时，执行一级标准；污水排入除上述水体以外的其它河流、湖泊、水库、运河、渠道、湿地、坑塘、蓄滞洪区等地表水体时，执行二级标准。</w:t>
                  </w:r>
                  <w:r>
                    <w:rPr>
                      <w:rFonts w:hint="eastAsia"/>
                      <w:sz w:val="21"/>
                      <w:szCs w:val="21"/>
                      <w:lang w:val="en-US" w:eastAsia="zh-CN"/>
                    </w:rPr>
                    <w:br w:type="textWrapping"/>
                  </w:r>
                  <w:r>
                    <w:rPr>
                      <w:rFonts w:hint="default"/>
                      <w:sz w:val="21"/>
                      <w:szCs w:val="21"/>
                      <w:lang w:val="en-US" w:eastAsia="zh-CN"/>
                    </w:rPr>
                    <w:t>3</w:t>
                  </w:r>
                  <w:r>
                    <w:rPr>
                      <w:rFonts w:hint="eastAsia"/>
                      <w:sz w:val="21"/>
                      <w:szCs w:val="21"/>
                      <w:lang w:val="en-US" w:eastAsia="zh-CN"/>
                    </w:rPr>
                    <w:t>、全面推进城镇（产业集聚区）污水处理厂Ⅴ类水提标改造工程建设，市、县（市、区）污水处理率、城市污泥无害化处置率达到政府目标任务。</w:t>
                  </w:r>
                  <w:r>
                    <w:rPr>
                      <w:rFonts w:hint="eastAsia"/>
                      <w:sz w:val="21"/>
                      <w:szCs w:val="21"/>
                      <w:lang w:val="en-US" w:eastAsia="zh-CN"/>
                    </w:rPr>
                    <w:br w:type="textWrapping"/>
                  </w:r>
                  <w:r>
                    <w:rPr>
                      <w:rFonts w:hint="default"/>
                      <w:sz w:val="21"/>
                      <w:szCs w:val="21"/>
                      <w:lang w:val="en-US" w:eastAsia="zh-CN"/>
                    </w:rPr>
                    <w:t>4</w:t>
                  </w:r>
                  <w:r>
                    <w:rPr>
                      <w:rFonts w:hint="eastAsia"/>
                      <w:sz w:val="21"/>
                      <w:szCs w:val="21"/>
                      <w:lang w:val="en-US" w:eastAsia="zh-CN"/>
                    </w:rPr>
                    <w:t>、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r>
                    <w:rPr>
                      <w:rFonts w:hint="eastAsia"/>
                      <w:sz w:val="21"/>
                      <w:szCs w:val="21"/>
                      <w:lang w:val="en-US" w:eastAsia="zh-CN"/>
                    </w:rPr>
                    <w:br w:type="textWrapping"/>
                  </w:r>
                  <w:r>
                    <w:rPr>
                      <w:rFonts w:hint="default"/>
                      <w:sz w:val="21"/>
                      <w:szCs w:val="21"/>
                      <w:lang w:val="en-US" w:eastAsia="zh-CN"/>
                    </w:rPr>
                    <w:t>5</w:t>
                  </w:r>
                  <w:r>
                    <w:rPr>
                      <w:rFonts w:hint="eastAsia"/>
                      <w:sz w:val="21"/>
                      <w:szCs w:val="21"/>
                      <w:lang w:val="en-US" w:eastAsia="zh-CN"/>
                    </w:rPr>
                    <w:t>、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r>
                    <w:rPr>
                      <w:rFonts w:hint="eastAsia"/>
                      <w:sz w:val="21"/>
                      <w:szCs w:val="21"/>
                      <w:lang w:val="en-US" w:eastAsia="zh-CN"/>
                    </w:rPr>
                    <w:br w:type="textWrapping"/>
                  </w:r>
                  <w:r>
                    <w:rPr>
                      <w:rFonts w:hint="default"/>
                      <w:sz w:val="21"/>
                      <w:szCs w:val="21"/>
                      <w:lang w:val="en-US" w:eastAsia="zh-CN"/>
                    </w:rPr>
                    <w:t>6</w:t>
                  </w:r>
                  <w:r>
                    <w:rPr>
                      <w:rFonts w:hint="eastAsia"/>
                      <w:sz w:val="21"/>
                      <w:szCs w:val="21"/>
                      <w:lang w:val="en-US" w:eastAsia="zh-CN"/>
                    </w:rPr>
                    <w:t>、新建“两高”项目应按照《关于加强重点行业建设项目区域削减措施监督管理的通知》（环办环评〔</w:t>
                  </w:r>
                  <w:r>
                    <w:rPr>
                      <w:rFonts w:hint="default"/>
                      <w:sz w:val="21"/>
                      <w:szCs w:val="21"/>
                      <w:lang w:val="en-US" w:eastAsia="zh-CN"/>
                    </w:rPr>
                    <w:t>2020</w:t>
                  </w:r>
                  <w:r>
                    <w:rPr>
                      <w:rFonts w:hint="eastAsia"/>
                      <w:sz w:val="21"/>
                      <w:szCs w:val="21"/>
                      <w:lang w:val="en-US" w:eastAsia="zh-CN"/>
                    </w:rPr>
                    <w:t>〕</w:t>
                  </w:r>
                  <w:r>
                    <w:rPr>
                      <w:rFonts w:hint="default"/>
                      <w:sz w:val="21"/>
                      <w:szCs w:val="21"/>
                      <w:lang w:val="en-US" w:eastAsia="zh-CN"/>
                    </w:rPr>
                    <w:t xml:space="preserve">36 </w:t>
                  </w:r>
                  <w:r>
                    <w:rPr>
                      <w:rFonts w:hint="eastAsia"/>
                      <w:sz w:val="21"/>
                      <w:szCs w:val="21"/>
                      <w:lang w:val="en-US" w:eastAsia="zh-CN"/>
                    </w:rPr>
                    <w:t xml:space="preserve">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 </w:t>
                  </w:r>
                </w:p>
                <w:p>
                  <w:pPr>
                    <w:keepNext w:val="0"/>
                    <w:keepLines w:val="0"/>
                    <w:widowControl/>
                    <w:suppressLineNumbers w:val="0"/>
                    <w:jc w:val="left"/>
                    <w:rPr>
                      <w:rFonts w:hint="default"/>
                      <w:sz w:val="21"/>
                      <w:szCs w:val="21"/>
                    </w:rPr>
                  </w:pPr>
                  <w:r>
                    <w:rPr>
                      <w:rFonts w:hint="default"/>
                      <w:sz w:val="21"/>
                      <w:szCs w:val="21"/>
                      <w:lang w:val="en-US" w:eastAsia="zh-CN"/>
                    </w:rPr>
                    <w:t>7</w:t>
                  </w:r>
                  <w:r>
                    <w:rPr>
                      <w:rFonts w:hint="eastAsia"/>
                      <w:sz w:val="21"/>
                      <w:szCs w:val="21"/>
                      <w:lang w:val="en-US" w:eastAsia="zh-CN"/>
                    </w:rPr>
                    <w:t>、原阳县、封丘县和长垣市等沿黄重点地区涉及“三高”项目应按照《关于“十四五”推进沿黄重点地区工业项目入园及严控高污染、高耗水、高耗能项目的通知》（豫发改工业〔</w:t>
                  </w:r>
                  <w:r>
                    <w:rPr>
                      <w:rFonts w:hint="default"/>
                      <w:sz w:val="21"/>
                      <w:szCs w:val="21"/>
                      <w:lang w:val="en-US" w:eastAsia="zh-CN"/>
                    </w:rPr>
                    <w:t>2021</w:t>
                  </w:r>
                  <w:r>
                    <w:rPr>
                      <w:rFonts w:hint="eastAsia"/>
                      <w:sz w:val="21"/>
                      <w:szCs w:val="21"/>
                      <w:lang w:val="en-US" w:eastAsia="zh-CN"/>
                    </w:rPr>
                    <w:t>〕</w:t>
                  </w:r>
                  <w:r>
                    <w:rPr>
                      <w:rFonts w:hint="default"/>
                      <w:sz w:val="21"/>
                      <w:szCs w:val="21"/>
                      <w:lang w:val="en-US" w:eastAsia="zh-CN"/>
                    </w:rPr>
                    <w:t>812</w:t>
                  </w:r>
                  <w:r>
                    <w:rPr>
                      <w:rFonts w:hint="eastAsia"/>
                      <w:sz w:val="21"/>
                      <w:szCs w:val="21"/>
                      <w:lang w:val="en-US" w:eastAsia="zh-CN"/>
                    </w:rPr>
                    <w:t>号）要求，梳理规范相关工业园区，清理拟建工业和高污染、高耗水、高耗能项目，稳妥推进园区外工业项目入园。</w:t>
                  </w:r>
                </w:p>
              </w:tc>
              <w:tc>
                <w:tcPr>
                  <w:tcW w:w="1843" w:type="dxa"/>
                  <w:tcBorders>
                    <w:bottom w:val="single" w:color="auto" w:sz="8" w:space="0"/>
                  </w:tcBorders>
                  <w:vAlign w:val="center"/>
                </w:tcPr>
                <w:p>
                  <w:pPr>
                    <w:keepNext w:val="0"/>
                    <w:keepLines w:val="0"/>
                    <w:widowControl/>
                    <w:suppressLineNumbers w:val="0"/>
                    <w:jc w:val="left"/>
                    <w:rPr>
                      <w:rFonts w:hint="eastAsia"/>
                      <w:sz w:val="21"/>
                      <w:szCs w:val="21"/>
                      <w:lang w:val="en-US" w:eastAsia="zh-CN"/>
                    </w:rPr>
                  </w:pPr>
                  <w:r>
                    <w:rPr>
                      <w:rFonts w:hint="default"/>
                      <w:sz w:val="21"/>
                      <w:szCs w:val="21"/>
                      <w:lang w:val="en-US" w:eastAsia="zh-CN"/>
                    </w:rPr>
                    <w:t>1</w:t>
                  </w:r>
                  <w:r>
                    <w:rPr>
                      <w:rFonts w:hint="eastAsia"/>
                      <w:sz w:val="21"/>
                      <w:szCs w:val="21"/>
                      <w:lang w:val="en-US" w:eastAsia="zh-CN"/>
                    </w:rPr>
                    <w:t>、本项目主要污染物排放量满足总量减排要求；</w:t>
                  </w:r>
                </w:p>
                <w:p>
                  <w:pPr>
                    <w:keepNext w:val="0"/>
                    <w:keepLines w:val="0"/>
                    <w:widowControl/>
                    <w:suppressLineNumbers w:val="0"/>
                    <w:jc w:val="left"/>
                    <w:rPr>
                      <w:rFonts w:hint="eastAsia"/>
                      <w:sz w:val="21"/>
                      <w:szCs w:val="21"/>
                      <w:lang w:val="en-US" w:eastAsia="zh-CN"/>
                    </w:rPr>
                  </w:pPr>
                  <w:r>
                    <w:rPr>
                      <w:rFonts w:hint="default"/>
                      <w:sz w:val="21"/>
                      <w:szCs w:val="21"/>
                      <w:lang w:val="en-US" w:eastAsia="zh-CN"/>
                    </w:rPr>
                    <w:t>2</w:t>
                  </w:r>
                  <w:r>
                    <w:rPr>
                      <w:rFonts w:hint="eastAsia"/>
                      <w:sz w:val="21"/>
                      <w:szCs w:val="21"/>
                      <w:lang w:val="en-US" w:eastAsia="zh-CN"/>
                    </w:rPr>
                    <w:t>、本项目生活污水经化粪池处理后通过定期清运。</w:t>
                  </w:r>
                </w:p>
                <w:p>
                  <w:pPr>
                    <w:keepNext w:val="0"/>
                    <w:keepLines w:val="0"/>
                    <w:widowControl/>
                    <w:suppressLineNumbers w:val="0"/>
                    <w:jc w:val="left"/>
                    <w:rPr>
                      <w:sz w:val="21"/>
                      <w:szCs w:val="21"/>
                    </w:rPr>
                  </w:pPr>
                  <w:r>
                    <w:rPr>
                      <w:rFonts w:hint="default"/>
                      <w:sz w:val="21"/>
                      <w:szCs w:val="21"/>
                      <w:lang w:val="en-US" w:eastAsia="zh-CN"/>
                    </w:rPr>
                    <w:t>3</w:t>
                  </w:r>
                  <w:r>
                    <w:rPr>
                      <w:rFonts w:hint="eastAsia"/>
                      <w:sz w:val="21"/>
                      <w:szCs w:val="21"/>
                      <w:lang w:val="en-US" w:eastAsia="zh-CN"/>
                    </w:rPr>
                    <w:t>、本项目不属于涉重行业，本项目污染物进行区域内倍量替代；</w:t>
                  </w:r>
                </w:p>
                <w:p>
                  <w:pPr>
                    <w:keepNext w:val="0"/>
                    <w:keepLines w:val="0"/>
                    <w:widowControl/>
                    <w:suppressLineNumbers w:val="0"/>
                    <w:jc w:val="left"/>
                    <w:rPr>
                      <w:rFonts w:hint="eastAsia"/>
                      <w:sz w:val="21"/>
                      <w:szCs w:val="21"/>
                      <w:lang w:val="en-US" w:eastAsia="zh-CN"/>
                    </w:rPr>
                  </w:pPr>
                  <w:r>
                    <w:rPr>
                      <w:rFonts w:hint="default"/>
                      <w:sz w:val="21"/>
                      <w:szCs w:val="21"/>
                      <w:lang w:val="en-US" w:eastAsia="zh-CN"/>
                    </w:rPr>
                    <w:t>4</w:t>
                  </w:r>
                  <w:r>
                    <w:rPr>
                      <w:rFonts w:hint="eastAsia"/>
                      <w:sz w:val="21"/>
                      <w:szCs w:val="21"/>
                      <w:lang w:val="en-US" w:eastAsia="zh-CN"/>
                    </w:rPr>
                    <w:t>、本项目不涉及条文相关的重点企业；</w:t>
                  </w:r>
                </w:p>
                <w:p>
                  <w:pPr>
                    <w:keepNext w:val="0"/>
                    <w:keepLines w:val="0"/>
                    <w:widowControl/>
                    <w:suppressLineNumbers w:val="0"/>
                    <w:jc w:val="left"/>
                    <w:rPr>
                      <w:sz w:val="21"/>
                      <w:szCs w:val="21"/>
                    </w:rPr>
                  </w:pPr>
                  <w:r>
                    <w:rPr>
                      <w:rFonts w:hint="default"/>
                      <w:sz w:val="21"/>
                      <w:szCs w:val="21"/>
                      <w:lang w:val="en-US" w:eastAsia="zh-CN"/>
                    </w:rPr>
                    <w:t>5</w:t>
                  </w:r>
                  <w:r>
                    <w:rPr>
                      <w:rFonts w:hint="eastAsia"/>
                      <w:sz w:val="21"/>
                      <w:szCs w:val="21"/>
                      <w:lang w:val="en-US" w:eastAsia="zh-CN"/>
                    </w:rPr>
                    <w:t>、本项目不涉及“两高”项目。</w:t>
                  </w:r>
                </w:p>
                <w:p>
                  <w:pPr>
                    <w:adjustRightInd w:val="0"/>
                    <w:snapToGrid w:val="0"/>
                    <w:jc w:val="center"/>
                    <w:textAlignment w:val="baseline"/>
                    <w:rPr>
                      <w:rFonts w:hint="default"/>
                      <w:sz w:val="21"/>
                      <w:szCs w:val="21"/>
                    </w:rPr>
                  </w:pPr>
                </w:p>
              </w:tc>
              <w:tc>
                <w:tcPr>
                  <w:tcW w:w="865" w:type="dxa"/>
                  <w:tcBorders>
                    <w:bottom w:val="single" w:color="auto" w:sz="8" w:space="0"/>
                    <w:right w:val="nil"/>
                  </w:tcBorders>
                  <w:vAlign w:val="center"/>
                </w:tcPr>
                <w:p>
                  <w:pPr>
                    <w:adjustRightInd w:val="0"/>
                    <w:snapToGrid w:val="0"/>
                    <w:jc w:val="center"/>
                    <w:textAlignment w:val="baseline"/>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1398" w:type="dxa"/>
                  <w:vMerge w:val="restart"/>
                  <w:tcBorders>
                    <w:top w:val="single" w:color="auto" w:sz="8" w:space="0"/>
                  </w:tcBorders>
                  <w:vAlign w:val="center"/>
                </w:tcPr>
                <w:p>
                  <w:pPr>
                    <w:pStyle w:val="118"/>
                    <w:jc w:val="center"/>
                    <w:rPr>
                      <w:rFonts w:hint="eastAsia"/>
                      <w:sz w:val="21"/>
                      <w:szCs w:val="21"/>
                      <w:lang w:val="en-US" w:eastAsia="zh-CN"/>
                    </w:rPr>
                  </w:pPr>
                </w:p>
              </w:tc>
              <w:tc>
                <w:tcPr>
                  <w:tcW w:w="928" w:type="dxa"/>
                  <w:tcBorders>
                    <w:bottom w:val="single" w:color="auto" w:sz="8" w:space="0"/>
                  </w:tcBorders>
                  <w:vAlign w:val="center"/>
                </w:tcPr>
                <w:p>
                  <w:pPr>
                    <w:adjustRightInd w:val="0"/>
                    <w:snapToGrid w:val="0"/>
                    <w:jc w:val="center"/>
                    <w:textAlignment w:val="baseline"/>
                    <w:rPr>
                      <w:rFonts w:hint="eastAsia"/>
                      <w:sz w:val="21"/>
                      <w:szCs w:val="21"/>
                      <w:lang w:val="en-US" w:eastAsia="zh-CN"/>
                    </w:rPr>
                  </w:pPr>
                  <w:r>
                    <w:rPr>
                      <w:rFonts w:hint="eastAsia"/>
                      <w:sz w:val="21"/>
                      <w:szCs w:val="21"/>
                      <w:lang w:val="en-US" w:eastAsia="zh-CN"/>
                    </w:rPr>
                    <w:t xml:space="preserve">环 </w:t>
                  </w:r>
                </w:p>
                <w:p>
                  <w:pPr>
                    <w:adjustRightInd w:val="0"/>
                    <w:snapToGrid w:val="0"/>
                    <w:jc w:val="center"/>
                    <w:textAlignment w:val="baseline"/>
                    <w:rPr>
                      <w:rFonts w:hint="eastAsia"/>
                      <w:sz w:val="21"/>
                      <w:szCs w:val="21"/>
                      <w:lang w:val="en-US" w:eastAsia="zh-CN"/>
                    </w:rPr>
                  </w:pPr>
                  <w:r>
                    <w:rPr>
                      <w:rFonts w:hint="eastAsia"/>
                      <w:sz w:val="21"/>
                      <w:szCs w:val="21"/>
                      <w:lang w:val="en-US" w:eastAsia="zh-CN"/>
                    </w:rPr>
                    <w:t xml:space="preserve">境 </w:t>
                  </w:r>
                </w:p>
                <w:p>
                  <w:pPr>
                    <w:adjustRightInd w:val="0"/>
                    <w:snapToGrid w:val="0"/>
                    <w:jc w:val="center"/>
                    <w:textAlignment w:val="baseline"/>
                    <w:rPr>
                      <w:rFonts w:hint="eastAsia"/>
                      <w:sz w:val="21"/>
                      <w:szCs w:val="21"/>
                      <w:lang w:val="en-US" w:eastAsia="zh-CN"/>
                    </w:rPr>
                  </w:pPr>
                  <w:r>
                    <w:rPr>
                      <w:rFonts w:hint="eastAsia"/>
                      <w:sz w:val="21"/>
                      <w:szCs w:val="21"/>
                      <w:lang w:val="en-US" w:eastAsia="zh-CN"/>
                    </w:rPr>
                    <w:t xml:space="preserve">风 </w:t>
                  </w:r>
                </w:p>
                <w:p>
                  <w:pPr>
                    <w:adjustRightInd w:val="0"/>
                    <w:snapToGrid w:val="0"/>
                    <w:jc w:val="center"/>
                    <w:textAlignment w:val="baseline"/>
                    <w:rPr>
                      <w:rFonts w:hint="eastAsia"/>
                      <w:sz w:val="21"/>
                      <w:szCs w:val="21"/>
                      <w:lang w:val="en-US" w:eastAsia="zh-CN"/>
                    </w:rPr>
                  </w:pPr>
                  <w:r>
                    <w:rPr>
                      <w:rFonts w:hint="eastAsia"/>
                      <w:sz w:val="21"/>
                      <w:szCs w:val="21"/>
                      <w:lang w:val="en-US" w:eastAsia="zh-CN"/>
                    </w:rPr>
                    <w:t xml:space="preserve">险 </w:t>
                  </w:r>
                </w:p>
                <w:p>
                  <w:pPr>
                    <w:adjustRightInd w:val="0"/>
                    <w:snapToGrid w:val="0"/>
                    <w:jc w:val="center"/>
                    <w:textAlignment w:val="baseline"/>
                    <w:rPr>
                      <w:rFonts w:hint="eastAsia"/>
                      <w:sz w:val="21"/>
                      <w:szCs w:val="21"/>
                      <w:lang w:val="en-US" w:eastAsia="zh-CN"/>
                    </w:rPr>
                  </w:pPr>
                  <w:r>
                    <w:rPr>
                      <w:rFonts w:hint="eastAsia"/>
                      <w:sz w:val="21"/>
                      <w:szCs w:val="21"/>
                      <w:lang w:val="en-US" w:eastAsia="zh-CN"/>
                    </w:rPr>
                    <w:t xml:space="preserve">防 </w:t>
                  </w:r>
                </w:p>
                <w:p>
                  <w:pPr>
                    <w:adjustRightInd w:val="0"/>
                    <w:snapToGrid w:val="0"/>
                    <w:jc w:val="center"/>
                    <w:textAlignment w:val="baseline"/>
                    <w:rPr>
                      <w:rFonts w:hint="eastAsia"/>
                      <w:sz w:val="21"/>
                      <w:szCs w:val="21"/>
                      <w:lang w:val="en-US" w:eastAsia="zh-CN"/>
                    </w:rPr>
                  </w:pPr>
                  <w:r>
                    <w:rPr>
                      <w:rFonts w:hint="eastAsia"/>
                      <w:sz w:val="21"/>
                      <w:szCs w:val="21"/>
                      <w:lang w:val="en-US" w:eastAsia="zh-CN"/>
                    </w:rPr>
                    <w:t>控</w:t>
                  </w:r>
                </w:p>
                <w:p>
                  <w:pPr>
                    <w:adjustRightInd w:val="0"/>
                    <w:snapToGrid w:val="0"/>
                    <w:jc w:val="center"/>
                    <w:textAlignment w:val="baseline"/>
                    <w:rPr>
                      <w:rFonts w:hint="default"/>
                      <w:sz w:val="21"/>
                      <w:szCs w:val="21"/>
                    </w:rPr>
                  </w:pPr>
                </w:p>
              </w:tc>
              <w:tc>
                <w:tcPr>
                  <w:tcW w:w="2952" w:type="dxa"/>
                  <w:tcBorders>
                    <w:bottom w:val="single" w:color="auto" w:sz="8" w:space="0"/>
                  </w:tcBorders>
                  <w:vAlign w:val="center"/>
                </w:tcPr>
                <w:p>
                  <w:pPr>
                    <w:keepNext w:val="0"/>
                    <w:keepLines w:val="0"/>
                    <w:widowControl/>
                    <w:numPr>
                      <w:ilvl w:val="0"/>
                      <w:numId w:val="1"/>
                    </w:numPr>
                    <w:suppressLineNumbers w:val="0"/>
                    <w:jc w:val="left"/>
                    <w:rPr>
                      <w:rFonts w:hint="eastAsia"/>
                      <w:sz w:val="21"/>
                      <w:szCs w:val="21"/>
                      <w:lang w:val="en-US" w:eastAsia="zh-CN"/>
                    </w:rPr>
                  </w:pPr>
                  <w:r>
                    <w:rPr>
                      <w:rFonts w:hint="eastAsia"/>
                      <w:sz w:val="21"/>
                      <w:szCs w:val="21"/>
                      <w:lang w:val="en-US" w:eastAsia="zh-CN"/>
                    </w:rPr>
                    <w:t>地下水漏斗区、重金属污染区、生态严重退化区等区域：探索开展耕地轮作休耕试点；实行休耕补贴，引导农民自愿将重度污染耕地退出农业生产。</w:t>
                  </w:r>
                </w:p>
                <w:p>
                  <w:pPr>
                    <w:keepNext w:val="0"/>
                    <w:keepLines w:val="0"/>
                    <w:widowControl/>
                    <w:numPr>
                      <w:ilvl w:val="0"/>
                      <w:numId w:val="0"/>
                    </w:numPr>
                    <w:suppressLineNumbers w:val="0"/>
                    <w:ind w:left="0" w:leftChars="0" w:firstLine="0" w:firstLineChars="0"/>
                    <w:jc w:val="left"/>
                    <w:rPr>
                      <w:rFonts w:hint="default"/>
                      <w:sz w:val="21"/>
                      <w:szCs w:val="21"/>
                      <w:lang w:val="en-US" w:eastAsia="zh-CN"/>
                    </w:rPr>
                  </w:pPr>
                  <w:r>
                    <w:rPr>
                      <w:rFonts w:hint="default"/>
                      <w:sz w:val="21"/>
                      <w:szCs w:val="21"/>
                      <w:lang w:val="en-US" w:eastAsia="zh-CN"/>
                    </w:rPr>
                    <w:t>2</w:t>
                  </w:r>
                  <w:r>
                    <w:rPr>
                      <w:rFonts w:hint="eastAsia"/>
                      <w:sz w:val="21"/>
                      <w:szCs w:val="21"/>
                      <w:lang w:val="en-US" w:eastAsia="zh-CN"/>
                    </w:rPr>
                    <w:t>、具备饮用水水源保护区及影响范围内风险源名录和风险防控方案、饮用水水源地突发环境事件应急处置技术方案及应急专家库、应急监测能力。定期或不定期开展饮用水水源地周边环境安全隐患排查及饮用水水源地环境风险评估。饮用水水源地有专项应急预案，做到“一源一案”，按照环境保护主管部门要求备案并定演练和修订预案。饮用水水源地周边高风险区域设有应急物资（装备）储备库及事故应急池等应急防护工程，上游连接水体设有节制、拦污坝、导流渠、调水沟渠等防护工程设施。</w:t>
                  </w:r>
                </w:p>
              </w:tc>
              <w:tc>
                <w:tcPr>
                  <w:tcW w:w="1843" w:type="dxa"/>
                  <w:tcBorders>
                    <w:bottom w:val="single" w:color="auto" w:sz="8" w:space="0"/>
                  </w:tcBorders>
                  <w:vAlign w:val="center"/>
                </w:tcPr>
                <w:p>
                  <w:pPr>
                    <w:keepNext w:val="0"/>
                    <w:keepLines w:val="0"/>
                    <w:widowControl/>
                    <w:suppressLineNumbers w:val="0"/>
                    <w:jc w:val="left"/>
                    <w:rPr>
                      <w:sz w:val="21"/>
                      <w:szCs w:val="21"/>
                    </w:rPr>
                  </w:pPr>
                  <w:r>
                    <w:rPr>
                      <w:rFonts w:hint="eastAsia"/>
                      <w:sz w:val="21"/>
                      <w:szCs w:val="21"/>
                      <w:lang w:val="en-US" w:eastAsia="zh-CN"/>
                    </w:rPr>
                    <w:t xml:space="preserve"> 本项目不涉及</w:t>
                  </w:r>
                </w:p>
                <w:p>
                  <w:pPr>
                    <w:adjustRightInd w:val="0"/>
                    <w:snapToGrid w:val="0"/>
                    <w:jc w:val="center"/>
                    <w:textAlignment w:val="baseline"/>
                    <w:rPr>
                      <w:rFonts w:hint="default"/>
                      <w:sz w:val="21"/>
                      <w:szCs w:val="21"/>
                    </w:rPr>
                  </w:pPr>
                </w:p>
              </w:tc>
              <w:tc>
                <w:tcPr>
                  <w:tcW w:w="865" w:type="dxa"/>
                  <w:tcBorders>
                    <w:bottom w:val="single" w:color="auto" w:sz="8" w:space="0"/>
                    <w:right w:val="nil"/>
                  </w:tcBorders>
                  <w:vAlign w:val="center"/>
                </w:tcPr>
                <w:p>
                  <w:pPr>
                    <w:adjustRightInd w:val="0"/>
                    <w:snapToGrid w:val="0"/>
                    <w:jc w:val="center"/>
                    <w:textAlignment w:val="baseline"/>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1398" w:type="dxa"/>
                  <w:vMerge w:val="continue"/>
                  <w:tcBorders>
                    <w:bottom w:val="single" w:color="auto" w:sz="8" w:space="0"/>
                  </w:tcBorders>
                  <w:vAlign w:val="center"/>
                </w:tcPr>
                <w:p>
                  <w:pPr>
                    <w:pStyle w:val="118"/>
                    <w:jc w:val="center"/>
                    <w:rPr>
                      <w:rFonts w:hint="eastAsia"/>
                      <w:sz w:val="21"/>
                      <w:szCs w:val="21"/>
                      <w:lang w:val="en-US" w:eastAsia="zh-CN"/>
                    </w:rPr>
                  </w:pPr>
                </w:p>
              </w:tc>
              <w:tc>
                <w:tcPr>
                  <w:tcW w:w="928" w:type="dxa"/>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jc w:val="both"/>
                    <w:rPr>
                      <w:sz w:val="21"/>
                      <w:szCs w:val="21"/>
                    </w:rPr>
                  </w:pPr>
                  <w:r>
                    <w:rPr>
                      <w:rFonts w:hint="eastAsia"/>
                      <w:sz w:val="21"/>
                      <w:szCs w:val="21"/>
                      <w:lang w:val="en-US" w:eastAsia="zh-CN"/>
                    </w:rPr>
                    <w:t xml:space="preserve">资 </w:t>
                  </w:r>
                </w:p>
                <w:p>
                  <w:pPr>
                    <w:keepNext w:val="0"/>
                    <w:keepLines w:val="0"/>
                    <w:pageBreakBefore w:val="0"/>
                    <w:widowControl/>
                    <w:suppressLineNumbers w:val="0"/>
                    <w:kinsoku/>
                    <w:wordWrap/>
                    <w:overflowPunct/>
                    <w:topLinePunct w:val="0"/>
                    <w:autoSpaceDE/>
                    <w:autoSpaceDN/>
                    <w:bidi w:val="0"/>
                    <w:jc w:val="both"/>
                    <w:rPr>
                      <w:sz w:val="21"/>
                      <w:szCs w:val="21"/>
                    </w:rPr>
                  </w:pPr>
                  <w:r>
                    <w:rPr>
                      <w:rFonts w:hint="eastAsia"/>
                      <w:sz w:val="21"/>
                      <w:szCs w:val="21"/>
                      <w:lang w:val="en-US" w:eastAsia="zh-CN"/>
                    </w:rPr>
                    <w:t xml:space="preserve">源 </w:t>
                  </w:r>
                </w:p>
                <w:p>
                  <w:pPr>
                    <w:keepNext w:val="0"/>
                    <w:keepLines w:val="0"/>
                    <w:pageBreakBefore w:val="0"/>
                    <w:widowControl/>
                    <w:suppressLineNumbers w:val="0"/>
                    <w:kinsoku/>
                    <w:wordWrap/>
                    <w:overflowPunct/>
                    <w:topLinePunct w:val="0"/>
                    <w:autoSpaceDE/>
                    <w:autoSpaceDN/>
                    <w:bidi w:val="0"/>
                    <w:jc w:val="both"/>
                    <w:rPr>
                      <w:sz w:val="21"/>
                      <w:szCs w:val="21"/>
                    </w:rPr>
                  </w:pPr>
                  <w:r>
                    <w:rPr>
                      <w:rFonts w:hint="eastAsia"/>
                      <w:sz w:val="21"/>
                      <w:szCs w:val="21"/>
                      <w:lang w:val="en-US" w:eastAsia="zh-CN"/>
                    </w:rPr>
                    <w:t xml:space="preserve">开 </w:t>
                  </w:r>
                </w:p>
                <w:p>
                  <w:pPr>
                    <w:keepNext w:val="0"/>
                    <w:keepLines w:val="0"/>
                    <w:pageBreakBefore w:val="0"/>
                    <w:widowControl/>
                    <w:suppressLineNumbers w:val="0"/>
                    <w:kinsoku/>
                    <w:wordWrap/>
                    <w:overflowPunct/>
                    <w:topLinePunct w:val="0"/>
                    <w:autoSpaceDE/>
                    <w:autoSpaceDN/>
                    <w:bidi w:val="0"/>
                    <w:jc w:val="both"/>
                    <w:rPr>
                      <w:sz w:val="21"/>
                      <w:szCs w:val="21"/>
                    </w:rPr>
                  </w:pPr>
                  <w:r>
                    <w:rPr>
                      <w:rFonts w:hint="eastAsia"/>
                      <w:sz w:val="21"/>
                      <w:szCs w:val="21"/>
                      <w:lang w:val="en-US" w:eastAsia="zh-CN"/>
                    </w:rPr>
                    <w:t>发</w:t>
                  </w:r>
                  <w:r>
                    <w:rPr>
                      <w:rFonts w:hint="eastAsia"/>
                      <w:sz w:val="21"/>
                      <w:szCs w:val="21"/>
                      <w:lang w:val="en-US" w:eastAsia="zh-CN"/>
                    </w:rPr>
                    <w:br w:type="textWrapping"/>
                  </w:r>
                  <w:r>
                    <w:rPr>
                      <w:rFonts w:hint="eastAsia"/>
                      <w:sz w:val="21"/>
                      <w:szCs w:val="21"/>
                      <w:lang w:val="en-US" w:eastAsia="zh-CN"/>
                    </w:rPr>
                    <w:t xml:space="preserve">效 </w:t>
                  </w:r>
                </w:p>
                <w:p>
                  <w:pPr>
                    <w:keepNext w:val="0"/>
                    <w:keepLines w:val="0"/>
                    <w:pageBreakBefore w:val="0"/>
                    <w:widowControl/>
                    <w:suppressLineNumbers w:val="0"/>
                    <w:kinsoku/>
                    <w:wordWrap/>
                    <w:overflowPunct/>
                    <w:topLinePunct w:val="0"/>
                    <w:autoSpaceDE/>
                    <w:autoSpaceDN/>
                    <w:bidi w:val="0"/>
                    <w:jc w:val="both"/>
                    <w:rPr>
                      <w:sz w:val="21"/>
                      <w:szCs w:val="21"/>
                    </w:rPr>
                  </w:pPr>
                  <w:r>
                    <w:rPr>
                      <w:rFonts w:hint="eastAsia"/>
                      <w:sz w:val="21"/>
                      <w:szCs w:val="21"/>
                      <w:lang w:val="en-US" w:eastAsia="zh-CN"/>
                    </w:rPr>
                    <w:t xml:space="preserve">率 </w:t>
                  </w:r>
                </w:p>
                <w:p>
                  <w:pPr>
                    <w:keepNext w:val="0"/>
                    <w:keepLines w:val="0"/>
                    <w:pageBreakBefore w:val="0"/>
                    <w:widowControl/>
                    <w:suppressLineNumbers w:val="0"/>
                    <w:kinsoku/>
                    <w:wordWrap/>
                    <w:overflowPunct/>
                    <w:topLinePunct w:val="0"/>
                    <w:autoSpaceDE/>
                    <w:autoSpaceDN/>
                    <w:bidi w:val="0"/>
                    <w:jc w:val="both"/>
                    <w:rPr>
                      <w:sz w:val="21"/>
                      <w:szCs w:val="21"/>
                    </w:rPr>
                  </w:pPr>
                  <w:r>
                    <w:rPr>
                      <w:rFonts w:hint="eastAsia"/>
                      <w:sz w:val="21"/>
                      <w:szCs w:val="21"/>
                      <w:lang w:val="en-US" w:eastAsia="zh-CN"/>
                    </w:rPr>
                    <w:t xml:space="preserve">要 </w:t>
                  </w:r>
                </w:p>
                <w:p>
                  <w:pPr>
                    <w:keepNext w:val="0"/>
                    <w:keepLines w:val="0"/>
                    <w:pageBreakBefore w:val="0"/>
                    <w:widowControl/>
                    <w:suppressLineNumbers w:val="0"/>
                    <w:kinsoku/>
                    <w:wordWrap/>
                    <w:overflowPunct/>
                    <w:topLinePunct w:val="0"/>
                    <w:autoSpaceDE/>
                    <w:autoSpaceDN/>
                    <w:bidi w:val="0"/>
                    <w:jc w:val="both"/>
                    <w:rPr>
                      <w:sz w:val="21"/>
                      <w:szCs w:val="21"/>
                    </w:rPr>
                  </w:pPr>
                  <w:r>
                    <w:rPr>
                      <w:rFonts w:hint="eastAsia"/>
                      <w:sz w:val="21"/>
                      <w:szCs w:val="21"/>
                      <w:lang w:val="en-US" w:eastAsia="zh-CN"/>
                    </w:rPr>
                    <w:t>求</w:t>
                  </w:r>
                </w:p>
                <w:p>
                  <w:pPr>
                    <w:adjustRightInd w:val="0"/>
                    <w:snapToGrid w:val="0"/>
                    <w:jc w:val="both"/>
                    <w:textAlignment w:val="baseline"/>
                    <w:rPr>
                      <w:rFonts w:hint="default"/>
                      <w:sz w:val="21"/>
                      <w:szCs w:val="21"/>
                    </w:rPr>
                  </w:pPr>
                </w:p>
              </w:tc>
              <w:tc>
                <w:tcPr>
                  <w:tcW w:w="2952" w:type="dxa"/>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jc w:val="both"/>
                    <w:rPr>
                      <w:rFonts w:hint="eastAsia"/>
                      <w:sz w:val="21"/>
                      <w:szCs w:val="21"/>
                      <w:lang w:val="en-US" w:eastAsia="zh-CN"/>
                    </w:rPr>
                  </w:pPr>
                  <w:r>
                    <w:rPr>
                      <w:rFonts w:hint="default"/>
                      <w:sz w:val="21"/>
                      <w:szCs w:val="21"/>
                      <w:lang w:val="en-US" w:eastAsia="zh-CN"/>
                    </w:rPr>
                    <w:t>1.</w:t>
                  </w:r>
                  <w:r>
                    <w:rPr>
                      <w:rFonts w:hint="eastAsia"/>
                      <w:sz w:val="21"/>
                      <w:szCs w:val="21"/>
                      <w:lang w:val="en-US" w:eastAsia="zh-CN"/>
                    </w:rPr>
                    <w:t>“十四五”期间按照政府目标控制能耗增量指标。鼓励使用清洁燃料，重点区域建设项目原则上不新建燃煤自备锅炉。</w:t>
                  </w:r>
                </w:p>
                <w:p>
                  <w:pPr>
                    <w:keepNext w:val="0"/>
                    <w:keepLines w:val="0"/>
                    <w:pageBreakBefore w:val="0"/>
                    <w:widowControl/>
                    <w:suppressLineNumbers w:val="0"/>
                    <w:kinsoku/>
                    <w:wordWrap/>
                    <w:overflowPunct/>
                    <w:topLinePunct w:val="0"/>
                    <w:autoSpaceDE/>
                    <w:autoSpaceDN/>
                    <w:bidi w:val="0"/>
                    <w:jc w:val="both"/>
                    <w:rPr>
                      <w:rFonts w:hint="default" w:ascii="Times New Roman" w:hAnsi="Times New Roman" w:eastAsia="宋体" w:cs="Times New Roman"/>
                      <w:kern w:val="2"/>
                      <w:sz w:val="21"/>
                      <w:szCs w:val="21"/>
                      <w:lang w:val="en-US" w:eastAsia="zh-CN" w:bidi="ar-SA"/>
                    </w:rPr>
                  </w:pPr>
                  <w:r>
                    <w:rPr>
                      <w:rFonts w:hint="default"/>
                      <w:sz w:val="21"/>
                      <w:szCs w:val="21"/>
                      <w:lang w:val="en-US" w:eastAsia="zh-CN"/>
                    </w:rPr>
                    <w:t xml:space="preserve">2. </w:t>
                  </w:r>
                  <w:r>
                    <w:rPr>
                      <w:rFonts w:hint="eastAsia"/>
                      <w:sz w:val="21"/>
                      <w:szCs w:val="21"/>
                      <w:lang w:val="en-US" w:eastAsia="zh-CN"/>
                    </w:rPr>
                    <w:t>重点推进南水北调受水区地下水压采工作，加快公共供水管网建设，促进供水管网覆盖范围以外的自备井封闭工作。</w:t>
                  </w:r>
                  <w:r>
                    <w:rPr>
                      <w:rFonts w:hint="default"/>
                      <w:sz w:val="21"/>
                      <w:szCs w:val="21"/>
                      <w:lang w:val="en-US" w:eastAsia="zh-CN"/>
                    </w:rPr>
                    <w:t>3.</w:t>
                  </w:r>
                  <w:r>
                    <w:rPr>
                      <w:rFonts w:hint="eastAsia"/>
                      <w:sz w:val="21"/>
                      <w:szCs w:val="21"/>
                      <w:lang w:val="en-US" w:eastAsia="zh-CN"/>
                    </w:rPr>
                    <w:t>开展高耗水工业行业节水技术改造，大力推广工业水循环利用，推进节水型企业、节水型工业园区建设。</w:t>
                  </w:r>
                  <w:r>
                    <w:rPr>
                      <w:rFonts w:hint="default"/>
                      <w:sz w:val="21"/>
                      <w:szCs w:val="21"/>
                      <w:lang w:val="en-US" w:eastAsia="zh-CN"/>
                    </w:rPr>
                    <w:t>4.</w:t>
                  </w:r>
                  <w:r>
                    <w:rPr>
                      <w:rFonts w:hint="eastAsia"/>
                      <w:sz w:val="21"/>
                      <w:szCs w:val="21"/>
                      <w:lang w:val="en-US" w:eastAsia="zh-CN"/>
                    </w:rPr>
                    <w:t>按照合理有序使用地表水、控制使用地下水、积极利用非常规水源的要求，做好区域水资源统筹调配，逐步降低区域内的水资源开发利用强度，退减被挤占的生态用水，</w:t>
                  </w:r>
                  <w:r>
                    <w:rPr>
                      <w:rFonts w:hint="default"/>
                      <w:sz w:val="21"/>
                      <w:szCs w:val="21"/>
                      <w:lang w:val="en-US" w:eastAsia="zh-CN"/>
                    </w:rPr>
                    <w:t>2030</w:t>
                  </w:r>
                  <w:r>
                    <w:rPr>
                      <w:rFonts w:hint="eastAsia"/>
                      <w:sz w:val="21"/>
                      <w:szCs w:val="21"/>
                      <w:lang w:val="en-US" w:eastAsia="zh-CN"/>
                    </w:rPr>
                    <w:t>年全市浅层地下水开采控制</w:t>
                  </w:r>
                  <w:r>
                    <w:rPr>
                      <w:rFonts w:hint="default"/>
                      <w:sz w:val="21"/>
                      <w:szCs w:val="21"/>
                      <w:lang w:val="en-US" w:eastAsia="zh-CN"/>
                    </w:rPr>
                    <w:t>57390</w:t>
                  </w:r>
                  <w:r>
                    <w:rPr>
                      <w:rFonts w:hint="eastAsia"/>
                      <w:sz w:val="21"/>
                      <w:szCs w:val="21"/>
                      <w:lang w:val="en-US" w:eastAsia="zh-CN"/>
                    </w:rPr>
                    <w:t>万立方米。</w:t>
                  </w:r>
                  <w:r>
                    <w:rPr>
                      <w:rFonts w:hint="default"/>
                      <w:sz w:val="21"/>
                      <w:szCs w:val="21"/>
                      <w:lang w:val="en-US" w:eastAsia="zh-CN"/>
                    </w:rPr>
                    <w:t>5.</w:t>
                  </w:r>
                  <w:r>
                    <w:rPr>
                      <w:rFonts w:hint="eastAsia"/>
                      <w:sz w:val="21"/>
                      <w:szCs w:val="21"/>
                      <w:lang w:val="en-US" w:eastAsia="zh-CN"/>
                    </w:rPr>
                    <w:t>到</w:t>
                  </w:r>
                  <w:r>
                    <w:rPr>
                      <w:rFonts w:hint="default"/>
                      <w:sz w:val="21"/>
                      <w:szCs w:val="21"/>
                      <w:lang w:val="en-US" w:eastAsia="zh-CN"/>
                    </w:rPr>
                    <w:t>2025</w:t>
                  </w:r>
                  <w:r>
                    <w:rPr>
                      <w:rFonts w:hint="eastAsia"/>
                      <w:sz w:val="21"/>
                      <w:szCs w:val="21"/>
                      <w:lang w:val="en-US" w:eastAsia="zh-CN"/>
                    </w:rPr>
                    <w:t>年，全国地级及以上缺水城市再生水利用率达到</w:t>
                  </w:r>
                  <w:r>
                    <w:rPr>
                      <w:rFonts w:hint="default"/>
                      <w:sz w:val="21"/>
                      <w:szCs w:val="21"/>
                      <w:lang w:val="en-US" w:eastAsia="zh-CN"/>
                    </w:rPr>
                    <w:t>25%</w:t>
                  </w:r>
                  <w:r>
                    <w:rPr>
                      <w:rFonts w:hint="eastAsia"/>
                      <w:sz w:val="21"/>
                      <w:szCs w:val="21"/>
                      <w:lang w:val="en-US" w:eastAsia="zh-CN"/>
                    </w:rPr>
                    <w:t>以上。</w:t>
                  </w:r>
                  <w:r>
                    <w:rPr>
                      <w:rFonts w:hint="default"/>
                      <w:sz w:val="21"/>
                      <w:szCs w:val="21"/>
                      <w:lang w:val="en-US" w:eastAsia="zh-CN"/>
                    </w:rPr>
                    <w:t>6.</w:t>
                  </w:r>
                  <w:r>
                    <w:rPr>
                      <w:rFonts w:hint="eastAsia"/>
                      <w:sz w:val="21"/>
                      <w:szCs w:val="21"/>
                      <w:lang w:val="en-US" w:eastAsia="zh-CN"/>
                    </w:rPr>
                    <w:t>二级国家级公益林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国有二级国家级公益林除执行上述规定外，需要开展抚育和更新采伐或者非木质资源培育利用的，还应当符合森林经营方案的规划，并编制采伐或非木质资源培育利用作业设计，经县级以上林业主管部门依法批准后实施。</w:t>
                  </w:r>
                </w:p>
              </w:tc>
              <w:tc>
                <w:tcPr>
                  <w:tcW w:w="1843" w:type="dxa"/>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jc w:val="both"/>
                    <w:rPr>
                      <w:sz w:val="21"/>
                      <w:szCs w:val="21"/>
                    </w:rPr>
                  </w:pPr>
                  <w:r>
                    <w:rPr>
                      <w:rFonts w:hint="eastAsia"/>
                      <w:sz w:val="21"/>
                      <w:szCs w:val="21"/>
                      <w:lang w:val="en-US" w:eastAsia="zh-CN"/>
                    </w:rPr>
                    <w:t xml:space="preserve">本项目不属于高耗水行业。 </w:t>
                  </w:r>
                </w:p>
                <w:p>
                  <w:pPr>
                    <w:adjustRightInd w:val="0"/>
                    <w:snapToGrid w:val="0"/>
                    <w:jc w:val="center"/>
                    <w:textAlignment w:val="baseline"/>
                    <w:rPr>
                      <w:rFonts w:hint="default"/>
                      <w:sz w:val="21"/>
                      <w:szCs w:val="21"/>
                    </w:rPr>
                  </w:pPr>
                </w:p>
              </w:tc>
              <w:tc>
                <w:tcPr>
                  <w:tcW w:w="865" w:type="dxa"/>
                  <w:tcBorders>
                    <w:bottom w:val="single" w:color="auto" w:sz="8" w:space="0"/>
                    <w:right w:val="nil"/>
                  </w:tcBorders>
                  <w:vAlign w:val="center"/>
                </w:tcPr>
                <w:p>
                  <w:pPr>
                    <w:adjustRightInd w:val="0"/>
                    <w:snapToGrid w:val="0"/>
                    <w:jc w:val="center"/>
                    <w:textAlignment w:val="baseline"/>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7986" w:type="dxa"/>
                  <w:gridSpan w:val="5"/>
                  <w:tcBorders>
                    <w:top w:val="single" w:color="auto" w:sz="8" w:space="0"/>
                    <w:bottom w:val="single" w:color="auto" w:sz="8" w:space="0"/>
                    <w:right w:val="nil"/>
                  </w:tcBorders>
                  <w:vAlign w:val="center"/>
                </w:tcPr>
                <w:p>
                  <w:pPr>
                    <w:keepNext w:val="0"/>
                    <w:keepLines w:val="0"/>
                    <w:widowControl/>
                    <w:suppressLineNumbers w:val="0"/>
                    <w:ind w:firstLine="2100" w:firstLineChars="1000"/>
                    <w:jc w:val="left"/>
                    <w:rPr>
                      <w:rFonts w:hint="default"/>
                      <w:sz w:val="21"/>
                      <w:szCs w:val="21"/>
                    </w:rPr>
                  </w:pPr>
                  <w:r>
                    <w:rPr>
                      <w:rFonts w:hint="eastAsia"/>
                      <w:sz w:val="21"/>
                      <w:szCs w:val="21"/>
                      <w:lang w:val="en-US" w:eastAsia="zh-CN"/>
                    </w:rPr>
                    <w:t>新乡县环境管控单元生态环境总体准入要求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1398" w:type="dxa"/>
                  <w:vMerge w:val="restart"/>
                  <w:tcBorders>
                    <w:top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baseline"/>
                    <w:rPr>
                      <w:rFonts w:hint="default"/>
                      <w:sz w:val="21"/>
                      <w:szCs w:val="21"/>
                      <w:lang w:val="en-US" w:eastAsia="zh-CN"/>
                    </w:rPr>
                  </w:pPr>
                  <w:r>
                    <w:rPr>
                      <w:rFonts w:hint="default"/>
                      <w:sz w:val="21"/>
                      <w:szCs w:val="21"/>
                      <w:lang w:val="en-US" w:eastAsia="zh-CN"/>
                    </w:rPr>
                    <w:t>ZH41072120003</w:t>
                  </w:r>
                  <w:r>
                    <w:rPr>
                      <w:rFonts w:hint="eastAsia"/>
                      <w:sz w:val="21"/>
                      <w:szCs w:val="21"/>
                      <w:lang w:val="en-US" w:eastAsia="zh-CN"/>
                    </w:rPr>
                    <w:t>新乡县城镇重点单元环境管控要求</w:t>
                  </w:r>
                </w:p>
              </w:tc>
              <w:tc>
                <w:tcPr>
                  <w:tcW w:w="928" w:type="dxa"/>
                  <w:tcBorders>
                    <w:bottom w:val="single" w:color="auto" w:sz="8" w:space="0"/>
                  </w:tcBorders>
                  <w:vAlign w:val="center"/>
                </w:tcPr>
                <w:p>
                  <w:pPr>
                    <w:keepNext w:val="0"/>
                    <w:keepLines w:val="0"/>
                    <w:pageBreakBefore w:val="0"/>
                    <w:kinsoku/>
                    <w:wordWrap/>
                    <w:overflowPunct/>
                    <w:topLinePunct w:val="0"/>
                    <w:autoSpaceDE/>
                    <w:autoSpaceDN/>
                    <w:bidi w:val="0"/>
                    <w:adjustRightInd w:val="0"/>
                    <w:snapToGrid w:val="0"/>
                    <w:jc w:val="both"/>
                    <w:textAlignment w:val="baseline"/>
                    <w:rPr>
                      <w:rFonts w:hint="default"/>
                      <w:sz w:val="21"/>
                      <w:szCs w:val="21"/>
                    </w:rPr>
                  </w:pPr>
                  <w:r>
                    <w:rPr>
                      <w:rFonts w:hint="default"/>
                      <w:sz w:val="21"/>
                      <w:szCs w:val="21"/>
                    </w:rPr>
                    <w:t>空间布局约束</w:t>
                  </w:r>
                </w:p>
              </w:tc>
              <w:tc>
                <w:tcPr>
                  <w:tcW w:w="2952" w:type="dxa"/>
                  <w:tcBorders>
                    <w:bottom w:val="single" w:color="auto" w:sz="8" w:space="0"/>
                  </w:tcBorders>
                  <w:vAlign w:val="center"/>
                </w:tcPr>
                <w:p>
                  <w:pPr>
                    <w:keepNext w:val="0"/>
                    <w:keepLines w:val="0"/>
                    <w:pageBreakBefore w:val="0"/>
                    <w:widowControl/>
                    <w:suppressLineNumbers w:val="0"/>
                    <w:kinsoku/>
                    <w:wordWrap/>
                    <w:overflowPunct/>
                    <w:topLinePunct w:val="0"/>
                    <w:autoSpaceDE/>
                    <w:autoSpaceDN/>
                    <w:bidi w:val="0"/>
                    <w:jc w:val="both"/>
                    <w:rPr>
                      <w:rFonts w:hint="eastAsia"/>
                      <w:sz w:val="21"/>
                      <w:szCs w:val="21"/>
                      <w:lang w:val="en-US" w:eastAsia="zh-CN"/>
                    </w:rPr>
                  </w:pPr>
                  <w:r>
                    <w:rPr>
                      <w:rFonts w:hint="eastAsia"/>
                      <w:sz w:val="21"/>
                      <w:szCs w:val="21"/>
                      <w:lang w:val="en-US" w:eastAsia="zh-CN"/>
                    </w:rPr>
                    <w:t>1、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p>
                  <w:pPr>
                    <w:keepNext w:val="0"/>
                    <w:keepLines w:val="0"/>
                    <w:pageBreakBefore w:val="0"/>
                    <w:widowControl/>
                    <w:suppressLineNumbers w:val="0"/>
                    <w:kinsoku/>
                    <w:wordWrap/>
                    <w:overflowPunct/>
                    <w:topLinePunct w:val="0"/>
                    <w:autoSpaceDE/>
                    <w:autoSpaceDN/>
                    <w:bidi w:val="0"/>
                    <w:jc w:val="both"/>
                    <w:rPr>
                      <w:rFonts w:hint="eastAsia"/>
                      <w:sz w:val="21"/>
                      <w:szCs w:val="21"/>
                      <w:lang w:val="en-US" w:eastAsia="zh-CN"/>
                    </w:rPr>
                  </w:pPr>
                  <w:r>
                    <w:rPr>
                      <w:rFonts w:hint="eastAsia"/>
                      <w:sz w:val="21"/>
                      <w:szCs w:val="21"/>
                      <w:lang w:val="en-US" w:eastAsia="zh-CN"/>
                    </w:rPr>
                    <w:t>2、禁止新建、改建及扩建高排放、高污染项目，包括钢铁、有色、水泥、平板玻璃、建筑陶瓷等行业及其他排放重金属、持久性有机污染物的工业项目等。</w:t>
                  </w:r>
                </w:p>
                <w:p>
                  <w:pPr>
                    <w:keepNext w:val="0"/>
                    <w:keepLines w:val="0"/>
                    <w:pageBreakBefore w:val="0"/>
                    <w:widowControl/>
                    <w:suppressLineNumbers w:val="0"/>
                    <w:kinsoku/>
                    <w:wordWrap/>
                    <w:overflowPunct/>
                    <w:topLinePunct w:val="0"/>
                    <w:autoSpaceDE/>
                    <w:autoSpaceDN/>
                    <w:bidi w:val="0"/>
                    <w:jc w:val="both"/>
                    <w:rPr>
                      <w:rFonts w:hint="eastAsia"/>
                      <w:sz w:val="21"/>
                      <w:szCs w:val="21"/>
                      <w:lang w:val="en-US" w:eastAsia="zh-CN"/>
                    </w:rPr>
                  </w:pPr>
                  <w:r>
                    <w:rPr>
                      <w:rFonts w:hint="eastAsia"/>
                      <w:sz w:val="21"/>
                      <w:szCs w:val="21"/>
                      <w:lang w:val="en-US" w:eastAsia="zh-CN"/>
                    </w:rPr>
                    <w:t>3、对列入疑似污染地块名单的地块，未经土壤污染状况调查确定为未污染地块的，不得进入用地程序，自然资源部门不得核发建设工程规划许可证。</w:t>
                  </w:r>
                </w:p>
                <w:p>
                  <w:pPr>
                    <w:keepNext w:val="0"/>
                    <w:keepLines w:val="0"/>
                    <w:pageBreakBefore w:val="0"/>
                    <w:widowControl/>
                    <w:suppressLineNumbers w:val="0"/>
                    <w:kinsoku/>
                    <w:wordWrap/>
                    <w:overflowPunct/>
                    <w:topLinePunct w:val="0"/>
                    <w:autoSpaceDE/>
                    <w:autoSpaceDN/>
                    <w:bidi w:val="0"/>
                    <w:jc w:val="both"/>
                    <w:rPr>
                      <w:rFonts w:hint="eastAsia"/>
                      <w:sz w:val="21"/>
                      <w:szCs w:val="21"/>
                      <w:lang w:val="en-US" w:eastAsia="zh-CN"/>
                    </w:rPr>
                  </w:pPr>
                  <w:r>
                    <w:rPr>
                      <w:rFonts w:hint="eastAsia"/>
                      <w:sz w:val="21"/>
                      <w:szCs w:val="21"/>
                      <w:lang w:val="en-US" w:eastAsia="zh-CN"/>
                    </w:rPr>
                    <w:t>4、严格控制新、改、扩建“两高”项目。</w:t>
                  </w:r>
                </w:p>
              </w:tc>
              <w:tc>
                <w:tcPr>
                  <w:tcW w:w="1843" w:type="dxa"/>
                  <w:tcBorders>
                    <w:bottom w:val="single" w:color="auto" w:sz="8" w:space="0"/>
                  </w:tcBorders>
                  <w:vAlign w:val="center"/>
                </w:tcPr>
                <w:p>
                  <w:pPr>
                    <w:keepNext w:val="0"/>
                    <w:keepLines w:val="0"/>
                    <w:pageBreakBefore w:val="0"/>
                    <w:kinsoku/>
                    <w:wordWrap/>
                    <w:overflowPunct/>
                    <w:topLinePunct w:val="0"/>
                    <w:autoSpaceDE/>
                    <w:autoSpaceDN/>
                    <w:bidi w:val="0"/>
                    <w:adjustRightInd w:val="0"/>
                    <w:snapToGrid w:val="0"/>
                    <w:jc w:val="both"/>
                    <w:textAlignment w:val="baseline"/>
                    <w:rPr>
                      <w:rFonts w:hint="default"/>
                      <w:sz w:val="21"/>
                      <w:szCs w:val="21"/>
                      <w:lang w:val="en-US" w:eastAsia="zh-CN"/>
                    </w:rPr>
                  </w:pPr>
                  <w:r>
                    <w:rPr>
                      <w:rFonts w:hint="eastAsia"/>
                      <w:sz w:val="21"/>
                      <w:szCs w:val="21"/>
                      <w:lang w:val="en-US" w:eastAsia="zh-CN"/>
                    </w:rPr>
                    <w:t>1、本项目不属于本条款中严格控制类项目。</w:t>
                  </w:r>
                  <w:r>
                    <w:rPr>
                      <w:rFonts w:hint="eastAsia"/>
                      <w:sz w:val="21"/>
                      <w:szCs w:val="21"/>
                      <w:lang w:val="en-US" w:eastAsia="zh-CN"/>
                    </w:rPr>
                    <w:br w:type="textWrapping"/>
                  </w:r>
                  <w:r>
                    <w:rPr>
                      <w:rFonts w:hint="eastAsia"/>
                      <w:sz w:val="21"/>
                      <w:szCs w:val="21"/>
                      <w:lang w:val="en-US" w:eastAsia="zh-CN"/>
                    </w:rPr>
                    <w:t>2、本项目属于商品混凝土生产，不属于被禁止项目。</w:t>
                  </w:r>
                  <w:r>
                    <w:rPr>
                      <w:rFonts w:hint="eastAsia"/>
                      <w:sz w:val="21"/>
                      <w:szCs w:val="21"/>
                      <w:lang w:val="en-US" w:eastAsia="zh-CN"/>
                    </w:rPr>
                    <w:br w:type="textWrapping"/>
                  </w:r>
                  <w:r>
                    <w:rPr>
                      <w:rFonts w:hint="eastAsia"/>
                      <w:sz w:val="21"/>
                      <w:szCs w:val="21"/>
                      <w:lang w:val="en-US" w:eastAsia="zh-CN"/>
                    </w:rPr>
                    <w:t>3、本项目未被列入疑似污染地块。</w:t>
                  </w:r>
                  <w:r>
                    <w:rPr>
                      <w:rFonts w:hint="eastAsia"/>
                      <w:sz w:val="21"/>
                      <w:szCs w:val="21"/>
                      <w:lang w:val="en-US" w:eastAsia="zh-CN"/>
                    </w:rPr>
                    <w:br w:type="textWrapping"/>
                  </w:r>
                  <w:r>
                    <w:rPr>
                      <w:rFonts w:hint="eastAsia"/>
                      <w:sz w:val="21"/>
                      <w:szCs w:val="21"/>
                      <w:lang w:val="en-US" w:eastAsia="zh-CN"/>
                    </w:rPr>
                    <w:t>4、本项目不属于“两高”项目。</w:t>
                  </w:r>
                </w:p>
              </w:tc>
              <w:tc>
                <w:tcPr>
                  <w:tcW w:w="865" w:type="dxa"/>
                  <w:tcBorders>
                    <w:bottom w:val="single" w:color="auto" w:sz="8" w:space="0"/>
                    <w:right w:val="nil"/>
                  </w:tcBorders>
                  <w:vAlign w:val="center"/>
                </w:tcPr>
                <w:p>
                  <w:pPr>
                    <w:adjustRightInd w:val="0"/>
                    <w:snapToGrid w:val="0"/>
                    <w:jc w:val="center"/>
                    <w:textAlignment w:val="baseline"/>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139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baseline"/>
                    <w:rPr>
                      <w:rFonts w:hint="default"/>
                      <w:sz w:val="21"/>
                      <w:szCs w:val="21"/>
                      <w:lang w:val="en-US" w:eastAsia="zh-CN"/>
                    </w:rPr>
                  </w:pPr>
                </w:p>
              </w:tc>
              <w:tc>
                <w:tcPr>
                  <w:tcW w:w="928"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sz w:val="21"/>
                      <w:szCs w:val="21"/>
                    </w:rPr>
                  </w:pPr>
                  <w:r>
                    <w:rPr>
                      <w:rFonts w:hint="eastAsia"/>
                      <w:sz w:val="21"/>
                      <w:szCs w:val="21"/>
                      <w:lang w:val="en-US" w:eastAsia="zh-CN"/>
                    </w:rPr>
                    <w:t>污染物排放管控</w:t>
                  </w:r>
                </w:p>
              </w:tc>
              <w:tc>
                <w:tcPr>
                  <w:tcW w:w="2952"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baseline"/>
                    <w:rPr>
                      <w:rFonts w:hint="eastAsia"/>
                      <w:sz w:val="21"/>
                      <w:szCs w:val="21"/>
                      <w:lang w:val="en-US" w:eastAsia="zh-CN"/>
                    </w:rPr>
                  </w:pPr>
                  <w:r>
                    <w:rPr>
                      <w:rFonts w:hint="eastAsia"/>
                      <w:sz w:val="21"/>
                      <w:szCs w:val="21"/>
                      <w:lang w:val="en-US" w:eastAsia="zh-CN"/>
                    </w:rPr>
                    <w:t>1、二氧化硫、氮氧化物、颗粒物、VOCs全面执行大气污染物特别排放限值。</w:t>
                  </w:r>
                </w:p>
                <w:p>
                  <w:pPr>
                    <w:keepNext w:val="0"/>
                    <w:keepLines w:val="0"/>
                    <w:pageBreakBefore w:val="0"/>
                    <w:widowControl w:val="0"/>
                    <w:kinsoku/>
                    <w:wordWrap/>
                    <w:overflowPunct/>
                    <w:topLinePunct w:val="0"/>
                    <w:autoSpaceDE/>
                    <w:autoSpaceDN/>
                    <w:bidi w:val="0"/>
                    <w:adjustRightInd w:val="0"/>
                    <w:snapToGrid w:val="0"/>
                    <w:jc w:val="both"/>
                    <w:textAlignment w:val="baseline"/>
                    <w:rPr>
                      <w:rFonts w:hint="eastAsia"/>
                      <w:sz w:val="21"/>
                      <w:szCs w:val="21"/>
                      <w:lang w:val="en-US" w:eastAsia="zh-CN"/>
                    </w:rPr>
                  </w:pPr>
                  <w:r>
                    <w:rPr>
                      <w:rFonts w:hint="eastAsia"/>
                      <w:sz w:val="21"/>
                      <w:szCs w:val="21"/>
                      <w:lang w:val="en-US" w:eastAsia="zh-CN"/>
                    </w:rPr>
                    <w:t>2、加强柴油车NOx排放监管，严格实施非道路移动机械排放标准，推进重点场所清洁能源机械替代。</w:t>
                  </w:r>
                </w:p>
                <w:p>
                  <w:pPr>
                    <w:keepNext w:val="0"/>
                    <w:keepLines w:val="0"/>
                    <w:pageBreakBefore w:val="0"/>
                    <w:widowControl w:val="0"/>
                    <w:kinsoku/>
                    <w:wordWrap/>
                    <w:overflowPunct/>
                    <w:topLinePunct w:val="0"/>
                    <w:autoSpaceDE/>
                    <w:autoSpaceDN/>
                    <w:bidi w:val="0"/>
                    <w:adjustRightInd w:val="0"/>
                    <w:snapToGrid w:val="0"/>
                    <w:jc w:val="both"/>
                    <w:textAlignment w:val="baseline"/>
                    <w:rPr>
                      <w:rFonts w:hint="eastAsia"/>
                      <w:sz w:val="21"/>
                      <w:szCs w:val="21"/>
                      <w:lang w:val="en-US" w:eastAsia="zh-CN"/>
                    </w:rPr>
                  </w:pPr>
                  <w:r>
                    <w:rPr>
                      <w:rFonts w:hint="eastAsia"/>
                      <w:sz w:val="21"/>
                      <w:szCs w:val="21"/>
                      <w:lang w:val="en-US" w:eastAsia="zh-CN"/>
                    </w:rPr>
                    <w:t>3、禁止含重金属废水进入城市生活污水处理厂。</w:t>
                  </w:r>
                </w:p>
              </w:tc>
              <w:tc>
                <w:tcPr>
                  <w:tcW w:w="1843" w:type="dxa"/>
                  <w:tcBorders>
                    <w:bottom w:val="single" w:color="auto" w:sz="8" w:space="0"/>
                  </w:tcBorders>
                  <w:vAlign w:val="center"/>
                </w:tcPr>
                <w:p>
                  <w:pPr>
                    <w:keepNext w:val="0"/>
                    <w:keepLines w:val="0"/>
                    <w:pageBreakBefore w:val="0"/>
                    <w:kinsoku/>
                    <w:wordWrap/>
                    <w:overflowPunct/>
                    <w:topLinePunct w:val="0"/>
                    <w:autoSpaceDE/>
                    <w:autoSpaceDN/>
                    <w:bidi w:val="0"/>
                    <w:adjustRightInd w:val="0"/>
                    <w:snapToGrid w:val="0"/>
                    <w:jc w:val="both"/>
                    <w:textAlignment w:val="baseline"/>
                    <w:rPr>
                      <w:rFonts w:hint="default"/>
                      <w:sz w:val="21"/>
                      <w:szCs w:val="21"/>
                      <w:lang w:val="en-US" w:eastAsia="zh-CN"/>
                    </w:rPr>
                  </w:pPr>
                  <w:r>
                    <w:rPr>
                      <w:rFonts w:hint="eastAsia"/>
                      <w:sz w:val="21"/>
                      <w:szCs w:val="21"/>
                      <w:lang w:val="en-US" w:eastAsia="zh-CN"/>
                    </w:rPr>
                    <w:t>1、本项目排放的颗粒物执行大气污染物特别排放限值。</w:t>
                  </w:r>
                  <w:r>
                    <w:rPr>
                      <w:rFonts w:hint="eastAsia"/>
                      <w:sz w:val="21"/>
                      <w:szCs w:val="21"/>
                      <w:lang w:val="en-US" w:eastAsia="zh-CN"/>
                    </w:rPr>
                    <w:br w:type="textWrapping"/>
                  </w:r>
                  <w:r>
                    <w:rPr>
                      <w:rFonts w:hint="eastAsia"/>
                      <w:sz w:val="21"/>
                      <w:szCs w:val="21"/>
                      <w:lang w:val="en-US" w:eastAsia="zh-CN"/>
                    </w:rPr>
                    <w:t>2、本项目按管理要求使用非道路引动机械。</w:t>
                  </w:r>
                  <w:r>
                    <w:rPr>
                      <w:rFonts w:hint="eastAsia"/>
                      <w:sz w:val="21"/>
                      <w:szCs w:val="21"/>
                      <w:lang w:val="en-US" w:eastAsia="zh-CN"/>
                    </w:rPr>
                    <w:br w:type="textWrapping"/>
                  </w:r>
                  <w:r>
                    <w:rPr>
                      <w:rFonts w:hint="eastAsia"/>
                      <w:sz w:val="21"/>
                      <w:szCs w:val="21"/>
                      <w:lang w:val="en-US" w:eastAsia="zh-CN"/>
                    </w:rPr>
                    <w:t>3、本项目不涉及。</w:t>
                  </w:r>
                </w:p>
              </w:tc>
              <w:tc>
                <w:tcPr>
                  <w:tcW w:w="865" w:type="dxa"/>
                  <w:tcBorders>
                    <w:bottom w:val="single" w:color="auto" w:sz="8" w:space="0"/>
                    <w:right w:val="nil"/>
                  </w:tcBorders>
                  <w:vAlign w:val="center"/>
                </w:tcPr>
                <w:p>
                  <w:pPr>
                    <w:adjustRightInd w:val="0"/>
                    <w:snapToGrid w:val="0"/>
                    <w:jc w:val="center"/>
                    <w:textAlignment w:val="baseline"/>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1398" w:type="dxa"/>
                  <w:vMerge w:val="continue"/>
                  <w:vAlign w:val="center"/>
                </w:tcPr>
                <w:p>
                  <w:pPr>
                    <w:keepNext w:val="0"/>
                    <w:keepLines w:val="0"/>
                    <w:pageBreakBefore w:val="0"/>
                    <w:kinsoku/>
                    <w:wordWrap/>
                    <w:overflowPunct/>
                    <w:topLinePunct w:val="0"/>
                    <w:autoSpaceDE/>
                    <w:autoSpaceDN/>
                    <w:bidi w:val="0"/>
                    <w:adjustRightInd w:val="0"/>
                    <w:snapToGrid w:val="0"/>
                    <w:jc w:val="both"/>
                    <w:textAlignment w:val="baseline"/>
                    <w:rPr>
                      <w:rFonts w:hint="default"/>
                      <w:sz w:val="21"/>
                      <w:szCs w:val="21"/>
                      <w:lang w:val="en-US" w:eastAsia="zh-CN"/>
                    </w:rPr>
                  </w:pPr>
                </w:p>
              </w:tc>
              <w:tc>
                <w:tcPr>
                  <w:tcW w:w="928"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sz w:val="21"/>
                      <w:szCs w:val="21"/>
                    </w:rPr>
                  </w:pPr>
                  <w:r>
                    <w:rPr>
                      <w:rFonts w:hint="eastAsia"/>
                      <w:sz w:val="21"/>
                      <w:szCs w:val="21"/>
                      <w:lang w:val="en-US" w:eastAsia="zh-CN"/>
                    </w:rPr>
                    <w:t>环境风险防控</w:t>
                  </w:r>
                </w:p>
              </w:tc>
              <w:tc>
                <w:tcPr>
                  <w:tcW w:w="2952"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baseline"/>
                    <w:rPr>
                      <w:rFonts w:hint="eastAsia"/>
                      <w:sz w:val="21"/>
                      <w:szCs w:val="21"/>
                      <w:lang w:val="en-US" w:eastAsia="zh-CN"/>
                    </w:rPr>
                  </w:pPr>
                  <w:r>
                    <w:rPr>
                      <w:rFonts w:hint="eastAsia"/>
                      <w:sz w:val="21"/>
                      <w:szCs w:val="21"/>
                      <w:lang w:val="en-US" w:eastAsia="zh-CN"/>
                    </w:rPr>
                    <w:t>高关注地块划分污染风险等级，纳入优先管控名录。</w:t>
                  </w:r>
                </w:p>
              </w:tc>
              <w:tc>
                <w:tcPr>
                  <w:tcW w:w="1843" w:type="dxa"/>
                  <w:tcBorders>
                    <w:bottom w:val="single" w:color="auto" w:sz="8" w:space="0"/>
                  </w:tcBorders>
                  <w:vAlign w:val="center"/>
                </w:tcPr>
                <w:p>
                  <w:pPr>
                    <w:keepNext w:val="0"/>
                    <w:keepLines w:val="0"/>
                    <w:pageBreakBefore w:val="0"/>
                    <w:kinsoku/>
                    <w:wordWrap/>
                    <w:overflowPunct/>
                    <w:topLinePunct w:val="0"/>
                    <w:autoSpaceDE/>
                    <w:autoSpaceDN/>
                    <w:bidi w:val="0"/>
                    <w:adjustRightInd w:val="0"/>
                    <w:snapToGrid w:val="0"/>
                    <w:jc w:val="both"/>
                    <w:textAlignment w:val="baseline"/>
                    <w:rPr>
                      <w:rFonts w:hint="default"/>
                      <w:sz w:val="21"/>
                      <w:szCs w:val="21"/>
                      <w:lang w:val="en-US" w:eastAsia="zh-CN"/>
                    </w:rPr>
                  </w:pPr>
                  <w:r>
                    <w:rPr>
                      <w:rFonts w:hint="default"/>
                      <w:sz w:val="21"/>
                      <w:szCs w:val="21"/>
                    </w:rPr>
                    <w:br w:type="textWrapping"/>
                  </w:r>
                  <w:r>
                    <w:rPr>
                      <w:rFonts w:hint="eastAsia"/>
                      <w:sz w:val="21"/>
                      <w:szCs w:val="21"/>
                      <w:lang w:val="en-US" w:eastAsia="zh-CN"/>
                    </w:rPr>
                    <w:t>本项目未被列入高关注地块。</w:t>
                  </w:r>
                </w:p>
              </w:tc>
              <w:tc>
                <w:tcPr>
                  <w:tcW w:w="865" w:type="dxa"/>
                  <w:tcBorders>
                    <w:bottom w:val="single" w:color="auto" w:sz="8" w:space="0"/>
                    <w:right w:val="nil"/>
                  </w:tcBorders>
                  <w:vAlign w:val="center"/>
                </w:tcPr>
                <w:p>
                  <w:pPr>
                    <w:adjustRightInd w:val="0"/>
                    <w:snapToGrid w:val="0"/>
                    <w:jc w:val="center"/>
                    <w:textAlignment w:val="baseline"/>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21" w:type="dxa"/>
                <w:trHeight w:val="397" w:hRule="atLeast"/>
              </w:trPr>
              <w:tc>
                <w:tcPr>
                  <w:tcW w:w="1398" w:type="dxa"/>
                  <w:vMerge w:val="continue"/>
                  <w:vAlign w:val="center"/>
                </w:tcPr>
                <w:p>
                  <w:pPr>
                    <w:keepNext w:val="0"/>
                    <w:keepLines w:val="0"/>
                    <w:pageBreakBefore w:val="0"/>
                    <w:kinsoku/>
                    <w:wordWrap/>
                    <w:overflowPunct/>
                    <w:topLinePunct w:val="0"/>
                    <w:autoSpaceDE/>
                    <w:autoSpaceDN/>
                    <w:bidi w:val="0"/>
                    <w:adjustRightInd w:val="0"/>
                    <w:snapToGrid w:val="0"/>
                    <w:jc w:val="both"/>
                    <w:textAlignment w:val="baseline"/>
                    <w:rPr>
                      <w:rFonts w:hint="default"/>
                      <w:sz w:val="21"/>
                      <w:szCs w:val="21"/>
                      <w:lang w:val="en-US" w:eastAsia="zh-CN"/>
                    </w:rPr>
                  </w:pPr>
                </w:p>
              </w:tc>
              <w:tc>
                <w:tcPr>
                  <w:tcW w:w="928"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sz w:val="21"/>
                      <w:szCs w:val="21"/>
                    </w:rPr>
                  </w:pPr>
                  <w:r>
                    <w:rPr>
                      <w:rFonts w:hint="eastAsia"/>
                      <w:sz w:val="21"/>
                      <w:szCs w:val="21"/>
                      <w:lang w:val="en-US" w:eastAsia="zh-CN"/>
                    </w:rPr>
                    <w:t>资源利用效率要求</w:t>
                  </w:r>
                </w:p>
              </w:tc>
              <w:tc>
                <w:tcPr>
                  <w:tcW w:w="2952" w:type="dxa"/>
                  <w:tcBorders>
                    <w:bottom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jc w:val="both"/>
                    <w:textAlignment w:val="baseline"/>
                    <w:rPr>
                      <w:rFonts w:hint="eastAsia"/>
                      <w:sz w:val="21"/>
                      <w:szCs w:val="21"/>
                      <w:lang w:val="en-US" w:eastAsia="zh-CN"/>
                    </w:rPr>
                  </w:pPr>
                  <w:r>
                    <w:rPr>
                      <w:rFonts w:hint="eastAsia"/>
                      <w:sz w:val="21"/>
                      <w:szCs w:val="21"/>
                      <w:lang w:val="en-US" w:eastAsia="zh-CN"/>
                    </w:rPr>
                    <w:t>进一步优化能源结构，加快集中供热、供气及配套管网建设。不得新改扩建分散燃煤设施。</w:t>
                  </w:r>
                </w:p>
              </w:tc>
              <w:tc>
                <w:tcPr>
                  <w:tcW w:w="1843" w:type="dxa"/>
                  <w:tcBorders>
                    <w:bottom w:val="single" w:color="auto" w:sz="8" w:space="0"/>
                  </w:tcBorders>
                  <w:vAlign w:val="center"/>
                </w:tcPr>
                <w:p>
                  <w:pPr>
                    <w:keepNext w:val="0"/>
                    <w:keepLines w:val="0"/>
                    <w:pageBreakBefore w:val="0"/>
                    <w:kinsoku/>
                    <w:wordWrap/>
                    <w:overflowPunct/>
                    <w:topLinePunct w:val="0"/>
                    <w:autoSpaceDE/>
                    <w:autoSpaceDN/>
                    <w:bidi w:val="0"/>
                    <w:adjustRightInd w:val="0"/>
                    <w:snapToGrid w:val="0"/>
                    <w:ind w:firstLine="420" w:firstLineChars="200"/>
                    <w:jc w:val="both"/>
                    <w:textAlignment w:val="baseline"/>
                    <w:rPr>
                      <w:rFonts w:hint="eastAsia"/>
                      <w:sz w:val="21"/>
                      <w:szCs w:val="21"/>
                      <w:lang w:val="en-US" w:eastAsia="zh-CN"/>
                    </w:rPr>
                  </w:pPr>
                  <w:r>
                    <w:rPr>
                      <w:rFonts w:hint="eastAsia"/>
                      <w:sz w:val="21"/>
                      <w:szCs w:val="21"/>
                      <w:lang w:val="en-US" w:eastAsia="zh-CN"/>
                    </w:rPr>
                    <w:t>不涉及。</w:t>
                  </w:r>
                </w:p>
              </w:tc>
              <w:tc>
                <w:tcPr>
                  <w:tcW w:w="865" w:type="dxa"/>
                  <w:tcBorders>
                    <w:bottom w:val="single" w:color="auto" w:sz="8" w:space="0"/>
                    <w:right w:val="nil"/>
                  </w:tcBorders>
                  <w:vAlign w:val="center"/>
                </w:tcPr>
                <w:p>
                  <w:pPr>
                    <w:adjustRightInd w:val="0"/>
                    <w:snapToGrid w:val="0"/>
                    <w:jc w:val="center"/>
                    <w:textAlignment w:val="baseline"/>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39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baseline"/>
                    <w:rPr>
                      <w:rFonts w:hint="default"/>
                      <w:sz w:val="21"/>
                      <w:szCs w:val="21"/>
                    </w:rPr>
                  </w:pPr>
                  <w:r>
                    <w:rPr>
                      <w:rFonts w:hint="default"/>
                      <w:sz w:val="21"/>
                      <w:szCs w:val="21"/>
                      <w:lang w:val="en-US" w:eastAsia="zh-CN"/>
                    </w:rPr>
                    <w:t>ZH41072120005</w:t>
                  </w:r>
                  <w:r>
                    <w:rPr>
                      <w:rFonts w:hint="default"/>
                      <w:sz w:val="21"/>
                      <w:szCs w:val="21"/>
                      <w:lang w:val="en-US" w:eastAsia="zh-CN"/>
                    </w:rPr>
                    <w:br w:type="textWrapping"/>
                  </w:r>
                  <w:r>
                    <w:rPr>
                      <w:rFonts w:hint="eastAsia"/>
                      <w:sz w:val="21"/>
                      <w:szCs w:val="21"/>
                      <w:lang w:val="en-US" w:eastAsia="zh-CN"/>
                    </w:rPr>
                    <w:t>新乡县大气布局敏感区管控要求</w:t>
                  </w:r>
                </w:p>
              </w:tc>
              <w:tc>
                <w:tcPr>
                  <w:tcW w:w="928" w:type="dxa"/>
                  <w:tcBorders>
                    <w:top w:val="single" w:color="auto" w:sz="8" w:space="0"/>
                  </w:tcBorders>
                  <w:vAlign w:val="center"/>
                </w:tcPr>
                <w:p>
                  <w:pPr>
                    <w:adjustRightInd w:val="0"/>
                    <w:snapToGrid w:val="0"/>
                    <w:jc w:val="left"/>
                    <w:textAlignment w:val="baseline"/>
                    <w:rPr>
                      <w:rFonts w:hint="default"/>
                      <w:sz w:val="21"/>
                      <w:szCs w:val="21"/>
                      <w:lang w:val="en-US" w:eastAsia="zh-CN"/>
                    </w:rPr>
                  </w:pPr>
                  <w:r>
                    <w:rPr>
                      <w:rFonts w:hint="eastAsia"/>
                      <w:sz w:val="21"/>
                      <w:szCs w:val="21"/>
                      <w:lang w:val="en-US" w:eastAsia="zh-CN"/>
                    </w:rPr>
                    <w:t>空间布局约束</w:t>
                  </w:r>
                </w:p>
              </w:tc>
              <w:tc>
                <w:tcPr>
                  <w:tcW w:w="2952" w:type="dxa"/>
                  <w:tcBorders>
                    <w:top w:val="single" w:color="auto" w:sz="8" w:space="0"/>
                  </w:tcBorders>
                  <w:vAlign w:val="center"/>
                </w:tcPr>
                <w:p>
                  <w:pPr>
                    <w:adjustRightInd w:val="0"/>
                    <w:snapToGrid w:val="0"/>
                    <w:jc w:val="left"/>
                    <w:textAlignment w:val="baseline"/>
                    <w:rPr>
                      <w:rFonts w:hint="eastAsia"/>
                      <w:sz w:val="21"/>
                      <w:szCs w:val="21"/>
                      <w:lang w:val="en-US" w:eastAsia="zh-CN"/>
                    </w:rPr>
                  </w:pPr>
                  <w:r>
                    <w:rPr>
                      <w:rFonts w:hint="eastAsia"/>
                      <w:sz w:val="21"/>
                      <w:szCs w:val="21"/>
                      <w:lang w:val="en-US" w:eastAsia="zh-CN"/>
                    </w:rPr>
                    <w:t>1、禁止新建、改建及扩建高排放、高污染项目，包括钢铁、有色、水泥、平板玻璃、建筑陶瓷等行业及其他排放重金属、持久性有机污染物的工业项目等。</w:t>
                  </w:r>
                </w:p>
                <w:p>
                  <w:pPr>
                    <w:adjustRightInd w:val="0"/>
                    <w:snapToGrid w:val="0"/>
                    <w:jc w:val="left"/>
                    <w:textAlignment w:val="baseline"/>
                    <w:rPr>
                      <w:rFonts w:hint="default"/>
                      <w:sz w:val="21"/>
                      <w:szCs w:val="21"/>
                      <w:lang w:val="en-US" w:eastAsia="zh-CN"/>
                    </w:rPr>
                  </w:pPr>
                  <w:r>
                    <w:rPr>
                      <w:rFonts w:hint="eastAsia"/>
                      <w:sz w:val="21"/>
                      <w:szCs w:val="21"/>
                      <w:lang w:val="en-US" w:eastAsia="zh-CN"/>
                    </w:rPr>
                    <w:t>2、严格控制新、改、扩建“两高”项目。</w:t>
                  </w:r>
                </w:p>
              </w:tc>
              <w:tc>
                <w:tcPr>
                  <w:tcW w:w="1843" w:type="dxa"/>
                  <w:tcBorders>
                    <w:top w:val="single" w:color="auto" w:sz="8" w:space="0"/>
                  </w:tcBorders>
                  <w:vAlign w:val="center"/>
                </w:tcPr>
                <w:p>
                  <w:pPr>
                    <w:jc w:val="left"/>
                    <w:rPr>
                      <w:rFonts w:hint="default"/>
                      <w:sz w:val="21"/>
                      <w:szCs w:val="21"/>
                    </w:rPr>
                  </w:pPr>
                  <w:r>
                    <w:rPr>
                      <w:rFonts w:hint="default"/>
                      <w:sz w:val="21"/>
                      <w:szCs w:val="21"/>
                    </w:rPr>
                    <w:t>本项目不属于</w:t>
                  </w:r>
                  <w:r>
                    <w:rPr>
                      <w:rFonts w:hint="eastAsia"/>
                      <w:sz w:val="21"/>
                      <w:szCs w:val="21"/>
                    </w:rPr>
                    <w:t>高排放、高污染项目,不涉及重金属、持久性有机污染物的排放</w:t>
                  </w:r>
                  <w:r>
                    <w:rPr>
                      <w:rFonts w:hint="eastAsia"/>
                      <w:sz w:val="21"/>
                      <w:szCs w:val="21"/>
                      <w:lang w:val="en-US" w:eastAsia="zh-CN"/>
                    </w:rPr>
                    <w:t>的项目。</w:t>
                  </w:r>
                </w:p>
                <w:p>
                  <w:pPr>
                    <w:jc w:val="left"/>
                    <w:rPr>
                      <w:rFonts w:hint="eastAsia"/>
                      <w:sz w:val="21"/>
                      <w:szCs w:val="21"/>
                      <w:lang w:val="en-US" w:eastAsia="zh-CN"/>
                    </w:rPr>
                  </w:pPr>
                  <w:r>
                    <w:rPr>
                      <w:rFonts w:hint="eastAsia"/>
                      <w:sz w:val="21"/>
                      <w:szCs w:val="21"/>
                      <w:lang w:val="en-US" w:eastAsia="zh-CN"/>
                    </w:rPr>
                    <w:t>2、本项目不属于“两高”项目。</w:t>
                  </w:r>
                </w:p>
              </w:tc>
              <w:tc>
                <w:tcPr>
                  <w:tcW w:w="1086" w:type="dxa"/>
                  <w:gridSpan w:val="2"/>
                  <w:vMerge w:val="restart"/>
                  <w:tcBorders>
                    <w:top w:val="single" w:color="auto" w:sz="8" w:space="0"/>
                  </w:tcBorders>
                  <w:vAlign w:val="center"/>
                </w:tcPr>
                <w:p>
                  <w:pPr>
                    <w:adjustRightInd w:val="0"/>
                    <w:snapToGrid w:val="0"/>
                    <w:jc w:val="center"/>
                    <w:textAlignment w:val="baseline"/>
                    <w:rPr>
                      <w:rFonts w:hint="default"/>
                      <w:sz w:val="21"/>
                      <w:szCs w:val="21"/>
                    </w:rPr>
                  </w:pPr>
                  <w:r>
                    <w:rPr>
                      <w:rFonts w:hint="default"/>
                      <w:sz w:val="21"/>
                      <w:szCs w:val="21"/>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1398" w:type="dxa"/>
                  <w:vMerge w:val="continue"/>
                  <w:vAlign w:val="center"/>
                </w:tcPr>
                <w:p>
                  <w:pPr>
                    <w:pStyle w:val="118"/>
                    <w:jc w:val="center"/>
                    <w:rPr>
                      <w:rFonts w:hint="default"/>
                      <w:sz w:val="21"/>
                      <w:szCs w:val="21"/>
                    </w:rPr>
                  </w:pPr>
                </w:p>
              </w:tc>
              <w:tc>
                <w:tcPr>
                  <w:tcW w:w="928" w:type="dxa"/>
                  <w:vAlign w:val="center"/>
                </w:tcPr>
                <w:p>
                  <w:pPr>
                    <w:adjustRightInd w:val="0"/>
                    <w:snapToGrid w:val="0"/>
                    <w:jc w:val="left"/>
                    <w:textAlignment w:val="baseline"/>
                    <w:rPr>
                      <w:rFonts w:hint="default"/>
                      <w:sz w:val="21"/>
                      <w:szCs w:val="21"/>
                    </w:rPr>
                  </w:pPr>
                  <w:r>
                    <w:rPr>
                      <w:rFonts w:hint="eastAsia"/>
                      <w:sz w:val="21"/>
                      <w:szCs w:val="21"/>
                      <w:lang w:val="en-US" w:eastAsia="zh-CN"/>
                    </w:rPr>
                    <w:t>污染物排放管控</w:t>
                  </w:r>
                </w:p>
              </w:tc>
              <w:tc>
                <w:tcPr>
                  <w:tcW w:w="2952" w:type="dxa"/>
                  <w:tcBorders>
                    <w:top w:val="single" w:color="auto" w:sz="4" w:space="0"/>
                  </w:tcBorders>
                  <w:vAlign w:val="center"/>
                </w:tcPr>
                <w:p>
                  <w:pPr>
                    <w:adjustRightInd w:val="0"/>
                    <w:snapToGrid w:val="0"/>
                    <w:jc w:val="left"/>
                    <w:textAlignment w:val="baseline"/>
                    <w:rPr>
                      <w:rFonts w:hint="eastAsia"/>
                      <w:sz w:val="21"/>
                      <w:szCs w:val="21"/>
                      <w:lang w:val="en-US" w:eastAsia="zh-CN"/>
                    </w:rPr>
                  </w:pPr>
                  <w:r>
                    <w:rPr>
                      <w:rFonts w:hint="eastAsia"/>
                      <w:sz w:val="21"/>
                      <w:szCs w:val="21"/>
                      <w:lang w:val="en-US" w:eastAsia="zh-CN"/>
                    </w:rPr>
                    <w:t>1、二氧化硫、氮氧化物、颗粒物、VOCs全面执行大气污染物特别排放限值。</w:t>
                  </w:r>
                </w:p>
                <w:p>
                  <w:pPr>
                    <w:adjustRightInd w:val="0"/>
                    <w:snapToGrid w:val="0"/>
                    <w:jc w:val="left"/>
                    <w:textAlignment w:val="baseline"/>
                    <w:rPr>
                      <w:rFonts w:hint="eastAsia"/>
                      <w:sz w:val="21"/>
                      <w:szCs w:val="21"/>
                      <w:lang w:val="en-US" w:eastAsia="zh-CN"/>
                    </w:rPr>
                  </w:pPr>
                  <w:r>
                    <w:rPr>
                      <w:rFonts w:hint="eastAsia"/>
                      <w:sz w:val="21"/>
                      <w:szCs w:val="21"/>
                      <w:lang w:val="en-US" w:eastAsia="zh-CN"/>
                    </w:rPr>
                    <w:t>2、推进城中村、老旧城区和城乡结合部污水处理配套管网建设和雨污分流系统改造，实现污水全收集、全处理。</w:t>
                  </w:r>
                </w:p>
                <w:p>
                  <w:pPr>
                    <w:adjustRightInd w:val="0"/>
                    <w:snapToGrid w:val="0"/>
                    <w:jc w:val="left"/>
                    <w:textAlignment w:val="baseline"/>
                    <w:rPr>
                      <w:rFonts w:hint="default"/>
                      <w:sz w:val="21"/>
                      <w:szCs w:val="21"/>
                    </w:rPr>
                  </w:pPr>
                  <w:r>
                    <w:rPr>
                      <w:rFonts w:hint="eastAsia"/>
                      <w:sz w:val="21"/>
                      <w:szCs w:val="21"/>
                      <w:lang w:val="en-US" w:eastAsia="zh-CN"/>
                    </w:rPr>
                    <w:t>3、加快城市建成区排水管网清污分流、污水处理厂提质增效，城镇污水处理厂逐步达到《地表水环境质量标准》V类排放标准。</w:t>
                  </w:r>
                </w:p>
              </w:tc>
              <w:tc>
                <w:tcPr>
                  <w:tcW w:w="1843" w:type="dxa"/>
                  <w:vAlign w:val="center"/>
                </w:tcPr>
                <w:p>
                  <w:pPr>
                    <w:jc w:val="left"/>
                    <w:rPr>
                      <w:rFonts w:hint="default"/>
                      <w:sz w:val="21"/>
                      <w:szCs w:val="21"/>
                    </w:rPr>
                  </w:pPr>
                  <w:r>
                    <w:rPr>
                      <w:rFonts w:hint="default"/>
                      <w:sz w:val="21"/>
                      <w:szCs w:val="21"/>
                    </w:rPr>
                    <w:t>1、</w:t>
                  </w:r>
                  <w:r>
                    <w:rPr>
                      <w:rFonts w:hint="eastAsia"/>
                      <w:sz w:val="21"/>
                      <w:szCs w:val="21"/>
                      <w:lang w:val="en-US" w:eastAsia="zh-CN"/>
                    </w:rPr>
                    <w:t>本项目排放的颗粒物执行大气污染物特别排放限值。</w:t>
                  </w:r>
                  <w:r>
                    <w:rPr>
                      <w:rFonts w:hint="eastAsia"/>
                      <w:sz w:val="21"/>
                      <w:szCs w:val="21"/>
                      <w:lang w:val="en-US" w:eastAsia="zh-CN"/>
                    </w:rPr>
                    <w:br w:type="textWrapping"/>
                  </w:r>
                  <w:r>
                    <w:rPr>
                      <w:rFonts w:hint="default"/>
                      <w:sz w:val="21"/>
                      <w:szCs w:val="21"/>
                    </w:rPr>
                    <w:t>2、本项目</w:t>
                  </w:r>
                  <w:r>
                    <w:rPr>
                      <w:rFonts w:hint="eastAsia"/>
                      <w:sz w:val="21"/>
                      <w:szCs w:val="21"/>
                      <w:lang w:val="en-US" w:eastAsia="zh-CN"/>
                    </w:rPr>
                    <w:t>不涉及</w:t>
                  </w:r>
                  <w:r>
                    <w:rPr>
                      <w:rFonts w:hint="default"/>
                      <w:sz w:val="21"/>
                      <w:szCs w:val="21"/>
                    </w:rPr>
                    <w:t>。</w:t>
                  </w:r>
                </w:p>
                <w:p>
                  <w:pPr>
                    <w:adjustRightInd w:val="0"/>
                    <w:snapToGrid w:val="0"/>
                    <w:jc w:val="left"/>
                    <w:textAlignment w:val="baseline"/>
                    <w:rPr>
                      <w:rFonts w:hint="default"/>
                      <w:sz w:val="21"/>
                      <w:szCs w:val="21"/>
                      <w:lang w:val="en-US" w:eastAsia="zh-CN"/>
                    </w:rPr>
                  </w:pPr>
                  <w:r>
                    <w:rPr>
                      <w:rFonts w:hint="default"/>
                      <w:sz w:val="21"/>
                      <w:szCs w:val="21"/>
                    </w:rPr>
                    <w:t>3、本项目</w:t>
                  </w:r>
                  <w:r>
                    <w:rPr>
                      <w:rFonts w:hint="eastAsia"/>
                      <w:sz w:val="21"/>
                      <w:szCs w:val="21"/>
                      <w:lang w:val="en-US" w:eastAsia="zh-CN"/>
                    </w:rPr>
                    <w:t>生产废水回用，生活污水定期清运不外排。</w:t>
                  </w:r>
                </w:p>
                <w:p>
                  <w:pPr>
                    <w:adjustRightInd w:val="0"/>
                    <w:snapToGrid w:val="0"/>
                    <w:jc w:val="left"/>
                    <w:textAlignment w:val="baseline"/>
                    <w:rPr>
                      <w:rFonts w:hint="default"/>
                      <w:sz w:val="21"/>
                      <w:szCs w:val="21"/>
                    </w:rPr>
                  </w:pPr>
                </w:p>
              </w:tc>
              <w:tc>
                <w:tcPr>
                  <w:tcW w:w="1086" w:type="dxa"/>
                  <w:gridSpan w:val="2"/>
                  <w:vMerge w:val="continue"/>
                  <w:vAlign w:val="center"/>
                </w:tcPr>
                <w:p>
                  <w:pPr>
                    <w:adjustRightInd w:val="0"/>
                    <w:snapToGrid w:val="0"/>
                    <w:jc w:val="center"/>
                    <w:textAlignment w:val="baseline"/>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8" w:type="dxa"/>
                  <w:vMerge w:val="continue"/>
                  <w:vAlign w:val="center"/>
                </w:tcPr>
                <w:p>
                  <w:pPr>
                    <w:widowControl/>
                    <w:jc w:val="left"/>
                    <w:rPr>
                      <w:rFonts w:hint="default"/>
                      <w:sz w:val="21"/>
                      <w:szCs w:val="21"/>
                    </w:rPr>
                  </w:pPr>
                </w:p>
              </w:tc>
              <w:tc>
                <w:tcPr>
                  <w:tcW w:w="928" w:type="dxa"/>
                  <w:vAlign w:val="center"/>
                </w:tcPr>
                <w:p>
                  <w:pPr>
                    <w:adjustRightInd w:val="0"/>
                    <w:snapToGrid w:val="0"/>
                    <w:jc w:val="center"/>
                    <w:textAlignment w:val="baseline"/>
                    <w:rPr>
                      <w:rFonts w:hint="default"/>
                      <w:sz w:val="21"/>
                      <w:szCs w:val="21"/>
                    </w:rPr>
                  </w:pPr>
                  <w:r>
                    <w:rPr>
                      <w:rFonts w:hint="eastAsia"/>
                      <w:sz w:val="21"/>
                      <w:szCs w:val="21"/>
                      <w:lang w:val="en-US" w:eastAsia="zh-CN"/>
                    </w:rPr>
                    <w:t>环境风险防控</w:t>
                  </w:r>
                </w:p>
              </w:tc>
              <w:tc>
                <w:tcPr>
                  <w:tcW w:w="2952" w:type="dxa"/>
                  <w:vAlign w:val="center"/>
                </w:tcPr>
                <w:p>
                  <w:pPr>
                    <w:adjustRightInd w:val="0"/>
                    <w:snapToGrid w:val="0"/>
                    <w:jc w:val="center"/>
                    <w:textAlignment w:val="baseline"/>
                    <w:rPr>
                      <w:rFonts w:hint="default"/>
                      <w:sz w:val="21"/>
                      <w:szCs w:val="21"/>
                    </w:rPr>
                  </w:pPr>
                  <w:r>
                    <w:rPr>
                      <w:rFonts w:hint="eastAsia"/>
                      <w:sz w:val="21"/>
                      <w:szCs w:val="21"/>
                      <w:lang w:val="en-US" w:eastAsia="zh-CN"/>
                    </w:rPr>
                    <w:t>高关注地块划分污染风险等级，纳入优先管控名录。</w:t>
                  </w:r>
                </w:p>
              </w:tc>
              <w:tc>
                <w:tcPr>
                  <w:tcW w:w="1843" w:type="dxa"/>
                  <w:vAlign w:val="center"/>
                </w:tcPr>
                <w:p>
                  <w:pPr>
                    <w:adjustRightInd w:val="0"/>
                    <w:snapToGrid w:val="0"/>
                    <w:jc w:val="center"/>
                    <w:textAlignment w:val="baseline"/>
                    <w:rPr>
                      <w:rFonts w:hint="default"/>
                      <w:sz w:val="21"/>
                      <w:szCs w:val="21"/>
                    </w:rPr>
                  </w:pPr>
                  <w:r>
                    <w:rPr>
                      <w:rFonts w:hint="default"/>
                      <w:sz w:val="21"/>
                      <w:szCs w:val="21"/>
                    </w:rPr>
                    <w:t>本项目选址为非高关注地块。</w:t>
                  </w:r>
                </w:p>
              </w:tc>
              <w:tc>
                <w:tcPr>
                  <w:tcW w:w="1086" w:type="dxa"/>
                  <w:gridSpan w:val="2"/>
                  <w:vAlign w:val="center"/>
                </w:tcPr>
                <w:p>
                  <w:pPr>
                    <w:adjustRightInd w:val="0"/>
                    <w:snapToGrid w:val="0"/>
                    <w:jc w:val="center"/>
                    <w:textAlignment w:val="baseline"/>
                    <w:rPr>
                      <w:rFonts w:hint="default"/>
                      <w:sz w:val="21"/>
                      <w:szCs w:val="21"/>
                    </w:rPr>
                  </w:pPr>
                  <w:r>
                    <w:rPr>
                      <w:rFonts w:hint="default"/>
                      <w:sz w:val="21"/>
                      <w:szCs w:val="21"/>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8" w:type="dxa"/>
                  <w:vMerge w:val="continue"/>
                  <w:vAlign w:val="center"/>
                </w:tcPr>
                <w:p>
                  <w:pPr>
                    <w:widowControl/>
                    <w:jc w:val="left"/>
                    <w:rPr>
                      <w:rFonts w:hint="default"/>
                      <w:sz w:val="21"/>
                      <w:szCs w:val="21"/>
                    </w:rPr>
                  </w:pPr>
                </w:p>
              </w:tc>
              <w:tc>
                <w:tcPr>
                  <w:tcW w:w="928" w:type="dxa"/>
                  <w:vAlign w:val="center"/>
                </w:tcPr>
                <w:p>
                  <w:pPr>
                    <w:adjustRightInd w:val="0"/>
                    <w:snapToGrid w:val="0"/>
                    <w:jc w:val="center"/>
                    <w:textAlignment w:val="baseline"/>
                    <w:rPr>
                      <w:rFonts w:hint="default"/>
                      <w:sz w:val="21"/>
                      <w:szCs w:val="21"/>
                    </w:rPr>
                  </w:pPr>
                  <w:r>
                    <w:rPr>
                      <w:rFonts w:hint="eastAsia"/>
                      <w:sz w:val="21"/>
                      <w:szCs w:val="21"/>
                      <w:lang w:val="en-US" w:eastAsia="zh-CN"/>
                    </w:rPr>
                    <w:t>资源利用效率要求</w:t>
                  </w:r>
                </w:p>
              </w:tc>
              <w:tc>
                <w:tcPr>
                  <w:tcW w:w="2952" w:type="dxa"/>
                  <w:vAlign w:val="center"/>
                </w:tcPr>
                <w:p>
                  <w:pPr>
                    <w:adjustRightInd w:val="0"/>
                    <w:snapToGrid w:val="0"/>
                    <w:jc w:val="center"/>
                    <w:textAlignment w:val="baseline"/>
                    <w:rPr>
                      <w:rFonts w:hint="default"/>
                      <w:sz w:val="21"/>
                      <w:szCs w:val="21"/>
                    </w:rPr>
                  </w:pPr>
                  <w:r>
                    <w:rPr>
                      <w:rFonts w:hint="eastAsia"/>
                      <w:sz w:val="21"/>
                      <w:szCs w:val="21"/>
                      <w:lang w:val="en-US" w:eastAsia="zh-CN"/>
                    </w:rPr>
                    <w:t>进一步优化能源结构，加快集中供热、供气及配套管网建设。不得新改扩建分散燃煤设施。</w:t>
                  </w:r>
                </w:p>
              </w:tc>
              <w:tc>
                <w:tcPr>
                  <w:tcW w:w="1843" w:type="dxa"/>
                  <w:vAlign w:val="center"/>
                </w:tcPr>
                <w:p>
                  <w:pPr>
                    <w:adjustRightInd w:val="0"/>
                    <w:snapToGrid w:val="0"/>
                    <w:jc w:val="center"/>
                    <w:textAlignment w:val="baseline"/>
                    <w:rPr>
                      <w:rFonts w:hint="default"/>
                      <w:sz w:val="21"/>
                      <w:szCs w:val="21"/>
                      <w:lang w:val="en-US" w:eastAsia="zh-CN"/>
                    </w:rPr>
                  </w:pPr>
                  <w:r>
                    <w:rPr>
                      <w:rFonts w:hint="eastAsia"/>
                      <w:sz w:val="21"/>
                      <w:szCs w:val="21"/>
                      <w:lang w:val="en-US" w:eastAsia="zh-CN"/>
                    </w:rPr>
                    <w:t>本项目不涉及供热、供气及配套管网建设。</w:t>
                  </w:r>
                </w:p>
              </w:tc>
              <w:tc>
                <w:tcPr>
                  <w:tcW w:w="1086" w:type="dxa"/>
                  <w:gridSpan w:val="2"/>
                  <w:vAlign w:val="center"/>
                </w:tcPr>
                <w:p>
                  <w:pPr>
                    <w:adjustRightInd w:val="0"/>
                    <w:snapToGrid w:val="0"/>
                    <w:jc w:val="center"/>
                    <w:textAlignment w:val="baseline"/>
                    <w:rPr>
                      <w:rFonts w:hint="default"/>
                      <w:sz w:val="21"/>
                      <w:szCs w:val="21"/>
                    </w:rPr>
                  </w:pPr>
                  <w:r>
                    <w:rPr>
                      <w:rFonts w:hint="default"/>
                      <w:sz w:val="21"/>
                      <w:szCs w:val="21"/>
                    </w:rPr>
                    <w:t>相符</w:t>
                  </w:r>
                </w:p>
              </w:tc>
            </w:tr>
          </w:tbl>
          <w:p>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pPr>
            <w:r>
              <w:rPr>
                <w:rFonts w:hint="default"/>
              </w:rPr>
              <w:t xml:space="preserve">  </w:t>
            </w:r>
            <w:r>
              <w:rPr>
                <w:rFonts w:hint="default"/>
                <w:sz w:val="24"/>
                <w:szCs w:val="24"/>
                <w:lang w:val="en-US" w:eastAsia="zh-CN"/>
              </w:rPr>
              <w:t xml:space="preserve">  </w:t>
            </w:r>
            <w:r>
              <w:rPr>
                <w:rFonts w:hint="eastAsia"/>
                <w:sz w:val="24"/>
                <w:szCs w:val="24"/>
                <w:lang w:val="en-US" w:eastAsia="zh-CN"/>
              </w:rPr>
              <w:t xml:space="preserve">综上，本项目符合河南省及新乡市生态环境准入清单的相关要求，符合“三线一单”的管理要求。 </w:t>
            </w:r>
          </w:p>
          <w:p>
            <w:pPr>
              <w:spacing w:line="440" w:lineRule="exact"/>
              <w:ind w:firstLine="480" w:firstLineChars="200"/>
              <w:jc w:val="left"/>
              <w:textAlignment w:val="baseline"/>
              <w:rPr>
                <w:rFonts w:hint="default"/>
                <w:lang w:val="en-US" w:eastAsia="zh-CN"/>
              </w:rPr>
            </w:pPr>
            <w:r>
              <w:rPr>
                <w:rFonts w:hint="eastAsia"/>
                <w:sz w:val="24"/>
                <w:szCs w:val="24"/>
                <w:lang w:val="en-US" w:eastAsia="zh-CN"/>
              </w:rPr>
              <w:t>4</w:t>
            </w:r>
            <w:r>
              <w:rPr>
                <w:rFonts w:hint="default"/>
                <w:sz w:val="24"/>
                <w:szCs w:val="24"/>
                <w:lang w:val="en-US" w:eastAsia="zh-CN"/>
              </w:rPr>
              <w:t>、与《新乡市2023年蓝天保卫战实施方案的通知》（新环攻坚办〔2023〕77号）（以下简称《蓝天保卫战实施方案》）相符性分析</w:t>
            </w:r>
          </w:p>
          <w:p>
            <w:pPr>
              <w:widowControl/>
              <w:spacing w:line="440" w:lineRule="exact"/>
              <w:ind w:firstLine="560" w:firstLineChars="200"/>
              <w:jc w:val="left"/>
              <w:rPr>
                <w:rFonts w:hint="default"/>
                <w:b/>
                <w:bCs/>
                <w:sz w:val="24"/>
                <w:szCs w:val="24"/>
              </w:rPr>
            </w:pPr>
            <w:r>
              <w:rPr>
                <w:rFonts w:hint="default"/>
                <w:lang w:val="en-US" w:eastAsia="zh-CN"/>
              </w:rPr>
              <w:t xml:space="preserve">  </w:t>
            </w:r>
            <w:r>
              <w:rPr>
                <w:rFonts w:hint="default"/>
                <w:b/>
                <w:bCs/>
                <w:sz w:val="24"/>
                <w:szCs w:val="24"/>
              </w:rPr>
              <w:t>表</w:t>
            </w:r>
            <w:r>
              <w:rPr>
                <w:rFonts w:hint="eastAsia"/>
                <w:b/>
                <w:bCs/>
                <w:sz w:val="24"/>
                <w:szCs w:val="24"/>
                <w:lang w:val="en-US" w:eastAsia="zh-CN"/>
              </w:rPr>
              <w:t>1-3</w:t>
            </w:r>
            <w:r>
              <w:rPr>
                <w:rFonts w:hint="default"/>
                <w:b/>
                <w:bCs/>
                <w:sz w:val="24"/>
                <w:szCs w:val="24"/>
              </w:rPr>
              <w:t xml:space="preserve">       与《蓝天保卫战实施方案》的相符性分析</w:t>
            </w:r>
          </w:p>
          <w:tbl>
            <w:tblPr>
              <w:tblStyle w:val="24"/>
              <w:tblpPr w:leftFromText="180" w:rightFromText="180" w:vertAnchor="text" w:tblpY="1"/>
              <w:tblOverlap w:val="never"/>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0"/>
              <w:gridCol w:w="4196"/>
              <w:gridCol w:w="2384"/>
              <w:gridCol w:w="6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3" w:type="dxa"/>
                  <w:gridSpan w:val="2"/>
                  <w:tcBorders>
                    <w:top w:val="single" w:color="auto" w:sz="8" w:space="0"/>
                    <w:bottom w:val="single" w:color="auto" w:sz="8" w:space="0"/>
                  </w:tcBorders>
                  <w:vAlign w:val="center"/>
                </w:tcPr>
                <w:p>
                  <w:pPr>
                    <w:jc w:val="center"/>
                    <w:rPr>
                      <w:rFonts w:hint="default"/>
                      <w:sz w:val="21"/>
                      <w:szCs w:val="21"/>
                    </w:rPr>
                  </w:pPr>
                  <w:r>
                    <w:rPr>
                      <w:rFonts w:hint="default"/>
                      <w:sz w:val="21"/>
                      <w:szCs w:val="21"/>
                    </w:rPr>
                    <w:t>《蓝天保卫战实施方案》中与本项目有关的内容</w:t>
                  </w:r>
                </w:p>
              </w:tc>
              <w:tc>
                <w:tcPr>
                  <w:tcW w:w="2229" w:type="dxa"/>
                  <w:vAlign w:val="center"/>
                </w:tcPr>
                <w:p>
                  <w:pPr>
                    <w:jc w:val="center"/>
                    <w:rPr>
                      <w:rFonts w:hint="default"/>
                      <w:sz w:val="21"/>
                      <w:szCs w:val="21"/>
                    </w:rPr>
                  </w:pPr>
                  <w:r>
                    <w:rPr>
                      <w:rFonts w:hint="default"/>
                      <w:sz w:val="21"/>
                      <w:szCs w:val="21"/>
                    </w:rPr>
                    <w:t>本项目情况</w:t>
                  </w:r>
                </w:p>
              </w:tc>
              <w:tc>
                <w:tcPr>
                  <w:tcW w:w="626" w:type="dxa"/>
                  <w:vAlign w:val="center"/>
                </w:tcPr>
                <w:p>
                  <w:pPr>
                    <w:jc w:val="center"/>
                    <w:rPr>
                      <w:rFonts w:hint="default"/>
                      <w:sz w:val="21"/>
                      <w:szCs w:val="21"/>
                    </w:rPr>
                  </w:pPr>
                  <w:r>
                    <w:rPr>
                      <w:rFonts w:hint="default"/>
                      <w:sz w:val="21"/>
                      <w:szCs w:val="21"/>
                    </w:rPr>
                    <w:t>是否符合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restart"/>
                  <w:tcBorders>
                    <w:top w:val="single" w:color="auto" w:sz="8" w:space="0"/>
                  </w:tcBorders>
                  <w:vAlign w:val="center"/>
                </w:tcPr>
                <w:p>
                  <w:pPr>
                    <w:tabs>
                      <w:tab w:val="left" w:pos="791"/>
                      <w:tab w:val="left" w:pos="792"/>
                    </w:tabs>
                    <w:rPr>
                      <w:rFonts w:hint="default"/>
                      <w:sz w:val="21"/>
                      <w:szCs w:val="21"/>
                    </w:rPr>
                  </w:pPr>
                  <w:r>
                    <w:rPr>
                      <w:rFonts w:hint="default"/>
                      <w:sz w:val="21"/>
                      <w:szCs w:val="21"/>
                    </w:rPr>
                    <w:t>（三）持续加强交通运输结构调整</w:t>
                  </w:r>
                </w:p>
              </w:tc>
              <w:tc>
                <w:tcPr>
                  <w:tcW w:w="3922" w:type="dxa"/>
                  <w:tcBorders>
                    <w:top w:val="single" w:color="auto" w:sz="8" w:space="0"/>
                  </w:tcBorders>
                  <w:vAlign w:val="center"/>
                </w:tcPr>
                <w:p>
                  <w:pPr>
                    <w:jc w:val="left"/>
                    <w:rPr>
                      <w:rFonts w:hint="default"/>
                      <w:sz w:val="21"/>
                      <w:szCs w:val="21"/>
                    </w:rPr>
                  </w:pPr>
                  <w:r>
                    <w:rPr>
                      <w:rFonts w:hint="default"/>
                      <w:sz w:val="21"/>
                      <w:szCs w:val="21"/>
                    </w:rPr>
                    <w:t>9.提升大宗货物清洁运输水平。加快推进涉煤炭、矿石等大宗货物年运输量150万吨以上的大型工矿企业、物流园区采用铁路或封闭式管廊运输。推进大宗货物“铁路干线+新能源重卡结驳”运输方式，不具备铁路运输条件的，使用新能源或国六排放标准的柴油货车到就近的铁路货场或具备铁路专用线条件的物流园区、物流集散地运输。鼓励具备铁路专用线的大型工矿企业作为物流集散地向周边输送。充分挖掘城市铁路场站和线路资源，鼓励各县（市）、区探索发展“外集内配”等生产生活物资公路联运模式。严格管控大型工矿企业、物流园区重型柴油货车长距离运输。</w:t>
                  </w:r>
                </w:p>
              </w:tc>
              <w:tc>
                <w:tcPr>
                  <w:tcW w:w="2229" w:type="dxa"/>
                  <w:vAlign w:val="center"/>
                </w:tcPr>
                <w:p>
                  <w:pPr>
                    <w:rPr>
                      <w:rFonts w:hint="default"/>
                      <w:sz w:val="21"/>
                      <w:szCs w:val="21"/>
                    </w:rPr>
                  </w:pPr>
                  <w:r>
                    <w:rPr>
                      <w:rFonts w:hint="default"/>
                      <w:sz w:val="21"/>
                      <w:szCs w:val="21"/>
                    </w:rPr>
                    <w:t>本项目不涉及</w:t>
                  </w:r>
                  <w:r>
                    <w:rPr>
                      <w:rFonts w:hint="eastAsia"/>
                      <w:sz w:val="21"/>
                      <w:szCs w:val="21"/>
                    </w:rPr>
                    <w:t>大宗货物年运输量150万吨以上的大型工矿企业、物流园区。</w:t>
                  </w:r>
                </w:p>
                <w:p>
                  <w:pPr>
                    <w:jc w:val="center"/>
                    <w:rPr>
                      <w:rFonts w:hint="default"/>
                      <w:sz w:val="21"/>
                      <w:szCs w:val="21"/>
                      <w:lang w:val="en-US" w:eastAsia="zh-CN"/>
                    </w:rPr>
                  </w:pPr>
                </w:p>
              </w:tc>
              <w:tc>
                <w:tcPr>
                  <w:tcW w:w="626" w:type="dxa"/>
                  <w:vAlign w:val="center"/>
                </w:tcPr>
                <w:p>
                  <w:pPr>
                    <w:jc w:val="center"/>
                    <w:rPr>
                      <w:rFonts w:hint="eastAsia" w:eastAsia="宋体"/>
                      <w:sz w:val="21"/>
                      <w:szCs w:val="21"/>
                      <w:lang w:eastAsia="zh-CN"/>
                    </w:rPr>
                  </w:pPr>
                  <w:r>
                    <w:rPr>
                      <w:rFonts w:hint="eastAsia"/>
                      <w:sz w:val="21"/>
                      <w:szCs w:val="21"/>
                      <w:lang w:val="en-US"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vAlign w:val="center"/>
                </w:tcPr>
                <w:p>
                  <w:pPr>
                    <w:tabs>
                      <w:tab w:val="left" w:pos="791"/>
                      <w:tab w:val="left" w:pos="792"/>
                    </w:tabs>
                    <w:rPr>
                      <w:rFonts w:hint="default"/>
                      <w:sz w:val="21"/>
                      <w:szCs w:val="21"/>
                    </w:rPr>
                  </w:pPr>
                </w:p>
              </w:tc>
              <w:tc>
                <w:tcPr>
                  <w:tcW w:w="3922" w:type="dxa"/>
                  <w:vAlign w:val="center"/>
                </w:tcPr>
                <w:p>
                  <w:pPr>
                    <w:tabs>
                      <w:tab w:val="left" w:pos="791"/>
                      <w:tab w:val="left" w:pos="792"/>
                    </w:tabs>
                    <w:rPr>
                      <w:rFonts w:hint="default"/>
                      <w:sz w:val="21"/>
                      <w:szCs w:val="21"/>
                    </w:rPr>
                  </w:pPr>
                  <w:r>
                    <w:rPr>
                      <w:rFonts w:hint="default"/>
                      <w:sz w:val="21"/>
                      <w:szCs w:val="21"/>
                    </w:rPr>
                    <w:t>12.推进非道路机械移动机械清洁发展。严格实施非道路移动柴油机械第四阶段排放标准。鼓励各县（市）、区依据排放标准制定老旧非道路移动机械更新淘汰计划，推动淘汰国一及以下排放标准的工程机械（含按非道路排放标准生产的非道路用车），具备条件的可更换国四排放标准的发动机。因地制宜加快推进铁路货场、物流园区，以及火电、煤炭、建材、矿山等工矿企业新增或更新的作业车辆和机械新能源化；鼓励新增或更新的3吨以下叉车基本实现新能源化。组织开展国有大宗物料运输企业车辆和机械结构调整专项行动，积极推进国有企业内部运输车辆全部使用国六或新能源车辆，鼓励积极更换第四阶段排放标准或新能源非道路移动机械 。</w:t>
                  </w:r>
                </w:p>
              </w:tc>
              <w:tc>
                <w:tcPr>
                  <w:tcW w:w="2229" w:type="dxa"/>
                  <w:vAlign w:val="center"/>
                </w:tcPr>
                <w:p>
                  <w:pPr>
                    <w:rPr>
                      <w:rFonts w:hint="default"/>
                      <w:sz w:val="21"/>
                      <w:szCs w:val="21"/>
                    </w:rPr>
                  </w:pPr>
                  <w:r>
                    <w:rPr>
                      <w:rFonts w:hint="default"/>
                      <w:sz w:val="21"/>
                      <w:szCs w:val="21"/>
                    </w:rPr>
                    <w:t>本项目严格实施非道路移动柴油机械第四阶段排放标准；不使用国一及以下排放标准的工程机械。</w:t>
                  </w:r>
                </w:p>
              </w:tc>
              <w:tc>
                <w:tcPr>
                  <w:tcW w:w="626" w:type="dxa"/>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vAlign w:val="center"/>
                </w:tcPr>
                <w:p>
                  <w:pPr>
                    <w:tabs>
                      <w:tab w:val="left" w:pos="791"/>
                      <w:tab w:val="left" w:pos="792"/>
                    </w:tabs>
                    <w:rPr>
                      <w:rFonts w:hint="default"/>
                      <w:sz w:val="21"/>
                      <w:szCs w:val="21"/>
                    </w:rPr>
                  </w:pPr>
                </w:p>
              </w:tc>
              <w:tc>
                <w:tcPr>
                  <w:tcW w:w="3922" w:type="dxa"/>
                  <w:vAlign w:val="center"/>
                </w:tcPr>
                <w:p>
                  <w:pPr>
                    <w:tabs>
                      <w:tab w:val="left" w:pos="791"/>
                      <w:tab w:val="left" w:pos="792"/>
                    </w:tabs>
                    <w:rPr>
                      <w:rFonts w:hint="default"/>
                      <w:sz w:val="21"/>
                      <w:szCs w:val="21"/>
                    </w:rPr>
                  </w:pPr>
                  <w:r>
                    <w:rPr>
                      <w:rFonts w:hint="default"/>
                      <w:sz w:val="21"/>
                      <w:szCs w:val="21"/>
                    </w:rPr>
                    <w:t>13.强化非道路移动机械排放监管。持续推进非道路移动机械信息采集，开展城区工程机械环保编码登记三级联网。开展对本地非道路移动机械和发动机生产企业的排放检查，基本实现全系族全覆盖。制定工程机械年度抽查抽测计划，重点核验信息公开、污染控制装置、编码登记、在线监控联网等，对部分燃油机械进行排放测试，年度抽查抽测不利不低于20％，基本消除冒黑烟现象。进口非道路移动机械和发动机应达到我国现行新生产设备排放标准。强化高排放非道路移动机械禁用区管控，不符合排放标准的机械禁止在禁用区内使用。</w:t>
                  </w:r>
                </w:p>
              </w:tc>
              <w:tc>
                <w:tcPr>
                  <w:tcW w:w="2229" w:type="dxa"/>
                  <w:vAlign w:val="center"/>
                </w:tcPr>
                <w:p>
                  <w:pPr>
                    <w:pStyle w:val="10"/>
                  </w:pPr>
                  <w:r>
                    <w:rPr>
                      <w:rFonts w:hint="default"/>
                      <w:sz w:val="21"/>
                      <w:szCs w:val="21"/>
                    </w:rPr>
                    <w:t>本项目按管理要求进行</w:t>
                  </w:r>
                  <w:r>
                    <w:rPr>
                      <w:rFonts w:hint="eastAsia"/>
                      <w:sz w:val="21"/>
                      <w:szCs w:val="21"/>
                    </w:rPr>
                    <w:t>非道路移动机械的使用与管理。</w:t>
                  </w:r>
                </w:p>
                <w:p>
                  <w:pPr>
                    <w:rPr>
                      <w:rFonts w:hint="default"/>
                      <w:sz w:val="21"/>
                      <w:szCs w:val="21"/>
                    </w:rPr>
                  </w:pPr>
                </w:p>
              </w:tc>
              <w:tc>
                <w:tcPr>
                  <w:tcW w:w="626" w:type="dxa"/>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tabs>
                      <w:tab w:val="left" w:pos="791"/>
                      <w:tab w:val="left" w:pos="792"/>
                    </w:tabs>
                    <w:jc w:val="center"/>
                    <w:rPr>
                      <w:rFonts w:hint="default"/>
                      <w:sz w:val="21"/>
                      <w:szCs w:val="21"/>
                    </w:rPr>
                  </w:pPr>
                  <w:r>
                    <w:rPr>
                      <w:rFonts w:hint="default"/>
                      <w:sz w:val="21"/>
                      <w:szCs w:val="21"/>
                      <w:lang w:val="en-US" w:eastAsia="zh-CN"/>
                    </w:rPr>
                    <w:t>（四）强化面源污染治理</w:t>
                  </w:r>
                </w:p>
              </w:tc>
              <w:tc>
                <w:tcPr>
                  <w:tcW w:w="3922" w:type="dxa"/>
                  <w:vAlign w:val="center"/>
                </w:tcPr>
                <w:p>
                  <w:pPr>
                    <w:tabs>
                      <w:tab w:val="left" w:pos="791"/>
                      <w:tab w:val="left" w:pos="792"/>
                    </w:tabs>
                    <w:jc w:val="left"/>
                    <w:rPr>
                      <w:rFonts w:hint="default"/>
                      <w:sz w:val="21"/>
                      <w:szCs w:val="21"/>
                    </w:rPr>
                  </w:pPr>
                  <w:r>
                    <w:rPr>
                      <w:rFonts w:hint="default"/>
                      <w:sz w:val="21"/>
                      <w:szCs w:val="21"/>
                    </w:rPr>
                    <w:t>14.加强扬尘防治精细化管理。开展扬尘治理提升行动，严格落实扬尘治理“两个标准”要求，做好建筑工地、线性工程、城乡结合部等关键部位和重点环节综合治理，加大扬尘污染防治执法监管力度，各县（市、区）平均降尘量不得高于7吨／月·平方公里。持续开展城市清洁行动，强化道路扬尘综合整治，重点提升国省道、县乡道路、城乡结合部和背街小巷等各类道路清扫保洁效果，加大重载车抛洒现象查处力度，2023年底前实现市、县建成区道路清扫覆盖率达到90%以上，道路机械化清扫率达到80%以上，道路清扫保洁能力显著增强。加强餐饮油烟日常监督，强化市、县监控平台联网运行，实现对大型餐饮服务单位油烟排放情况实时监控；餐饮油烟净化设施月抽查率不低于20%。</w:t>
                  </w:r>
                </w:p>
              </w:tc>
              <w:tc>
                <w:tcPr>
                  <w:tcW w:w="2229" w:type="dxa"/>
                  <w:vAlign w:val="center"/>
                </w:tcPr>
                <w:p>
                  <w:pPr>
                    <w:pStyle w:val="10"/>
                    <w:rPr>
                      <w:rFonts w:hint="default"/>
                      <w:sz w:val="21"/>
                      <w:szCs w:val="21"/>
                    </w:rPr>
                  </w:pPr>
                  <w:r>
                    <w:rPr>
                      <w:rFonts w:hint="eastAsia"/>
                      <w:sz w:val="21"/>
                      <w:szCs w:val="21"/>
                      <w:lang w:val="en-US" w:eastAsia="zh-CN"/>
                    </w:rPr>
                    <w:t>本项目厂区道路均进行了硬化，不存在裸露地面，配备有湿扫机，定时洒水和清扫。</w:t>
                  </w:r>
                </w:p>
              </w:tc>
              <w:tc>
                <w:tcPr>
                  <w:tcW w:w="626" w:type="dxa"/>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restart"/>
                  <w:vAlign w:val="center"/>
                </w:tcPr>
                <w:p>
                  <w:pPr>
                    <w:tabs>
                      <w:tab w:val="left" w:pos="791"/>
                      <w:tab w:val="left" w:pos="792"/>
                    </w:tabs>
                    <w:jc w:val="center"/>
                    <w:rPr>
                      <w:rFonts w:hint="default"/>
                      <w:sz w:val="21"/>
                      <w:szCs w:val="21"/>
                    </w:rPr>
                  </w:pPr>
                  <w:r>
                    <w:rPr>
                      <w:rFonts w:hint="default"/>
                      <w:sz w:val="21"/>
                      <w:szCs w:val="21"/>
                      <w:lang w:val="en-US" w:eastAsia="zh-CN"/>
                    </w:rPr>
                    <w:t>（五）推进工业企业综合治理</w:t>
                  </w:r>
                </w:p>
              </w:tc>
              <w:tc>
                <w:tcPr>
                  <w:tcW w:w="3922" w:type="dxa"/>
                  <w:vAlign w:val="center"/>
                </w:tcPr>
                <w:p>
                  <w:pPr>
                    <w:tabs>
                      <w:tab w:val="left" w:pos="791"/>
                      <w:tab w:val="left" w:pos="792"/>
                    </w:tabs>
                    <w:jc w:val="left"/>
                    <w:rPr>
                      <w:rFonts w:hint="default"/>
                      <w:sz w:val="21"/>
                      <w:szCs w:val="21"/>
                    </w:rPr>
                  </w:pPr>
                  <w:r>
                    <w:rPr>
                      <w:rFonts w:hint="default"/>
                      <w:sz w:val="21"/>
                      <w:szCs w:val="21"/>
                    </w:rPr>
                    <w:t>18.实施工业污染排放深度治理。以水泥、氧化铝、砖瓦窑、玻璃、陶瓷、炭素、耐火材料、石灰窑等行业工业炉窑为重点，全面提升污染物治理设施、无组织排放管控和在线监控设施运行管理水平，加强物料运输、装卸储存及生产过程中的无组织排放控制，推进实施清洁生产改造，确保污染物稳定达标排放。2023年5月底前，全面排查除尘脱硫一体化、简易碱法脱硫、简易氨法脱硫脱硝、湿法脱硫、氧化法脱硝等低效治理设施以及低温等离子、光氧化等VOCs简易低效治理设施；取缔直接向烟道内喷洒脱硫脱销剂等敷衍式治理工艺。10月底前，对无法稳定达标排放的通过更换适宜高效治理工艺、提升现有治污设施处理能力、清洁能源替代等方式完成分类整治，对人工投加脱硫脱硝剂的简易设施实施自动化改造。</w:t>
                  </w:r>
                </w:p>
              </w:tc>
              <w:tc>
                <w:tcPr>
                  <w:tcW w:w="2229" w:type="dxa"/>
                  <w:vAlign w:val="center"/>
                </w:tcPr>
                <w:p>
                  <w:pPr>
                    <w:rPr>
                      <w:rFonts w:hint="default"/>
                      <w:sz w:val="21"/>
                      <w:szCs w:val="21"/>
                    </w:rPr>
                  </w:pPr>
                  <w:r>
                    <w:rPr>
                      <w:rFonts w:hint="default"/>
                      <w:sz w:val="21"/>
                      <w:szCs w:val="21"/>
                    </w:rPr>
                    <w:t>本项目全面落实无组织废气管控措施，确保无组织颗粒物达标排放。</w:t>
                  </w:r>
                </w:p>
              </w:tc>
              <w:tc>
                <w:tcPr>
                  <w:tcW w:w="626" w:type="dxa"/>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vAlign w:val="center"/>
                </w:tcPr>
                <w:p>
                  <w:pPr>
                    <w:tabs>
                      <w:tab w:val="left" w:pos="791"/>
                      <w:tab w:val="left" w:pos="792"/>
                    </w:tabs>
                    <w:rPr>
                      <w:rFonts w:hint="default"/>
                      <w:sz w:val="21"/>
                      <w:szCs w:val="21"/>
                    </w:rPr>
                  </w:pPr>
                </w:p>
              </w:tc>
              <w:tc>
                <w:tcPr>
                  <w:tcW w:w="3922" w:type="dxa"/>
                  <w:vAlign w:val="center"/>
                </w:tcPr>
                <w:p>
                  <w:pPr>
                    <w:tabs>
                      <w:tab w:val="left" w:pos="791"/>
                      <w:tab w:val="left" w:pos="792"/>
                    </w:tabs>
                    <w:jc w:val="left"/>
                    <w:rPr>
                      <w:rFonts w:hint="default"/>
                      <w:sz w:val="21"/>
                      <w:szCs w:val="21"/>
                    </w:rPr>
                  </w:pPr>
                  <w:r>
                    <w:rPr>
                      <w:rFonts w:hint="default"/>
                      <w:sz w:val="21"/>
                      <w:szCs w:val="21"/>
                    </w:rPr>
                    <w:t>19.推进重点行业超低排放改造。巩固水泥行业超低排放治理成果，确保全市水泥企业大气污染物有组织排放、无组织排放稳定达到超低排放要求。强化帮扶指导，协调解决企业改造过程中的困难和问题，提升企业改造积极性和运行管理水平。</w:t>
                  </w:r>
                </w:p>
              </w:tc>
              <w:tc>
                <w:tcPr>
                  <w:tcW w:w="2229" w:type="dxa"/>
                  <w:vAlign w:val="center"/>
                </w:tcPr>
                <w:p>
                  <w:pPr>
                    <w:rPr>
                      <w:rFonts w:hint="default"/>
                      <w:sz w:val="21"/>
                      <w:szCs w:val="21"/>
                    </w:rPr>
                  </w:pPr>
                  <w:r>
                    <w:rPr>
                      <w:rFonts w:hint="default"/>
                      <w:sz w:val="21"/>
                      <w:szCs w:val="21"/>
                    </w:rPr>
                    <w:t>本项目严格执行水泥行业超低排放标准，确保污染物稳定达标排放。</w:t>
                  </w:r>
                </w:p>
              </w:tc>
              <w:tc>
                <w:tcPr>
                  <w:tcW w:w="626" w:type="dxa"/>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vAlign w:val="center"/>
                </w:tcPr>
                <w:p>
                  <w:pPr>
                    <w:tabs>
                      <w:tab w:val="left" w:pos="791"/>
                      <w:tab w:val="left" w:pos="792"/>
                    </w:tabs>
                    <w:rPr>
                      <w:rFonts w:hint="default"/>
                      <w:sz w:val="21"/>
                      <w:szCs w:val="21"/>
                    </w:rPr>
                  </w:pPr>
                </w:p>
              </w:tc>
              <w:tc>
                <w:tcPr>
                  <w:tcW w:w="3922" w:type="dxa"/>
                  <w:vAlign w:val="center"/>
                </w:tcPr>
                <w:p>
                  <w:pPr>
                    <w:tabs>
                      <w:tab w:val="left" w:pos="791"/>
                      <w:tab w:val="left" w:pos="792"/>
                    </w:tabs>
                    <w:jc w:val="left"/>
                    <w:rPr>
                      <w:rFonts w:hint="default"/>
                      <w:sz w:val="21"/>
                      <w:szCs w:val="21"/>
                    </w:rPr>
                  </w:pPr>
                  <w:r>
                    <w:rPr>
                      <w:rFonts w:hint="default"/>
                      <w:sz w:val="21"/>
                      <w:szCs w:val="21"/>
                    </w:rPr>
                    <w:t>22.建立重点行业工业企业全口径清单。2023年10月底前，全面排查重点行业企业原辅料及能源利用、生产工艺及装备、污染治理技术、污染物排放、无组织排放治理、在线监控及清洁运输等现状情况，编制完善电力、水泥、陶瓷、耐火材料、砖瓦窑等重点行业企业全口径清单，为大气污染防治提供精准科学依据，提升工业企业精细化管理水平。</w:t>
                  </w:r>
                </w:p>
              </w:tc>
              <w:tc>
                <w:tcPr>
                  <w:tcW w:w="2229" w:type="dxa"/>
                  <w:vAlign w:val="center"/>
                </w:tcPr>
                <w:p>
                  <w:pPr>
                    <w:rPr>
                      <w:rFonts w:hint="default"/>
                      <w:sz w:val="21"/>
                      <w:szCs w:val="21"/>
                    </w:rPr>
                  </w:pPr>
                  <w:r>
                    <w:rPr>
                      <w:rFonts w:hint="default"/>
                      <w:sz w:val="21"/>
                      <w:szCs w:val="21"/>
                    </w:rPr>
                    <w:t>本项目按要求建立重点行业工业企业全口径清单。</w:t>
                  </w:r>
                </w:p>
              </w:tc>
              <w:tc>
                <w:tcPr>
                  <w:tcW w:w="626" w:type="dxa"/>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restart"/>
                  <w:vAlign w:val="center"/>
                </w:tcPr>
                <w:p>
                  <w:pPr>
                    <w:tabs>
                      <w:tab w:val="left" w:pos="791"/>
                      <w:tab w:val="left" w:pos="792"/>
                    </w:tabs>
                    <w:jc w:val="center"/>
                    <w:rPr>
                      <w:rFonts w:hint="default"/>
                      <w:sz w:val="21"/>
                      <w:szCs w:val="21"/>
                    </w:rPr>
                  </w:pPr>
                  <w:r>
                    <w:rPr>
                      <w:rFonts w:hint="default"/>
                      <w:sz w:val="21"/>
                      <w:szCs w:val="21"/>
                    </w:rPr>
                    <w:t>（七）强化区域联防联控</w:t>
                  </w:r>
                </w:p>
              </w:tc>
              <w:tc>
                <w:tcPr>
                  <w:tcW w:w="3922" w:type="dxa"/>
                  <w:vAlign w:val="center"/>
                </w:tcPr>
                <w:p>
                  <w:pPr>
                    <w:tabs>
                      <w:tab w:val="left" w:pos="791"/>
                      <w:tab w:val="left" w:pos="792"/>
                    </w:tabs>
                    <w:jc w:val="left"/>
                    <w:rPr>
                      <w:rFonts w:hint="default"/>
                      <w:sz w:val="21"/>
                      <w:szCs w:val="21"/>
                    </w:rPr>
                  </w:pPr>
                  <w:r>
                    <w:rPr>
                      <w:rFonts w:hint="default"/>
                      <w:sz w:val="21"/>
                      <w:szCs w:val="21"/>
                    </w:rPr>
                    <w:t>29.优化重点行业绩效分级管理。强化重污染天气应急分类分级管控，持续推进重点行业企业绩效分级，加强应急减排清单标准化管理，鼓励企业加快实施升级改造，建立完善“有进有出”动态调整机制，对存在环境违法违规行为、环境绩效水平达不到相应指标要求的企业实施降级处理。</w:t>
                  </w:r>
                </w:p>
              </w:tc>
              <w:tc>
                <w:tcPr>
                  <w:tcW w:w="2229" w:type="dxa"/>
                  <w:vAlign w:val="center"/>
                </w:tcPr>
                <w:p>
                  <w:pPr>
                    <w:rPr>
                      <w:rFonts w:hint="default"/>
                      <w:sz w:val="21"/>
                      <w:szCs w:val="21"/>
                    </w:rPr>
                  </w:pPr>
                  <w:r>
                    <w:rPr>
                      <w:rFonts w:hint="default"/>
                      <w:sz w:val="21"/>
                      <w:szCs w:val="21"/>
                    </w:rPr>
                    <w:t>本项目严格落实绩效分级管理要求并按要求落实重污染天气分级管控。</w:t>
                  </w:r>
                </w:p>
              </w:tc>
              <w:tc>
                <w:tcPr>
                  <w:tcW w:w="626" w:type="dxa"/>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tcBorders>
                    <w:bottom w:val="single" w:color="auto" w:sz="4" w:space="0"/>
                  </w:tcBorders>
                  <w:vAlign w:val="center"/>
                </w:tcPr>
                <w:p>
                  <w:pPr>
                    <w:tabs>
                      <w:tab w:val="left" w:pos="791"/>
                      <w:tab w:val="left" w:pos="792"/>
                    </w:tabs>
                    <w:jc w:val="center"/>
                    <w:rPr>
                      <w:rFonts w:hint="default"/>
                      <w:sz w:val="21"/>
                      <w:szCs w:val="21"/>
                    </w:rPr>
                  </w:pPr>
                </w:p>
              </w:tc>
              <w:tc>
                <w:tcPr>
                  <w:tcW w:w="3922" w:type="dxa"/>
                  <w:tcBorders>
                    <w:bottom w:val="single" w:color="auto" w:sz="4" w:space="0"/>
                  </w:tcBorders>
                  <w:vAlign w:val="center"/>
                </w:tcPr>
                <w:p>
                  <w:pPr>
                    <w:tabs>
                      <w:tab w:val="left" w:pos="791"/>
                      <w:tab w:val="left" w:pos="792"/>
                    </w:tabs>
                    <w:jc w:val="left"/>
                    <w:rPr>
                      <w:rFonts w:hint="default"/>
                      <w:sz w:val="21"/>
                      <w:szCs w:val="21"/>
                    </w:rPr>
                  </w:pPr>
                  <w:r>
                    <w:rPr>
                      <w:rFonts w:hint="default"/>
                      <w:sz w:val="21"/>
                      <w:szCs w:val="21"/>
                    </w:rPr>
                    <w:t>30.实施重点行业错峰生产。2023年11月15日至2024年3月15日期间，继续实施水泥熟料、砖瓦等行业错峰生产，化解产能严重过剩矛盾，促进实现减污降碳绿色发展，减少不利气象条件下污染排放。结合我市工业企业布局、生产特点和对环境空气质量影响，对重点涉气行业制定差别化的错峰生产调控措施。</w:t>
                  </w:r>
                </w:p>
              </w:tc>
              <w:tc>
                <w:tcPr>
                  <w:tcW w:w="2229" w:type="dxa"/>
                  <w:tcBorders>
                    <w:bottom w:val="single" w:color="auto" w:sz="4" w:space="0"/>
                  </w:tcBorders>
                  <w:vAlign w:val="center"/>
                </w:tcPr>
                <w:p>
                  <w:pPr>
                    <w:rPr>
                      <w:rFonts w:hint="default"/>
                      <w:sz w:val="21"/>
                      <w:szCs w:val="21"/>
                    </w:rPr>
                  </w:pPr>
                  <w:r>
                    <w:rPr>
                      <w:rFonts w:hint="default"/>
                      <w:sz w:val="21"/>
                      <w:szCs w:val="21"/>
                    </w:rPr>
                    <w:t>本项目严格按要求落实重点行业错峰生产。</w:t>
                  </w:r>
                </w:p>
              </w:tc>
              <w:tc>
                <w:tcPr>
                  <w:tcW w:w="626" w:type="dxa"/>
                  <w:tcBorders>
                    <w:bottom w:val="single" w:color="auto" w:sz="4" w:space="0"/>
                  </w:tcBorders>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tcBorders>
                    <w:bottom w:val="single" w:color="auto" w:sz="8" w:space="0"/>
                  </w:tcBorders>
                  <w:vAlign w:val="center"/>
                </w:tcPr>
                <w:p>
                  <w:pPr>
                    <w:tabs>
                      <w:tab w:val="left" w:pos="791"/>
                      <w:tab w:val="left" w:pos="792"/>
                    </w:tabs>
                    <w:jc w:val="center"/>
                    <w:rPr>
                      <w:rFonts w:hint="default"/>
                      <w:sz w:val="21"/>
                      <w:szCs w:val="21"/>
                    </w:rPr>
                  </w:pPr>
                  <w:r>
                    <w:rPr>
                      <w:rFonts w:hint="default"/>
                      <w:sz w:val="21"/>
                      <w:szCs w:val="21"/>
                    </w:rPr>
                    <w:t>（八）强化大气环境治理能力建设</w:t>
                  </w:r>
                </w:p>
              </w:tc>
              <w:tc>
                <w:tcPr>
                  <w:tcW w:w="3922" w:type="dxa"/>
                  <w:tcBorders>
                    <w:bottom w:val="single" w:color="auto" w:sz="8" w:space="0"/>
                  </w:tcBorders>
                  <w:vAlign w:val="center"/>
                </w:tcPr>
                <w:p>
                  <w:pPr>
                    <w:tabs>
                      <w:tab w:val="left" w:pos="791"/>
                      <w:tab w:val="left" w:pos="792"/>
                    </w:tabs>
                    <w:rPr>
                      <w:rFonts w:hint="default"/>
                      <w:sz w:val="21"/>
                      <w:szCs w:val="21"/>
                    </w:rPr>
                  </w:pPr>
                  <w:r>
                    <w:rPr>
                      <w:rFonts w:hint="default"/>
                      <w:sz w:val="21"/>
                      <w:szCs w:val="21"/>
                    </w:rPr>
                    <w:t xml:space="preserve">34.严厉打击监测监控数据造假。开展专项执法检查行动，依法严厉查处自动监测监控设备不正常运行、监测监控数据弄虚作假行为。加大数据造假联合惩戒力度，涉嫌刑事犯罪的，依法移交相关部门查处；对相关监测、运维及技术服务机构，按照相关规定调低环境信用级别，并将相关信息推送信用中国（河南）网站等平台；对参与造假的相关技术人员，在市级专家库的予以移除，同时报省生态环境厅，并将相关信息推送技术职称评定部门，促进形成守信激励、失信惩戒、行业自律的长效机制。 </w:t>
                  </w:r>
                </w:p>
              </w:tc>
              <w:tc>
                <w:tcPr>
                  <w:tcW w:w="2229" w:type="dxa"/>
                  <w:tcBorders>
                    <w:bottom w:val="single" w:color="auto" w:sz="8" w:space="0"/>
                  </w:tcBorders>
                  <w:vAlign w:val="center"/>
                </w:tcPr>
                <w:p>
                  <w:pPr>
                    <w:rPr>
                      <w:rFonts w:hint="default"/>
                      <w:sz w:val="21"/>
                      <w:szCs w:val="21"/>
                    </w:rPr>
                  </w:pPr>
                  <w:r>
                    <w:rPr>
                      <w:rFonts w:hint="default"/>
                      <w:sz w:val="21"/>
                      <w:szCs w:val="21"/>
                    </w:rPr>
                    <w:t>本项目严禁监控数据造假，保证监控数据的真实性。</w:t>
                  </w:r>
                </w:p>
              </w:tc>
              <w:tc>
                <w:tcPr>
                  <w:tcW w:w="626" w:type="dxa"/>
                  <w:tcBorders>
                    <w:bottom w:val="single" w:color="auto" w:sz="8" w:space="0"/>
                  </w:tcBorders>
                  <w:vAlign w:val="center"/>
                </w:tcPr>
                <w:p>
                  <w:pPr>
                    <w:jc w:val="center"/>
                    <w:rPr>
                      <w:rFonts w:hint="default"/>
                      <w:sz w:val="21"/>
                      <w:szCs w:val="21"/>
                    </w:rPr>
                  </w:pPr>
                  <w:r>
                    <w:rPr>
                      <w:rFonts w:hint="default"/>
                      <w:sz w:val="21"/>
                      <w:szCs w:val="21"/>
                    </w:rPr>
                    <w:t>符合</w:t>
                  </w:r>
                </w:p>
              </w:tc>
            </w:tr>
          </w:tbl>
          <w:p>
            <w:pPr>
              <w:spacing w:line="440" w:lineRule="exact"/>
              <w:ind w:firstLine="480" w:firstLineChars="200"/>
              <w:rPr>
                <w:rFonts w:hint="default"/>
                <w:sz w:val="24"/>
                <w:szCs w:val="24"/>
              </w:rPr>
            </w:pPr>
            <w:r>
              <w:rPr>
                <w:rFonts w:hint="default"/>
                <w:sz w:val="24"/>
                <w:szCs w:val="24"/>
              </w:rPr>
              <w:t>由上表可知，本项目符合《蓝天保卫战实施方案》中相关要求。</w:t>
            </w:r>
          </w:p>
          <w:p>
            <w:pPr>
              <w:spacing w:line="440" w:lineRule="exact"/>
              <w:ind w:firstLine="480" w:firstLineChars="200"/>
              <w:jc w:val="left"/>
              <w:textAlignment w:val="baseline"/>
              <w:rPr>
                <w:rFonts w:hint="default"/>
                <w:sz w:val="24"/>
                <w:szCs w:val="24"/>
                <w:lang w:val="en-US" w:eastAsia="zh-CN"/>
              </w:rPr>
            </w:pPr>
            <w:r>
              <w:rPr>
                <w:rFonts w:hint="eastAsia"/>
                <w:sz w:val="24"/>
                <w:szCs w:val="24"/>
                <w:lang w:val="en-US" w:eastAsia="zh-CN"/>
              </w:rPr>
              <w:t>5</w:t>
            </w:r>
            <w:r>
              <w:rPr>
                <w:rFonts w:hint="default"/>
                <w:sz w:val="24"/>
                <w:szCs w:val="24"/>
                <w:lang w:val="en-US" w:eastAsia="zh-CN"/>
              </w:rPr>
              <w:t>、与《新乡市2023年碧水保卫战实施方案的通知》（新环攻坚办〔2023〕66号）（以下简称《碧水保卫战实施方案》）相符性分析</w:t>
            </w:r>
          </w:p>
          <w:p>
            <w:pPr>
              <w:widowControl/>
              <w:spacing w:line="440" w:lineRule="exact"/>
              <w:ind w:firstLine="482" w:firstLineChars="200"/>
              <w:jc w:val="left"/>
              <w:rPr>
                <w:rFonts w:hint="default"/>
                <w:b/>
                <w:bCs/>
                <w:sz w:val="24"/>
                <w:szCs w:val="24"/>
              </w:rPr>
            </w:pPr>
            <w:r>
              <w:rPr>
                <w:rFonts w:hint="default"/>
                <w:b/>
                <w:bCs/>
                <w:sz w:val="24"/>
                <w:szCs w:val="24"/>
              </w:rPr>
              <w:t>表</w:t>
            </w:r>
            <w:r>
              <w:rPr>
                <w:rFonts w:hint="eastAsia"/>
                <w:b/>
                <w:bCs/>
                <w:sz w:val="24"/>
                <w:szCs w:val="24"/>
                <w:lang w:val="en-US" w:eastAsia="zh-CN"/>
              </w:rPr>
              <w:t>1-</w:t>
            </w:r>
            <w:r>
              <w:rPr>
                <w:rFonts w:hint="default"/>
                <w:b/>
                <w:bCs/>
                <w:sz w:val="24"/>
                <w:szCs w:val="24"/>
              </w:rPr>
              <w:t xml:space="preserve">4     </w:t>
            </w:r>
            <w:r>
              <w:rPr>
                <w:rFonts w:hint="eastAsia"/>
                <w:b/>
                <w:bCs/>
                <w:sz w:val="24"/>
                <w:szCs w:val="24"/>
                <w:lang w:val="en-US" w:eastAsia="zh-CN"/>
              </w:rPr>
              <w:t>项目</w:t>
            </w:r>
            <w:r>
              <w:rPr>
                <w:rFonts w:hint="default"/>
                <w:b/>
                <w:bCs/>
                <w:sz w:val="24"/>
                <w:szCs w:val="24"/>
              </w:rPr>
              <w:t>与《碧水保卫战实施方案》的相符性分析</w:t>
            </w:r>
          </w:p>
          <w:tbl>
            <w:tblPr>
              <w:tblStyle w:val="24"/>
              <w:tblpPr w:leftFromText="180" w:rightFromText="180" w:vertAnchor="text" w:tblpY="1"/>
              <w:tblOverlap w:val="never"/>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4164"/>
              <w:gridCol w:w="2384"/>
              <w:gridCol w:w="6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3" w:type="dxa"/>
                  <w:gridSpan w:val="2"/>
                  <w:tcBorders>
                    <w:top w:val="single" w:color="auto" w:sz="8" w:space="0"/>
                    <w:bottom w:val="single" w:color="auto" w:sz="8" w:space="0"/>
                  </w:tcBorders>
                  <w:vAlign w:val="center"/>
                </w:tcPr>
                <w:p>
                  <w:pPr>
                    <w:jc w:val="center"/>
                    <w:rPr>
                      <w:rFonts w:hint="default"/>
                      <w:sz w:val="21"/>
                      <w:szCs w:val="21"/>
                    </w:rPr>
                  </w:pPr>
                  <w:r>
                    <w:rPr>
                      <w:rFonts w:hint="default"/>
                      <w:sz w:val="21"/>
                      <w:szCs w:val="21"/>
                    </w:rPr>
                    <w:t>《碧水保卫战实施方案》中与本项目有关的内容</w:t>
                  </w:r>
                </w:p>
              </w:tc>
              <w:tc>
                <w:tcPr>
                  <w:tcW w:w="2229" w:type="dxa"/>
                  <w:tcBorders>
                    <w:top w:val="single" w:color="auto" w:sz="8" w:space="0"/>
                    <w:bottom w:val="single" w:color="auto" w:sz="8" w:space="0"/>
                  </w:tcBorders>
                  <w:vAlign w:val="center"/>
                </w:tcPr>
                <w:p>
                  <w:pPr>
                    <w:jc w:val="center"/>
                    <w:rPr>
                      <w:rFonts w:hint="default"/>
                      <w:sz w:val="21"/>
                      <w:szCs w:val="21"/>
                    </w:rPr>
                  </w:pPr>
                  <w:r>
                    <w:rPr>
                      <w:rFonts w:hint="default"/>
                      <w:sz w:val="21"/>
                      <w:szCs w:val="21"/>
                    </w:rPr>
                    <w:t>本项目情况</w:t>
                  </w:r>
                </w:p>
              </w:tc>
              <w:tc>
                <w:tcPr>
                  <w:tcW w:w="626" w:type="dxa"/>
                  <w:tcBorders>
                    <w:top w:val="single" w:color="auto" w:sz="8" w:space="0"/>
                    <w:bottom w:val="single" w:color="auto" w:sz="8" w:space="0"/>
                  </w:tcBorders>
                  <w:vAlign w:val="center"/>
                </w:tcPr>
                <w:p>
                  <w:pPr>
                    <w:jc w:val="center"/>
                    <w:rPr>
                      <w:rFonts w:hint="default"/>
                      <w:sz w:val="21"/>
                      <w:szCs w:val="21"/>
                    </w:rPr>
                  </w:pPr>
                  <w:r>
                    <w:rPr>
                      <w:rFonts w:hint="default"/>
                      <w:sz w:val="21"/>
                      <w:szCs w:val="21"/>
                    </w:rPr>
                    <w:t>是否符合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dxa"/>
                  <w:tcBorders>
                    <w:top w:val="single" w:color="auto" w:sz="8" w:space="0"/>
                  </w:tcBorders>
                  <w:vAlign w:val="center"/>
                </w:tcPr>
                <w:p>
                  <w:pPr>
                    <w:tabs>
                      <w:tab w:val="left" w:pos="791"/>
                      <w:tab w:val="left" w:pos="792"/>
                    </w:tabs>
                    <w:rPr>
                      <w:rFonts w:hint="default"/>
                      <w:sz w:val="21"/>
                      <w:szCs w:val="21"/>
                    </w:rPr>
                  </w:pPr>
                  <w:r>
                    <w:rPr>
                      <w:rFonts w:hint="default"/>
                      <w:sz w:val="21"/>
                      <w:szCs w:val="21"/>
                    </w:rPr>
                    <w:t>（一）深入打好城市黑臭水体治理攻坚战</w:t>
                  </w:r>
                </w:p>
              </w:tc>
              <w:tc>
                <w:tcPr>
                  <w:tcW w:w="3892" w:type="dxa"/>
                  <w:tcBorders>
                    <w:top w:val="single" w:color="auto" w:sz="8" w:space="0"/>
                  </w:tcBorders>
                  <w:vAlign w:val="center"/>
                </w:tcPr>
                <w:p>
                  <w:pPr>
                    <w:tabs>
                      <w:tab w:val="left" w:pos="791"/>
                      <w:tab w:val="left" w:pos="792"/>
                    </w:tabs>
                    <w:rPr>
                      <w:rFonts w:hint="default"/>
                      <w:sz w:val="21"/>
                      <w:szCs w:val="21"/>
                    </w:rPr>
                  </w:pPr>
                  <w:r>
                    <w:rPr>
                      <w:rFonts w:hint="default"/>
                      <w:sz w:val="21"/>
                      <w:szCs w:val="21"/>
                    </w:rPr>
                    <w:t>3.确保污泥安全处置利用。按照“减量化、稳定化、无害化、资源化”要求，全而排查污水处理厂污泥去向，依法查处取缔非法污泥堆放点，禁止重金属等污染物不达标的污泥用于土地利用，确保科学、合理、安全处置。鼓励采用“生物质利用＋焚烧”等处置模式，推进垃圾焚烧发电厂、水泥窑、燃煤电厂等协同处置。2023 年，新乡市日处理300吨污泥的水泥窑处理项目建成投运。</w:t>
                  </w:r>
                </w:p>
              </w:tc>
              <w:tc>
                <w:tcPr>
                  <w:tcW w:w="2229" w:type="dxa"/>
                  <w:tcBorders>
                    <w:top w:val="single" w:color="auto" w:sz="8" w:space="0"/>
                  </w:tcBorders>
                  <w:vAlign w:val="center"/>
                </w:tcPr>
                <w:p>
                  <w:pPr>
                    <w:rPr>
                      <w:rFonts w:hint="default"/>
                      <w:sz w:val="21"/>
                      <w:szCs w:val="21"/>
                    </w:rPr>
                  </w:pPr>
                  <w:r>
                    <w:rPr>
                      <w:rFonts w:hint="default"/>
                      <w:sz w:val="21"/>
                      <w:szCs w:val="21"/>
                    </w:rPr>
                    <w:t>本项目沉淀池会产生</w:t>
                  </w:r>
                  <w:r>
                    <w:rPr>
                      <w:rFonts w:hint="eastAsia"/>
                      <w:sz w:val="21"/>
                      <w:szCs w:val="21"/>
                      <w:lang w:val="en-US" w:eastAsia="zh-CN"/>
                    </w:rPr>
                    <w:t>沉渣</w:t>
                  </w:r>
                  <w:r>
                    <w:rPr>
                      <w:rFonts w:hint="default"/>
                      <w:sz w:val="21"/>
                      <w:szCs w:val="21"/>
                    </w:rPr>
                    <w:t>，项目</w:t>
                  </w:r>
                  <w:r>
                    <w:rPr>
                      <w:rFonts w:hint="eastAsia"/>
                      <w:sz w:val="21"/>
                      <w:szCs w:val="21"/>
                      <w:lang w:val="en-US" w:eastAsia="zh-CN"/>
                    </w:rPr>
                    <w:t>沉渣</w:t>
                  </w:r>
                  <w:r>
                    <w:rPr>
                      <w:rFonts w:hint="default"/>
                      <w:sz w:val="21"/>
                      <w:szCs w:val="21"/>
                      <w:lang w:val="en-US" w:eastAsia="zh-CN"/>
                    </w:rPr>
                    <w:t>将</w:t>
                  </w:r>
                  <w:r>
                    <w:rPr>
                      <w:rFonts w:hint="default"/>
                      <w:sz w:val="21"/>
                      <w:szCs w:val="21"/>
                    </w:rPr>
                    <w:t>严格按要求科学、合理、安全处置。</w:t>
                  </w:r>
                </w:p>
              </w:tc>
              <w:tc>
                <w:tcPr>
                  <w:tcW w:w="626" w:type="dxa"/>
                  <w:tcBorders>
                    <w:top w:val="single" w:color="auto" w:sz="8" w:space="0"/>
                  </w:tcBorders>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dxa"/>
                  <w:tcBorders>
                    <w:bottom w:val="single" w:color="auto" w:sz="4" w:space="0"/>
                  </w:tcBorders>
                  <w:vAlign w:val="center"/>
                </w:tcPr>
                <w:p>
                  <w:pPr>
                    <w:tabs>
                      <w:tab w:val="left" w:pos="791"/>
                      <w:tab w:val="left" w:pos="792"/>
                    </w:tabs>
                    <w:rPr>
                      <w:rFonts w:hint="default"/>
                      <w:sz w:val="21"/>
                      <w:szCs w:val="21"/>
                    </w:rPr>
                  </w:pPr>
                  <w:r>
                    <w:rPr>
                      <w:rFonts w:hint="default"/>
                      <w:sz w:val="21"/>
                      <w:szCs w:val="21"/>
                    </w:rPr>
                    <w:t>（五）开展污水资源化利用</w:t>
                  </w:r>
                </w:p>
              </w:tc>
              <w:tc>
                <w:tcPr>
                  <w:tcW w:w="3892" w:type="dxa"/>
                  <w:tcBorders>
                    <w:bottom w:val="single" w:color="auto" w:sz="4" w:space="0"/>
                  </w:tcBorders>
                  <w:vAlign w:val="center"/>
                </w:tcPr>
                <w:p>
                  <w:pPr>
                    <w:tabs>
                      <w:tab w:val="left" w:pos="791"/>
                      <w:tab w:val="left" w:pos="792"/>
                    </w:tabs>
                    <w:rPr>
                      <w:rFonts w:hint="default"/>
                      <w:sz w:val="21"/>
                      <w:szCs w:val="21"/>
                    </w:rPr>
                  </w:pPr>
                  <w:r>
                    <w:rPr>
                      <w:rFonts w:hint="default"/>
                      <w:sz w:val="21"/>
                      <w:szCs w:val="21"/>
                    </w:rPr>
                    <w:t>18.实施工业废水循环利用工程。推进企业、工业园区废水循环利用技术改造，完善废水循环利用装备和设施，促进企业间串联用水、分质用水、一水多用和梯级利用，提升企业水重复利用率。新建企业和园 区要在规划布局时，统筹供排水、水处理及循环利用设施建设，推动企业间的用水系统集成优化。开展工业废水再生利用水质监测评价和用水管理，推动重点用水企业搭建工业废水循环利用智慧管理平台。</w:t>
                  </w:r>
                </w:p>
              </w:tc>
              <w:tc>
                <w:tcPr>
                  <w:tcW w:w="2229" w:type="dxa"/>
                  <w:tcBorders>
                    <w:bottom w:val="single" w:color="auto" w:sz="4" w:space="0"/>
                  </w:tcBorders>
                  <w:vAlign w:val="center"/>
                </w:tcPr>
                <w:p>
                  <w:pPr>
                    <w:rPr>
                      <w:rFonts w:hint="default"/>
                      <w:sz w:val="21"/>
                      <w:szCs w:val="21"/>
                    </w:rPr>
                  </w:pPr>
                  <w:r>
                    <w:rPr>
                      <w:rFonts w:hint="default"/>
                      <w:sz w:val="21"/>
                      <w:szCs w:val="21"/>
                    </w:rPr>
                    <w:t>本项目废水为设备车辆冲洗水和生活污水，设备车辆冲洗水在厂区沉淀池沉淀处理，处理后</w:t>
                  </w:r>
                  <w:r>
                    <w:rPr>
                      <w:rFonts w:hint="eastAsia"/>
                      <w:sz w:val="21"/>
                      <w:szCs w:val="21"/>
                      <w:lang w:val="en-US" w:eastAsia="zh-CN"/>
                    </w:rPr>
                    <w:t>全部</w:t>
                  </w:r>
                  <w:r>
                    <w:rPr>
                      <w:rFonts w:hint="default"/>
                      <w:sz w:val="21"/>
                      <w:szCs w:val="21"/>
                    </w:rPr>
                    <w:t>回用不外排，生活污水经化粪池处理后定期清运。</w:t>
                  </w:r>
                </w:p>
              </w:tc>
              <w:tc>
                <w:tcPr>
                  <w:tcW w:w="626" w:type="dxa"/>
                  <w:tcBorders>
                    <w:bottom w:val="single" w:color="auto" w:sz="4" w:space="0"/>
                  </w:tcBorders>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dxa"/>
                  <w:tcBorders>
                    <w:bottom w:val="single" w:color="auto" w:sz="8" w:space="0"/>
                  </w:tcBorders>
                  <w:vAlign w:val="center"/>
                </w:tcPr>
                <w:p>
                  <w:pPr>
                    <w:tabs>
                      <w:tab w:val="left" w:pos="791"/>
                      <w:tab w:val="left" w:pos="792"/>
                    </w:tabs>
                    <w:rPr>
                      <w:rFonts w:hint="default"/>
                      <w:sz w:val="21"/>
                      <w:szCs w:val="21"/>
                    </w:rPr>
                  </w:pPr>
                  <w:r>
                    <w:rPr>
                      <w:rFonts w:hint="default"/>
                      <w:sz w:val="21"/>
                      <w:szCs w:val="21"/>
                    </w:rPr>
                    <w:t>（六）统筹做好其他水污染防治工作</w:t>
                  </w:r>
                </w:p>
              </w:tc>
              <w:tc>
                <w:tcPr>
                  <w:tcW w:w="3892" w:type="dxa"/>
                  <w:tcBorders>
                    <w:bottom w:val="single" w:color="auto" w:sz="8" w:space="0"/>
                  </w:tcBorders>
                  <w:vAlign w:val="center"/>
                </w:tcPr>
                <w:p>
                  <w:pPr>
                    <w:tabs>
                      <w:tab w:val="left" w:pos="791"/>
                      <w:tab w:val="left" w:pos="792"/>
                    </w:tabs>
                    <w:rPr>
                      <w:rFonts w:hint="default"/>
                      <w:sz w:val="21"/>
                      <w:szCs w:val="21"/>
                    </w:rPr>
                  </w:pPr>
                  <w:r>
                    <w:rPr>
                      <w:rFonts w:hint="default"/>
                      <w:sz w:val="21"/>
                      <w:szCs w:val="21"/>
                    </w:rPr>
                    <w:t>20.推动企业绿色转型发展。严格落实环境准入，落实“三线一单”生态环境分区管控体系，构建以“三线一单”为空间管控基础、环境影响评价为环境准入把关、排污许可为企业运行守法依据的生态环境管理框架。在造纸、氮肥、农副食品加工、皮革、印染、有色、原料药制造、</w:t>
                  </w:r>
                  <w:r>
                    <w:rPr>
                      <w:rFonts w:hint="eastAsia"/>
                      <w:sz w:val="21"/>
                      <w:szCs w:val="21"/>
                      <w:lang w:val="en-US" w:eastAsia="zh-CN"/>
                    </w:rPr>
                    <w:t>电镀</w:t>
                  </w:r>
                  <w:r>
                    <w:rPr>
                      <w:rFonts w:hint="default"/>
                      <w:sz w:val="21"/>
                      <w:szCs w:val="21"/>
                    </w:rPr>
                    <w:t>等重点水污染物排放行业，深入推进清洁生产审核，推动清洁生产改造，减少单位产品耗水量和单位产品排污量，促进企业废水厂内回用</w:t>
                  </w:r>
                </w:p>
              </w:tc>
              <w:tc>
                <w:tcPr>
                  <w:tcW w:w="2229" w:type="dxa"/>
                  <w:tcBorders>
                    <w:bottom w:val="single" w:color="auto" w:sz="8" w:space="0"/>
                  </w:tcBorders>
                  <w:vAlign w:val="center"/>
                </w:tcPr>
                <w:p>
                  <w:pPr>
                    <w:rPr>
                      <w:rFonts w:hint="default"/>
                      <w:sz w:val="21"/>
                      <w:szCs w:val="21"/>
                    </w:rPr>
                  </w:pPr>
                  <w:r>
                    <w:rPr>
                      <w:rFonts w:hint="default"/>
                      <w:sz w:val="21"/>
                      <w:szCs w:val="21"/>
                    </w:rPr>
                    <w:t>本项目能满足“三线一单”管控和准入要求；本项目不属于造纸、氮肥、农副食品加工、皮革、印染、有色、原料药制造、</w:t>
                  </w:r>
                  <w:r>
                    <w:rPr>
                      <w:rFonts w:hint="eastAsia"/>
                      <w:sz w:val="21"/>
                      <w:szCs w:val="21"/>
                      <w:lang w:val="en-US" w:eastAsia="zh-CN"/>
                    </w:rPr>
                    <w:t>电镀</w:t>
                  </w:r>
                  <w:r>
                    <w:rPr>
                      <w:rFonts w:hint="default"/>
                      <w:sz w:val="21"/>
                      <w:szCs w:val="21"/>
                    </w:rPr>
                    <w:t>等重点水污染物排放行业</w:t>
                  </w:r>
                </w:p>
              </w:tc>
              <w:tc>
                <w:tcPr>
                  <w:tcW w:w="626" w:type="dxa"/>
                  <w:tcBorders>
                    <w:bottom w:val="single" w:color="auto" w:sz="8" w:space="0"/>
                  </w:tcBorders>
                  <w:vAlign w:val="center"/>
                </w:tcPr>
                <w:p>
                  <w:pPr>
                    <w:jc w:val="center"/>
                    <w:rPr>
                      <w:rFonts w:hint="default"/>
                      <w:sz w:val="21"/>
                      <w:szCs w:val="21"/>
                    </w:rPr>
                  </w:pPr>
                  <w:r>
                    <w:rPr>
                      <w:rFonts w:hint="default"/>
                      <w:sz w:val="21"/>
                      <w:szCs w:val="21"/>
                    </w:rPr>
                    <w:t>符合</w:t>
                  </w:r>
                </w:p>
              </w:tc>
            </w:tr>
          </w:tbl>
          <w:p>
            <w:pPr>
              <w:spacing w:line="440" w:lineRule="exact"/>
              <w:ind w:firstLine="480" w:firstLineChars="200"/>
              <w:rPr>
                <w:rFonts w:hint="default"/>
                <w:sz w:val="24"/>
                <w:szCs w:val="24"/>
              </w:rPr>
            </w:pPr>
            <w:r>
              <w:rPr>
                <w:rFonts w:hint="default"/>
                <w:sz w:val="24"/>
                <w:szCs w:val="24"/>
              </w:rPr>
              <w:t>由上表可知，本项目符合《碧水保卫战实施方案》中相关要求。</w:t>
            </w:r>
          </w:p>
          <w:p>
            <w:pPr>
              <w:spacing w:line="440" w:lineRule="exact"/>
              <w:ind w:firstLine="480" w:firstLineChars="200"/>
              <w:jc w:val="left"/>
              <w:textAlignment w:val="baseline"/>
              <w:rPr>
                <w:rFonts w:hint="default"/>
                <w:sz w:val="24"/>
                <w:szCs w:val="24"/>
                <w:lang w:val="en-US" w:eastAsia="zh-CN"/>
              </w:rPr>
            </w:pPr>
            <w:r>
              <w:rPr>
                <w:rFonts w:hint="eastAsia"/>
                <w:sz w:val="24"/>
                <w:szCs w:val="24"/>
                <w:lang w:val="en-US" w:eastAsia="zh-CN"/>
              </w:rPr>
              <w:t>6</w:t>
            </w:r>
            <w:r>
              <w:rPr>
                <w:rFonts w:hint="default"/>
                <w:sz w:val="24"/>
                <w:szCs w:val="24"/>
                <w:lang w:val="en-US" w:eastAsia="zh-CN"/>
              </w:rPr>
              <w:t>、与《新乡市2023年净土保卫战实施方案的通知》（新环攻坚办〔2023〕65号）（以下简称《净土保卫战实施方案》）相符性分析</w:t>
            </w:r>
          </w:p>
          <w:p>
            <w:pPr>
              <w:widowControl/>
              <w:spacing w:line="440" w:lineRule="exact"/>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5        </w:t>
            </w:r>
            <w:r>
              <w:rPr>
                <w:rFonts w:hint="eastAsia" w:ascii="Times New Roman" w:hAnsi="Times New Roman" w:eastAsia="宋体" w:cs="Times New Roman"/>
                <w:b/>
                <w:bCs/>
                <w:sz w:val="24"/>
                <w:szCs w:val="24"/>
                <w:lang w:val="en-US" w:eastAsia="zh-CN"/>
              </w:rPr>
              <w:t>项目</w:t>
            </w:r>
            <w:r>
              <w:rPr>
                <w:rFonts w:hint="default" w:ascii="Times New Roman" w:hAnsi="Times New Roman" w:eastAsia="宋体" w:cs="Times New Roman"/>
                <w:b/>
                <w:bCs/>
                <w:sz w:val="24"/>
                <w:szCs w:val="24"/>
              </w:rPr>
              <w:t>与《净土保卫战实施方案》的相符性分析</w:t>
            </w:r>
          </w:p>
          <w:tbl>
            <w:tblPr>
              <w:tblStyle w:val="24"/>
              <w:tblpPr w:leftFromText="180" w:rightFromText="180" w:vertAnchor="text" w:tblpY="1"/>
              <w:tblOverlap w:val="never"/>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4164"/>
              <w:gridCol w:w="2187"/>
              <w:gridCol w:w="8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06" w:type="dxa"/>
                  <w:gridSpan w:val="2"/>
                  <w:tcBorders>
                    <w:top w:val="single" w:color="auto" w:sz="8" w:space="0"/>
                    <w:bottom w:val="single" w:color="auto" w:sz="8" w:space="0"/>
                  </w:tcBorders>
                  <w:vAlign w:val="center"/>
                </w:tcPr>
                <w:p>
                  <w:pPr>
                    <w:jc w:val="center"/>
                    <w:rPr>
                      <w:rFonts w:hint="default"/>
                      <w:sz w:val="21"/>
                      <w:szCs w:val="21"/>
                    </w:rPr>
                  </w:pPr>
                  <w:r>
                    <w:rPr>
                      <w:rFonts w:hint="default"/>
                      <w:sz w:val="21"/>
                      <w:szCs w:val="21"/>
                    </w:rPr>
                    <w:t>《净土保卫战实施方案》中与本项目有关的内容</w:t>
                  </w:r>
                </w:p>
              </w:tc>
              <w:tc>
                <w:tcPr>
                  <w:tcW w:w="2187" w:type="dxa"/>
                  <w:tcBorders>
                    <w:top w:val="single" w:color="auto" w:sz="8" w:space="0"/>
                    <w:bottom w:val="single" w:color="auto" w:sz="8" w:space="0"/>
                  </w:tcBorders>
                  <w:vAlign w:val="center"/>
                </w:tcPr>
                <w:p>
                  <w:pPr>
                    <w:jc w:val="center"/>
                    <w:rPr>
                      <w:rFonts w:hint="default"/>
                      <w:sz w:val="21"/>
                      <w:szCs w:val="21"/>
                    </w:rPr>
                  </w:pPr>
                  <w:r>
                    <w:rPr>
                      <w:rFonts w:hint="default"/>
                      <w:sz w:val="21"/>
                      <w:szCs w:val="21"/>
                    </w:rPr>
                    <w:t>本项目情况</w:t>
                  </w:r>
                </w:p>
              </w:tc>
              <w:tc>
                <w:tcPr>
                  <w:tcW w:w="867" w:type="dxa"/>
                  <w:tcBorders>
                    <w:top w:val="single" w:color="auto" w:sz="8" w:space="0"/>
                    <w:bottom w:val="single" w:color="auto" w:sz="8" w:space="0"/>
                  </w:tcBorders>
                  <w:vAlign w:val="center"/>
                </w:tcPr>
                <w:p>
                  <w:pPr>
                    <w:jc w:val="center"/>
                    <w:rPr>
                      <w:rFonts w:hint="default"/>
                      <w:sz w:val="21"/>
                      <w:szCs w:val="21"/>
                    </w:rPr>
                  </w:pPr>
                  <w:r>
                    <w:rPr>
                      <w:rFonts w:hint="default"/>
                      <w:sz w:val="21"/>
                      <w:szCs w:val="21"/>
                    </w:rPr>
                    <w:t>是否符合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2" w:type="dxa"/>
                  <w:tcBorders>
                    <w:top w:val="single" w:color="auto" w:sz="8" w:space="0"/>
                    <w:bottom w:val="single" w:color="auto" w:sz="8" w:space="0"/>
                  </w:tcBorders>
                  <w:vAlign w:val="center"/>
                </w:tcPr>
                <w:p>
                  <w:pPr>
                    <w:tabs>
                      <w:tab w:val="left" w:pos="791"/>
                      <w:tab w:val="left" w:pos="792"/>
                    </w:tabs>
                    <w:rPr>
                      <w:rFonts w:hint="default"/>
                      <w:sz w:val="21"/>
                      <w:szCs w:val="21"/>
                    </w:rPr>
                  </w:pPr>
                  <w:r>
                    <w:rPr>
                      <w:rFonts w:hint="default"/>
                      <w:sz w:val="21"/>
                      <w:szCs w:val="21"/>
                    </w:rPr>
                    <w:t>（一）依法推进农用地分类管理</w:t>
                  </w:r>
                </w:p>
              </w:tc>
              <w:tc>
                <w:tcPr>
                  <w:tcW w:w="4164" w:type="dxa"/>
                  <w:tcBorders>
                    <w:top w:val="single" w:color="auto" w:sz="8" w:space="0"/>
                    <w:bottom w:val="single" w:color="auto" w:sz="8" w:space="0"/>
                  </w:tcBorders>
                  <w:vAlign w:val="center"/>
                </w:tcPr>
                <w:p>
                  <w:pPr>
                    <w:tabs>
                      <w:tab w:val="left" w:pos="791"/>
                      <w:tab w:val="left" w:pos="792"/>
                    </w:tabs>
                    <w:rPr>
                      <w:rFonts w:hint="default"/>
                      <w:sz w:val="21"/>
                      <w:szCs w:val="21"/>
                    </w:rPr>
                  </w:pPr>
                  <w:r>
                    <w:rPr>
                      <w:rFonts w:hint="default"/>
                      <w:sz w:val="21"/>
                      <w:szCs w:val="21"/>
                    </w:rPr>
                    <w:t>7.全面加强固体废物监管。持续开展危险废物排查整治，全面提升危险废物环境监管、利用处置和环境风险防范“三个能力”，推动危险废物监管和利用处置能力改革工作。动态更新涉危险废物企业“四个清单”，有序推进固废监管信息化建设，强化危险废物源头管控和收集转运等过程监管。持续开展小微企业危险废物收集和废铅酸蓄电池收集转运试点工作。</w:t>
                  </w:r>
                </w:p>
              </w:tc>
              <w:tc>
                <w:tcPr>
                  <w:tcW w:w="2187" w:type="dxa"/>
                  <w:tcBorders>
                    <w:top w:val="single" w:color="auto" w:sz="8" w:space="0"/>
                    <w:bottom w:val="single" w:color="auto" w:sz="8" w:space="0"/>
                  </w:tcBorders>
                  <w:vAlign w:val="center"/>
                </w:tcPr>
                <w:p>
                  <w:pPr>
                    <w:rPr>
                      <w:rFonts w:hint="default"/>
                      <w:sz w:val="21"/>
                      <w:szCs w:val="21"/>
                    </w:rPr>
                  </w:pPr>
                  <w:r>
                    <w:rPr>
                      <w:rFonts w:hint="default"/>
                      <w:sz w:val="21"/>
                      <w:szCs w:val="21"/>
                    </w:rPr>
                    <w:t>本项目一般固废收集后于一般固废暂存间暂存，定期外售。</w:t>
                  </w:r>
                </w:p>
              </w:tc>
              <w:tc>
                <w:tcPr>
                  <w:tcW w:w="867" w:type="dxa"/>
                  <w:tcBorders>
                    <w:top w:val="single" w:color="auto" w:sz="8" w:space="0"/>
                    <w:bottom w:val="single" w:color="auto" w:sz="8" w:space="0"/>
                  </w:tcBorders>
                  <w:vAlign w:val="center"/>
                </w:tcPr>
                <w:p>
                  <w:pPr>
                    <w:jc w:val="center"/>
                    <w:rPr>
                      <w:rFonts w:hint="default"/>
                      <w:sz w:val="21"/>
                      <w:szCs w:val="21"/>
                    </w:rPr>
                  </w:pPr>
                  <w:r>
                    <w:rPr>
                      <w:rFonts w:hint="default"/>
                      <w:sz w:val="21"/>
                      <w:szCs w:val="21"/>
                    </w:rPr>
                    <w:t>符合</w:t>
                  </w:r>
                </w:p>
              </w:tc>
            </w:tr>
          </w:tbl>
          <w:p>
            <w:pPr>
              <w:spacing w:line="440" w:lineRule="exact"/>
              <w:ind w:firstLine="480" w:firstLineChars="200"/>
              <w:rPr>
                <w:rFonts w:hint="default"/>
                <w:sz w:val="24"/>
                <w:szCs w:val="24"/>
              </w:rPr>
            </w:pPr>
            <w:r>
              <w:rPr>
                <w:rFonts w:hint="default"/>
                <w:sz w:val="24"/>
                <w:szCs w:val="24"/>
              </w:rPr>
              <w:t>由上表可知，本项目符合《净土保卫战实施方案》中相关要求。</w:t>
            </w:r>
          </w:p>
          <w:p>
            <w:pPr>
              <w:spacing w:line="440" w:lineRule="exact"/>
              <w:ind w:firstLine="480" w:firstLineChars="200"/>
              <w:jc w:val="left"/>
              <w:textAlignment w:val="baseline"/>
              <w:rPr>
                <w:rFonts w:hint="default"/>
                <w:sz w:val="24"/>
                <w:szCs w:val="24"/>
                <w:lang w:val="en-US" w:eastAsia="zh-CN"/>
              </w:rPr>
            </w:pPr>
            <w:r>
              <w:rPr>
                <w:rFonts w:hint="eastAsia"/>
                <w:sz w:val="24"/>
                <w:szCs w:val="24"/>
                <w:lang w:val="en-US" w:eastAsia="zh-CN"/>
              </w:rPr>
              <w:t>7</w:t>
            </w:r>
            <w:r>
              <w:rPr>
                <w:rFonts w:hint="default"/>
                <w:sz w:val="24"/>
                <w:szCs w:val="24"/>
                <w:lang w:val="en-US" w:eastAsia="zh-CN"/>
              </w:rPr>
              <w:t>、与《新乡市深入打好秋冬重污染天气消除、夏季臭氧污染防治和柴油货车污染治理攻坚战实施方案》（新环攻坚办〔2023〕73号）（以下简称《秋冬污染防治攻坚实施方案》）相符性分析</w:t>
            </w:r>
          </w:p>
          <w:p>
            <w:pPr>
              <w:widowControl/>
              <w:spacing w:line="440" w:lineRule="exact"/>
              <w:ind w:firstLine="482" w:firstLineChars="200"/>
              <w:jc w:val="left"/>
              <w:rPr>
                <w:rFonts w:hint="default"/>
                <w:b/>
                <w:bCs/>
                <w:sz w:val="24"/>
                <w:szCs w:val="24"/>
              </w:rPr>
            </w:pPr>
            <w:r>
              <w:rPr>
                <w:rFonts w:hint="default"/>
                <w:b/>
                <w:bCs/>
                <w:sz w:val="24"/>
                <w:szCs w:val="24"/>
              </w:rPr>
              <w:t>表</w:t>
            </w:r>
            <w:r>
              <w:rPr>
                <w:rFonts w:hint="eastAsia"/>
                <w:b/>
                <w:bCs/>
                <w:sz w:val="24"/>
                <w:szCs w:val="24"/>
                <w:lang w:val="en-US" w:eastAsia="zh-CN"/>
              </w:rPr>
              <w:t>1-</w:t>
            </w:r>
            <w:r>
              <w:rPr>
                <w:rFonts w:hint="default"/>
                <w:b/>
                <w:bCs/>
                <w:sz w:val="24"/>
                <w:szCs w:val="24"/>
              </w:rPr>
              <w:t>6      与《秋冬污染防治攻坚实施方案》的相符性分析</w:t>
            </w:r>
          </w:p>
          <w:tbl>
            <w:tblPr>
              <w:tblStyle w:val="24"/>
              <w:tblpPr w:leftFromText="180" w:rightFromText="180" w:vertAnchor="text" w:tblpY="1"/>
              <w:tblOverlap w:val="never"/>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2"/>
              <w:gridCol w:w="4164"/>
              <w:gridCol w:w="50"/>
              <w:gridCol w:w="2274"/>
              <w:gridCol w:w="7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3" w:type="dxa"/>
                  <w:gridSpan w:val="3"/>
                  <w:vAlign w:val="center"/>
                </w:tcPr>
                <w:p>
                  <w:pPr>
                    <w:jc w:val="center"/>
                    <w:rPr>
                      <w:rFonts w:hint="default"/>
                      <w:sz w:val="21"/>
                      <w:szCs w:val="21"/>
                    </w:rPr>
                  </w:pPr>
                  <w:r>
                    <w:rPr>
                      <w:rFonts w:hint="default"/>
                      <w:sz w:val="21"/>
                      <w:szCs w:val="21"/>
                    </w:rPr>
                    <w:t>《秋冬污染防治攻坚实施方案》中与本项目有关的内容</w:t>
                  </w:r>
                </w:p>
              </w:tc>
              <w:tc>
                <w:tcPr>
                  <w:tcW w:w="2173" w:type="dxa"/>
                  <w:gridSpan w:val="2"/>
                  <w:vAlign w:val="center"/>
                </w:tcPr>
                <w:p>
                  <w:pPr>
                    <w:jc w:val="center"/>
                    <w:rPr>
                      <w:rFonts w:hint="default"/>
                      <w:sz w:val="21"/>
                      <w:szCs w:val="21"/>
                    </w:rPr>
                  </w:pPr>
                  <w:r>
                    <w:rPr>
                      <w:rFonts w:hint="default"/>
                      <w:sz w:val="21"/>
                      <w:szCs w:val="21"/>
                    </w:rPr>
                    <w:t>本项目情况</w:t>
                  </w:r>
                </w:p>
              </w:tc>
              <w:tc>
                <w:tcPr>
                  <w:tcW w:w="682" w:type="dxa"/>
                  <w:vAlign w:val="center"/>
                </w:tcPr>
                <w:p>
                  <w:pPr>
                    <w:jc w:val="center"/>
                    <w:rPr>
                      <w:rFonts w:hint="default"/>
                      <w:sz w:val="21"/>
                      <w:szCs w:val="21"/>
                    </w:rPr>
                  </w:pPr>
                  <w:r>
                    <w:rPr>
                      <w:rFonts w:hint="default"/>
                      <w:sz w:val="21"/>
                      <w:szCs w:val="21"/>
                    </w:rPr>
                    <w:t>是否符合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28" w:type="dxa"/>
                  <w:gridSpan w:val="6"/>
                  <w:vAlign w:val="center"/>
                </w:tcPr>
                <w:p>
                  <w:pPr>
                    <w:jc w:val="center"/>
                    <w:rPr>
                      <w:rFonts w:hint="default"/>
                      <w:sz w:val="21"/>
                      <w:szCs w:val="21"/>
                    </w:rPr>
                  </w:pPr>
                  <w:r>
                    <w:rPr>
                      <w:rFonts w:hint="default"/>
                      <w:sz w:val="21"/>
                      <w:szCs w:val="21"/>
                    </w:rPr>
                    <w:t>秋冬重污染天气消除攻坚战实施方案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restart"/>
                  <w:vAlign w:val="center"/>
                </w:tcPr>
                <w:p>
                  <w:pPr>
                    <w:jc w:val="center"/>
                    <w:rPr>
                      <w:rFonts w:hint="default"/>
                      <w:sz w:val="21"/>
                      <w:szCs w:val="21"/>
                    </w:rPr>
                  </w:pPr>
                  <w:r>
                    <w:rPr>
                      <w:rFonts w:hint="default"/>
                      <w:sz w:val="21"/>
                      <w:szCs w:val="21"/>
                    </w:rPr>
                    <w:t>（一）加快产业结构优化调整</w:t>
                  </w:r>
                </w:p>
              </w:tc>
              <w:tc>
                <w:tcPr>
                  <w:tcW w:w="3969" w:type="dxa"/>
                  <w:gridSpan w:val="3"/>
                  <w:vAlign w:val="center"/>
                </w:tcPr>
                <w:p>
                  <w:pPr>
                    <w:jc w:val="left"/>
                    <w:rPr>
                      <w:rFonts w:hint="default"/>
                      <w:sz w:val="21"/>
                      <w:szCs w:val="21"/>
                    </w:rPr>
                  </w:pPr>
                  <w:r>
                    <w:rPr>
                      <w:rFonts w:hint="default"/>
                      <w:sz w:val="21"/>
                      <w:szCs w:val="21"/>
                    </w:rPr>
                    <w:t>遏制“两高”项目盲目发展。严格落实国家、省产业规划、产业政策、“三线一单”、规划环评，以及产能置换、煤炭消费减量替代、区域污染物削减等要求，严把高耗能、高排放、低水平项目准入关口。全市禁止新增钢铁、电解铝、氧化铝、水泥熟料、平板玻璃（光伏压延玻璃除外）、煤化工、焦化、铝用炭素、含烧结工序的耐火材料和砖瓦制品等行业产能，合理控制煤质油气产能规模，严控新增炼油产能。强化项目环评及“三同时”管理，国家、省绩效分级重点行业以及涉及锅炉炉窑的其他行业，新建、扩建项目污染物排放限值、污染物治理措施、无组织排放控制水平、运输方式等达到A级绩效水平，改建项目污染物排放限值、污染治理措施、无组织排放控制水平、运输方式等达到B级以上绩效水平。新建、改建、扩建项目大宗货物年货运量150万吨及以上的，原则上要介入铁路专用线或管道；具有铁路专用线的，大宗货物铁路运输比例应达到80％以上。</w:t>
                  </w:r>
                </w:p>
              </w:tc>
              <w:tc>
                <w:tcPr>
                  <w:tcW w:w="2126" w:type="dxa"/>
                  <w:vAlign w:val="center"/>
                </w:tcPr>
                <w:p>
                  <w:pPr>
                    <w:pStyle w:val="10"/>
                    <w:rPr>
                      <w:rFonts w:hint="default"/>
                      <w:sz w:val="21"/>
                      <w:szCs w:val="21"/>
                    </w:rPr>
                  </w:pPr>
                  <w:r>
                    <w:rPr>
                      <w:rFonts w:hint="default"/>
                      <w:sz w:val="21"/>
                      <w:szCs w:val="21"/>
                    </w:rPr>
                    <w:t>本项目不属于“两高”项目；本项目不属于新增钢铁、电解铝、氧化铝、水泥熟料、平板玻璃（光伏压延玻璃除外）、煤化工、焦化、铝用炭素、含烧结工序的</w:t>
                  </w:r>
                  <w:r>
                    <w:rPr>
                      <w:rFonts w:hint="default"/>
                      <w:sz w:val="21"/>
                      <w:szCs w:val="21"/>
                      <w:lang w:val="en-US" w:eastAsia="zh-CN"/>
                    </w:rPr>
                    <w:t>耐火材料和砖瓦制品等</w:t>
                  </w:r>
                  <w:r>
                    <w:rPr>
                      <w:rFonts w:hint="eastAsia"/>
                      <w:sz w:val="21"/>
                      <w:szCs w:val="21"/>
                      <w:lang w:val="en-US" w:eastAsia="zh-CN"/>
                    </w:rPr>
                    <w:t>禁止类行业</w:t>
                  </w:r>
                  <w:r>
                    <w:rPr>
                      <w:rFonts w:hint="default"/>
                      <w:sz w:val="21"/>
                      <w:szCs w:val="21"/>
                      <w:lang w:val="en-US" w:eastAsia="zh-CN"/>
                    </w:rPr>
                    <w:t>；</w:t>
                  </w:r>
                  <w:r>
                    <w:rPr>
                      <w:rFonts w:hint="default"/>
                      <w:sz w:val="21"/>
                      <w:szCs w:val="21"/>
                    </w:rPr>
                    <w:t>本项目污染物排放限值、污染物治理措施、无组织排放控制水平、运输方式等严格按照A级绩效水平执行。</w:t>
                  </w:r>
                </w:p>
              </w:tc>
              <w:tc>
                <w:tcPr>
                  <w:tcW w:w="682" w:type="dxa"/>
                  <w:vAlign w:val="center"/>
                </w:tcPr>
                <w:p>
                  <w:pPr>
                    <w:jc w:val="left"/>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vAlign w:val="center"/>
                </w:tcPr>
                <w:p>
                  <w:pPr>
                    <w:jc w:val="center"/>
                    <w:rPr>
                      <w:rFonts w:hint="default"/>
                      <w:sz w:val="21"/>
                      <w:szCs w:val="21"/>
                    </w:rPr>
                  </w:pPr>
                </w:p>
              </w:tc>
              <w:tc>
                <w:tcPr>
                  <w:tcW w:w="3969" w:type="dxa"/>
                  <w:gridSpan w:val="3"/>
                  <w:vAlign w:val="center"/>
                </w:tcPr>
                <w:p>
                  <w:pPr>
                    <w:jc w:val="left"/>
                    <w:rPr>
                      <w:rFonts w:hint="default"/>
                      <w:sz w:val="21"/>
                      <w:szCs w:val="21"/>
                    </w:rPr>
                  </w:pPr>
                  <w:r>
                    <w:rPr>
                      <w:rFonts w:hint="default"/>
                      <w:sz w:val="21"/>
                      <w:szCs w:val="21"/>
                    </w:rPr>
                    <w:t>依法依规淘汰落后产能。落实国家《产业结构调整指导目录》，按照《河南省淘汰落后产能综合标准体系》最新修订本，严格执行质量、环保、能耗、安全等法规标准，按照省定标准，淘汰大气污染物排放强度高、治理难度大以及产能过剩行业的工业和装备，实施落后产能“动态清零”。</w:t>
                  </w:r>
                </w:p>
              </w:tc>
              <w:tc>
                <w:tcPr>
                  <w:tcW w:w="2126" w:type="dxa"/>
                  <w:vAlign w:val="center"/>
                </w:tcPr>
                <w:p>
                  <w:pPr>
                    <w:jc w:val="left"/>
                    <w:rPr>
                      <w:rFonts w:hint="default"/>
                      <w:sz w:val="21"/>
                      <w:szCs w:val="21"/>
                    </w:rPr>
                  </w:pPr>
                  <w:r>
                    <w:rPr>
                      <w:rFonts w:hint="default"/>
                      <w:sz w:val="21"/>
                      <w:szCs w:val="21"/>
                    </w:rPr>
                    <w:t>本项目不属于落后淘汰产能。</w:t>
                  </w:r>
                </w:p>
              </w:tc>
              <w:tc>
                <w:tcPr>
                  <w:tcW w:w="682" w:type="dxa"/>
                  <w:vAlign w:val="center"/>
                </w:tcPr>
                <w:p>
                  <w:pPr>
                    <w:jc w:val="left"/>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restart"/>
                  <w:vAlign w:val="center"/>
                </w:tcPr>
                <w:p>
                  <w:pPr>
                    <w:jc w:val="center"/>
                    <w:rPr>
                      <w:rFonts w:hint="default"/>
                      <w:sz w:val="21"/>
                      <w:szCs w:val="21"/>
                    </w:rPr>
                  </w:pPr>
                  <w:r>
                    <w:rPr>
                      <w:rFonts w:hint="default"/>
                      <w:sz w:val="21"/>
                      <w:szCs w:val="21"/>
                    </w:rPr>
                    <w:t>（三）工业污染深度治理攻坚行动</w:t>
                  </w:r>
                </w:p>
              </w:tc>
              <w:tc>
                <w:tcPr>
                  <w:tcW w:w="3969" w:type="dxa"/>
                  <w:gridSpan w:val="3"/>
                  <w:vAlign w:val="center"/>
                </w:tcPr>
                <w:p>
                  <w:pPr>
                    <w:jc w:val="left"/>
                    <w:rPr>
                      <w:rFonts w:hint="default"/>
                      <w:sz w:val="21"/>
                      <w:szCs w:val="21"/>
                    </w:rPr>
                  </w:pPr>
                  <w:r>
                    <w:rPr>
                      <w:rFonts w:hint="default"/>
                      <w:sz w:val="21"/>
                      <w:szCs w:val="21"/>
                    </w:rPr>
                    <w:t>推进重点行业超低排放改造。全市新改扩建（含搬迁）火电、水泥项目应达到超低排放水平。持续推进水泥等行业超低排放改造，加强对企业的服务和指导，帮助企业合理选择超低排放改造技术路线，协调解决清洁运输等重大事项。</w:t>
                  </w:r>
                </w:p>
              </w:tc>
              <w:tc>
                <w:tcPr>
                  <w:tcW w:w="2126" w:type="dxa"/>
                  <w:vAlign w:val="center"/>
                </w:tcPr>
                <w:p>
                  <w:pPr>
                    <w:jc w:val="left"/>
                    <w:rPr>
                      <w:rFonts w:hint="default"/>
                      <w:sz w:val="21"/>
                      <w:szCs w:val="21"/>
                    </w:rPr>
                  </w:pPr>
                  <w:r>
                    <w:rPr>
                      <w:rFonts w:hint="default"/>
                      <w:sz w:val="21"/>
                      <w:szCs w:val="21"/>
                    </w:rPr>
                    <w:t>本项目严格执行水泥行业超低排放标准，确保污染物稳定达标排放。</w:t>
                  </w:r>
                </w:p>
              </w:tc>
              <w:tc>
                <w:tcPr>
                  <w:tcW w:w="682" w:type="dxa"/>
                  <w:vAlign w:val="center"/>
                </w:tcPr>
                <w:p>
                  <w:pPr>
                    <w:jc w:val="left"/>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vAlign w:val="center"/>
                </w:tcPr>
                <w:p>
                  <w:pPr>
                    <w:jc w:val="center"/>
                    <w:rPr>
                      <w:rFonts w:hint="default"/>
                      <w:sz w:val="21"/>
                      <w:szCs w:val="21"/>
                    </w:rPr>
                  </w:pPr>
                </w:p>
              </w:tc>
              <w:tc>
                <w:tcPr>
                  <w:tcW w:w="3969" w:type="dxa"/>
                  <w:gridSpan w:val="3"/>
                  <w:vAlign w:val="center"/>
                </w:tcPr>
                <w:p>
                  <w:pPr>
                    <w:jc w:val="left"/>
                    <w:rPr>
                      <w:rFonts w:hint="default"/>
                      <w:sz w:val="21"/>
                      <w:szCs w:val="21"/>
                    </w:rPr>
                  </w:pPr>
                  <w:r>
                    <w:rPr>
                      <w:rFonts w:hint="default"/>
                      <w:sz w:val="21"/>
                      <w:szCs w:val="21"/>
                    </w:rPr>
                    <w:t>创建大气治理标杆企业。以铸造、建材、有色、化工、工业涂装等行业为重点，按照“建设一批、培育一批、提升一批”的原则，分行业分类建立绩效提升企业名单，着力培育一批绩效水平高、行业带动强的企业，推动环保水平整体提升。支持鼓励绩效评级较低的企业，对标先进、夯实基础，加大改造力度，不断提升环境绩效水平。</w:t>
                  </w:r>
                </w:p>
              </w:tc>
              <w:tc>
                <w:tcPr>
                  <w:tcW w:w="2126" w:type="dxa"/>
                  <w:vAlign w:val="center"/>
                </w:tcPr>
                <w:p>
                  <w:pPr>
                    <w:jc w:val="left"/>
                    <w:rPr>
                      <w:rFonts w:hint="default"/>
                      <w:sz w:val="21"/>
                      <w:szCs w:val="21"/>
                    </w:rPr>
                  </w:pPr>
                  <w:r>
                    <w:rPr>
                      <w:rFonts w:hint="default"/>
                      <w:sz w:val="21"/>
                      <w:szCs w:val="21"/>
                    </w:rPr>
                    <w:t>本项目严格按照A级绩效水平执行。</w:t>
                  </w:r>
                </w:p>
              </w:tc>
              <w:tc>
                <w:tcPr>
                  <w:tcW w:w="682" w:type="dxa"/>
                  <w:vAlign w:val="center"/>
                </w:tcPr>
                <w:p>
                  <w:pPr>
                    <w:jc w:val="left"/>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tabs>
                      <w:tab w:val="left" w:pos="791"/>
                      <w:tab w:val="left" w:pos="792"/>
                    </w:tabs>
                    <w:rPr>
                      <w:rFonts w:hint="default"/>
                      <w:sz w:val="21"/>
                      <w:szCs w:val="21"/>
                    </w:rPr>
                  </w:pPr>
                  <w:r>
                    <w:rPr>
                      <w:rFonts w:hint="default"/>
                      <w:sz w:val="21"/>
                      <w:szCs w:val="21"/>
                    </w:rPr>
                    <w:t>（四）面源污染综合防治攻坚行动</w:t>
                  </w:r>
                </w:p>
              </w:tc>
              <w:tc>
                <w:tcPr>
                  <w:tcW w:w="3969" w:type="dxa"/>
                  <w:gridSpan w:val="3"/>
                  <w:vAlign w:val="center"/>
                </w:tcPr>
                <w:p>
                  <w:pPr>
                    <w:tabs>
                      <w:tab w:val="left" w:pos="791"/>
                      <w:tab w:val="left" w:pos="792"/>
                    </w:tabs>
                    <w:rPr>
                      <w:rFonts w:hint="default"/>
                      <w:sz w:val="21"/>
                      <w:szCs w:val="21"/>
                    </w:rPr>
                  </w:pPr>
                  <w:r>
                    <w:rPr>
                      <w:rFonts w:hint="default"/>
                      <w:sz w:val="21"/>
                      <w:szCs w:val="21"/>
                    </w:rPr>
                    <w:t>强化扬尘综合管控。各地平均降尘量不得高于7吨／月·平方公里，加强对站点降尘监测工作保障，确保监测结果及时有效上传，对降尘量超标的县（市、区）、乡（镇）进行全市通报批评。严格落实扬尘污染防治“两个标准“要求，加强施工扬尘动态化、精细化管理，强化土石方作业、渣土运输扬尘问题的监管，增加 作业车辆和机械冲 洗频次，严禁带泥上路行驶。强化道路扬尘综合整治，加大机械化清扫与保洁力度，有效提升国省道、县乡道路、城乡结合部和背街小巷等各类道路清扫保洁效果。对全市连片裸露地面、易产尘堆放场所以及废旧厂区等进行排查建档并采取围挡、苦盖、洒扫或绿化、硬化等抑尘措施，提升扬尘污染精细化管理水平。</w:t>
                  </w:r>
                </w:p>
              </w:tc>
              <w:tc>
                <w:tcPr>
                  <w:tcW w:w="2126" w:type="dxa"/>
                  <w:vAlign w:val="center"/>
                </w:tcPr>
                <w:p>
                  <w:pPr>
                    <w:rPr>
                      <w:rFonts w:hint="default"/>
                      <w:sz w:val="21"/>
                      <w:szCs w:val="21"/>
                    </w:rPr>
                  </w:pPr>
                  <w:r>
                    <w:rPr>
                      <w:rFonts w:hint="eastAsia"/>
                      <w:sz w:val="21"/>
                      <w:szCs w:val="21"/>
                      <w:lang w:val="en-US" w:eastAsia="zh-CN"/>
                    </w:rPr>
                    <w:t>本项目厂区道路均进行了硬化，不存在裸露地面，配备有湿扫机，定时洒水和清扫。</w:t>
                  </w:r>
                </w:p>
              </w:tc>
              <w:tc>
                <w:tcPr>
                  <w:tcW w:w="682" w:type="dxa"/>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tabs>
                      <w:tab w:val="left" w:pos="791"/>
                      <w:tab w:val="left" w:pos="792"/>
                    </w:tabs>
                    <w:rPr>
                      <w:rFonts w:hint="default"/>
                      <w:sz w:val="21"/>
                      <w:szCs w:val="21"/>
                    </w:rPr>
                  </w:pPr>
                  <w:r>
                    <w:rPr>
                      <w:rFonts w:hint="default"/>
                      <w:sz w:val="21"/>
                      <w:szCs w:val="21"/>
                    </w:rPr>
                    <w:t>（五）重污染天气联合应对行动</w:t>
                  </w:r>
                </w:p>
                <w:p>
                  <w:pPr>
                    <w:tabs>
                      <w:tab w:val="left" w:pos="791"/>
                      <w:tab w:val="left" w:pos="792"/>
                    </w:tabs>
                    <w:rPr>
                      <w:rFonts w:hint="default"/>
                      <w:sz w:val="21"/>
                      <w:szCs w:val="21"/>
                    </w:rPr>
                  </w:pPr>
                  <w:r>
                    <w:rPr>
                      <w:rFonts w:hint="default"/>
                      <w:sz w:val="21"/>
                      <w:szCs w:val="21"/>
                    </w:rPr>
                    <w:t>一、强化基础能力建设</w:t>
                  </w:r>
                </w:p>
              </w:tc>
              <w:tc>
                <w:tcPr>
                  <w:tcW w:w="3969" w:type="dxa"/>
                  <w:gridSpan w:val="3"/>
                  <w:vAlign w:val="center"/>
                </w:tcPr>
                <w:p>
                  <w:pPr>
                    <w:tabs>
                      <w:tab w:val="left" w:pos="791"/>
                      <w:tab w:val="left" w:pos="792"/>
                    </w:tabs>
                    <w:jc w:val="left"/>
                    <w:rPr>
                      <w:rFonts w:hint="default"/>
                      <w:sz w:val="21"/>
                      <w:szCs w:val="21"/>
                    </w:rPr>
                  </w:pPr>
                  <w:r>
                    <w:rPr>
                      <w:rFonts w:hint="default"/>
                      <w:sz w:val="21"/>
                      <w:szCs w:val="21"/>
                    </w:rPr>
                    <w:t>提升污染源监测监控能力。全面落实排污许可发证单位自行监测及信息公开制度，持续推进污染源自动监控设施建设。大气环境重点排污单位、排污许可证载明实施自动监测的排污单位，应依法安装自动监控设施，并与生态环境部门联网和规范稳定运行。根据空气质量改善需要，必要时可酌情扩大自动监控设施安装联网范围和增加监测因子，并将自动监测要求载入排污许可证。大力推进涉气排污单位自动监控设施数据采集传输系统升级改造，确保监控数据传输稳定性和准确性。持续推进用电量监控、视频监控能力提升，强化生产状况、污染治理设施运行情况和污染排放联合监控。加强电力、水泥等重点行业氨逃逸监测监管。</w:t>
                  </w:r>
                </w:p>
              </w:tc>
              <w:tc>
                <w:tcPr>
                  <w:tcW w:w="2126" w:type="dxa"/>
                  <w:vAlign w:val="center"/>
                </w:tcPr>
                <w:p>
                  <w:pPr>
                    <w:rPr>
                      <w:rFonts w:hint="default"/>
                      <w:sz w:val="21"/>
                      <w:szCs w:val="21"/>
                    </w:rPr>
                  </w:pPr>
                  <w:r>
                    <w:rPr>
                      <w:rFonts w:hint="default"/>
                      <w:sz w:val="21"/>
                      <w:szCs w:val="21"/>
                    </w:rPr>
                    <w:t>本项目</w:t>
                  </w:r>
                  <w:r>
                    <w:rPr>
                      <w:rFonts w:hint="eastAsia"/>
                      <w:sz w:val="21"/>
                      <w:szCs w:val="21"/>
                      <w:lang w:val="en-US" w:eastAsia="zh-CN"/>
                    </w:rPr>
                    <w:t>按要求</w:t>
                  </w:r>
                  <w:r>
                    <w:rPr>
                      <w:rFonts w:hint="default"/>
                      <w:sz w:val="21"/>
                      <w:szCs w:val="21"/>
                    </w:rPr>
                    <w:t>全面落实排污许可发证单位自行监测及信息公开制度，按管理要求安装自动监控设施。</w:t>
                  </w:r>
                </w:p>
              </w:tc>
              <w:tc>
                <w:tcPr>
                  <w:tcW w:w="682" w:type="dxa"/>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28" w:type="dxa"/>
                  <w:gridSpan w:val="6"/>
                  <w:vAlign w:val="center"/>
                </w:tcPr>
                <w:p>
                  <w:pPr>
                    <w:jc w:val="center"/>
                    <w:rPr>
                      <w:rFonts w:hint="default"/>
                      <w:sz w:val="21"/>
                      <w:szCs w:val="21"/>
                    </w:rPr>
                  </w:pPr>
                  <w:r>
                    <w:rPr>
                      <w:rFonts w:hint="default"/>
                      <w:sz w:val="21"/>
                      <w:szCs w:val="21"/>
                    </w:rPr>
                    <w:t>柴油货车污染治理攻坚战实施方案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dxa"/>
                  <w:gridSpan w:val="2"/>
                  <w:vAlign w:val="center"/>
                </w:tcPr>
                <w:p>
                  <w:pPr>
                    <w:tabs>
                      <w:tab w:val="left" w:pos="791"/>
                      <w:tab w:val="left" w:pos="792"/>
                    </w:tabs>
                    <w:rPr>
                      <w:rFonts w:hint="default"/>
                      <w:sz w:val="21"/>
                      <w:szCs w:val="21"/>
                    </w:rPr>
                  </w:pPr>
                  <w:r>
                    <w:rPr>
                      <w:rFonts w:hint="default"/>
                      <w:sz w:val="21"/>
                      <w:szCs w:val="21"/>
                    </w:rPr>
                    <w:t>（四）非道路移动源综合治理行动</w:t>
                  </w:r>
                </w:p>
              </w:tc>
              <w:tc>
                <w:tcPr>
                  <w:tcW w:w="3892" w:type="dxa"/>
                  <w:vAlign w:val="center"/>
                </w:tcPr>
                <w:p>
                  <w:pPr>
                    <w:tabs>
                      <w:tab w:val="left" w:pos="791"/>
                      <w:tab w:val="left" w:pos="792"/>
                    </w:tabs>
                    <w:jc w:val="left"/>
                    <w:rPr>
                      <w:rFonts w:hint="default"/>
                      <w:sz w:val="21"/>
                      <w:szCs w:val="21"/>
                    </w:rPr>
                  </w:pPr>
                  <w:r>
                    <w:rPr>
                      <w:rFonts w:hint="default"/>
                      <w:sz w:val="21"/>
                      <w:szCs w:val="21"/>
                    </w:rPr>
                    <w:t>推进非道路移动机械清洁发展。严格实施非道路移动柴油机械第四阶段排放标准。因地制宜加快推进铁路货场、物流园区以及火电、煤炭、建材、矿山等工矿企业新增或更新的作业车辆和机械新能源化；鼓励新增或更新的3吨以下叉车基本实现新能源化。鼓励各县（市、区）依据排放标准制定老旧非道路移动机械更新淘汰计划，推动淘汰国一及以下排放标准的工程机械（含按非道路排放标准生产的非道路用车），具备条件的可更换国四排放标准的发动机。各县（市、区）组织开展国有大宗物料运输企业车机结构调整专项行动，积极推进国有企业内部运输车辆全部使用国六或新能源车辆，鼓励积极更换第四阶段排放标准或新能源非道路移动机械。</w:t>
                  </w:r>
                </w:p>
              </w:tc>
              <w:tc>
                <w:tcPr>
                  <w:tcW w:w="2173" w:type="dxa"/>
                  <w:gridSpan w:val="2"/>
                  <w:vAlign w:val="center"/>
                </w:tcPr>
                <w:p>
                  <w:pPr>
                    <w:rPr>
                      <w:rFonts w:hint="default"/>
                      <w:sz w:val="21"/>
                      <w:szCs w:val="21"/>
                    </w:rPr>
                  </w:pPr>
                  <w:r>
                    <w:rPr>
                      <w:rFonts w:hint="default"/>
                      <w:sz w:val="21"/>
                      <w:szCs w:val="21"/>
                    </w:rPr>
                    <w:t>本项目严格实施非道路移动柴油机械第四阶段排放标准；不使用国一及以下排放标准的工程机械。</w:t>
                  </w:r>
                </w:p>
              </w:tc>
              <w:tc>
                <w:tcPr>
                  <w:tcW w:w="682" w:type="dxa"/>
                  <w:vAlign w:val="center"/>
                </w:tcPr>
                <w:p>
                  <w:pPr>
                    <w:jc w:val="center"/>
                    <w:rPr>
                      <w:rFonts w:hint="default"/>
                      <w:sz w:val="21"/>
                      <w:szCs w:val="21"/>
                    </w:rPr>
                  </w:pPr>
                  <w:r>
                    <w:rPr>
                      <w:rFonts w:hint="default"/>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dxa"/>
                  <w:gridSpan w:val="2"/>
                  <w:vAlign w:val="center"/>
                </w:tcPr>
                <w:p>
                  <w:pPr>
                    <w:tabs>
                      <w:tab w:val="left" w:pos="791"/>
                      <w:tab w:val="left" w:pos="792"/>
                    </w:tabs>
                    <w:rPr>
                      <w:rFonts w:hint="default"/>
                      <w:sz w:val="21"/>
                      <w:szCs w:val="21"/>
                    </w:rPr>
                  </w:pPr>
                  <w:r>
                    <w:rPr>
                      <w:rFonts w:hint="default"/>
                      <w:sz w:val="21"/>
                      <w:szCs w:val="21"/>
                    </w:rPr>
                    <w:t>五、重点用车企业强化监管行动</w:t>
                  </w:r>
                </w:p>
              </w:tc>
              <w:tc>
                <w:tcPr>
                  <w:tcW w:w="3892" w:type="dxa"/>
                  <w:vAlign w:val="center"/>
                </w:tcPr>
                <w:p>
                  <w:pPr>
                    <w:tabs>
                      <w:tab w:val="left" w:pos="791"/>
                      <w:tab w:val="left" w:pos="792"/>
                    </w:tabs>
                    <w:jc w:val="left"/>
                    <w:rPr>
                      <w:rFonts w:hint="default"/>
                      <w:sz w:val="21"/>
                      <w:szCs w:val="21"/>
                    </w:rPr>
                  </w:pPr>
                  <w:r>
                    <w:rPr>
                      <w:rFonts w:hint="default"/>
                      <w:sz w:val="21"/>
                      <w:szCs w:val="21"/>
                    </w:rPr>
                    <w:t>推进重点行业企业清洁运输。火电、煤炭、有色等行业大宗货物清洁方式运输比例达到80％左右；推进建材（含砂石骨料）清洁方式运输。鼓励大型工矿企业开展零排放货物运输车队试点。鼓励工矿企业等用车单位与运输企业（个人）签订合作协议等方式实现清洁运输。企业按照重污染天气重点行业绩效分级技术指南要求，加强运输车辆管控，完善车辆运输记录，实现动态更新。鼓励未列入重点行业绩效分级管控的企业参照开展车辆管理，加大企业自我保障能力。</w:t>
                  </w:r>
                </w:p>
              </w:tc>
              <w:tc>
                <w:tcPr>
                  <w:tcW w:w="2173" w:type="dxa"/>
                  <w:gridSpan w:val="2"/>
                  <w:vAlign w:val="center"/>
                </w:tcPr>
                <w:p>
                  <w:pPr>
                    <w:rPr>
                      <w:rFonts w:hint="default"/>
                      <w:sz w:val="21"/>
                      <w:szCs w:val="21"/>
                    </w:rPr>
                  </w:pPr>
                  <w:r>
                    <w:rPr>
                      <w:rFonts w:hint="default"/>
                      <w:sz w:val="21"/>
                      <w:szCs w:val="21"/>
                    </w:rPr>
                    <w:t>本项目按要求采用清洁方式运输。</w:t>
                  </w:r>
                </w:p>
              </w:tc>
              <w:tc>
                <w:tcPr>
                  <w:tcW w:w="682" w:type="dxa"/>
                  <w:vAlign w:val="center"/>
                </w:tcPr>
                <w:p>
                  <w:pPr>
                    <w:jc w:val="center"/>
                    <w:rPr>
                      <w:rFonts w:hint="default"/>
                      <w:sz w:val="21"/>
                      <w:szCs w:val="21"/>
                    </w:rPr>
                  </w:pPr>
                  <w:r>
                    <w:rPr>
                      <w:rFonts w:hint="default"/>
                      <w:sz w:val="21"/>
                      <w:szCs w:val="21"/>
                    </w:rPr>
                    <w:t>符合</w:t>
                  </w:r>
                </w:p>
              </w:tc>
            </w:tr>
          </w:tbl>
          <w:p>
            <w:pPr>
              <w:keepNext w:val="0"/>
              <w:keepLines w:val="0"/>
              <w:pageBreakBefore w:val="0"/>
              <w:widowControl w:val="0"/>
              <w:kinsoku/>
              <w:wordWrap/>
              <w:overflowPunct/>
              <w:topLinePunct w:val="0"/>
              <w:bidi w:val="0"/>
              <w:spacing w:line="460" w:lineRule="exact"/>
              <w:ind w:firstLine="480" w:firstLineChars="200"/>
              <w:textAlignment w:val="auto"/>
              <w:rPr>
                <w:rFonts w:hint="default"/>
                <w:sz w:val="24"/>
                <w:szCs w:val="24"/>
              </w:rPr>
            </w:pPr>
            <w:r>
              <w:rPr>
                <w:rFonts w:hint="default"/>
                <w:sz w:val="24"/>
                <w:szCs w:val="24"/>
              </w:rPr>
              <w:t>由上表可知，本项目符合《秋冬污染防治攻坚实施方案》中相关要求。</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eastAsia"/>
                <w:sz w:val="24"/>
                <w:szCs w:val="24"/>
              </w:rPr>
            </w:pPr>
            <w:r>
              <w:rPr>
                <w:rFonts w:hint="eastAsia"/>
                <w:sz w:val="24"/>
                <w:szCs w:val="24"/>
                <w:lang w:val="en-US" w:eastAsia="zh-CN"/>
              </w:rPr>
              <w:t>8</w:t>
            </w:r>
            <w:r>
              <w:rPr>
                <w:rFonts w:hint="default"/>
                <w:sz w:val="24"/>
                <w:szCs w:val="24"/>
                <w:lang w:val="en-US" w:eastAsia="zh-CN"/>
              </w:rPr>
              <w:t>、与生态环境部《重污染天气重点行业应急减排措施制定技术指南》（2020年修订版）水泥制品绩效引领性指标对比分析</w:t>
            </w:r>
            <w:r>
              <w:rPr>
                <w:rFonts w:hint="eastAsia"/>
                <w:sz w:val="24"/>
                <w:szCs w:val="24"/>
                <w:lang w:val="en-US" w:eastAsia="zh-CN"/>
              </w:rPr>
              <w:t>及《河南省重污染天气重点行业应急减排措施制定技术指南（2021年修订》相符性分析</w:t>
            </w:r>
          </w:p>
          <w:p>
            <w:pPr>
              <w:keepNext w:val="0"/>
              <w:keepLines w:val="0"/>
              <w:pageBreakBefore w:val="0"/>
              <w:widowControl w:val="0"/>
              <w:kinsoku/>
              <w:wordWrap/>
              <w:overflowPunct/>
              <w:topLinePunct w:val="0"/>
              <w:autoSpaceDE w:val="0"/>
              <w:autoSpaceDN w:val="0"/>
              <w:bidi w:val="0"/>
              <w:adjustRightInd w:val="0"/>
              <w:snapToGrid w:val="0"/>
              <w:spacing w:line="460" w:lineRule="exact"/>
              <w:ind w:firstLine="480" w:firstLineChars="200"/>
              <w:jc w:val="left"/>
              <w:textAlignment w:val="auto"/>
              <w:rPr>
                <w:rFonts w:hint="eastAsia"/>
                <w:sz w:val="24"/>
                <w:szCs w:val="24"/>
              </w:rPr>
            </w:pPr>
            <w:r>
              <w:rPr>
                <w:rFonts w:hint="eastAsia"/>
                <w:sz w:val="24"/>
                <w:szCs w:val="24"/>
              </w:rPr>
              <w:t>根据《重污染天气重点行业应急减排措施指定技术指南（2020年修订版）（ 环办大气函〔2020〕340号）</w:t>
            </w:r>
            <w:r>
              <w:rPr>
                <w:rFonts w:hint="eastAsia"/>
                <w:sz w:val="24"/>
                <w:szCs w:val="24"/>
                <w:lang w:eastAsia="zh-CN"/>
              </w:rPr>
              <w:t>、</w:t>
            </w:r>
            <w:r>
              <w:rPr>
                <w:rFonts w:hint="eastAsia"/>
                <w:sz w:val="24"/>
                <w:szCs w:val="24"/>
              </w:rPr>
              <w:t>《河南省重污染天气重点行业应急减排措施制定技术指南（2021年修订》要求，</w:t>
            </w:r>
            <w:r>
              <w:rPr>
                <w:rFonts w:hint="eastAsia"/>
                <w:sz w:val="24"/>
                <w:szCs w:val="24"/>
                <w:lang w:val="en-US" w:eastAsia="zh-CN"/>
              </w:rPr>
              <w:t>同时</w:t>
            </w:r>
            <w:r>
              <w:rPr>
                <w:rFonts w:hint="eastAsia"/>
                <w:sz w:val="24"/>
                <w:szCs w:val="24"/>
              </w:rPr>
              <w:t>结合本项目的情况，该方案与本项目情况的对比</w:t>
            </w:r>
            <w:r>
              <w:rPr>
                <w:rFonts w:hint="eastAsia"/>
                <w:sz w:val="24"/>
                <w:szCs w:val="24"/>
                <w:lang w:val="en-US" w:eastAsia="zh-CN"/>
              </w:rPr>
              <w:t>如下</w:t>
            </w:r>
            <w:r>
              <w:rPr>
                <w:rFonts w:hint="eastAsia"/>
                <w:sz w:val="24"/>
                <w:szCs w:val="24"/>
              </w:rPr>
              <w:t>。</w:t>
            </w:r>
          </w:p>
          <w:p>
            <w:pPr>
              <w:spacing w:line="440" w:lineRule="exact"/>
              <w:ind w:firstLine="480" w:firstLineChars="200"/>
              <w:textAlignment w:val="baseline"/>
              <w:rPr>
                <w:rFonts w:hint="default"/>
                <w:sz w:val="24"/>
                <w:szCs w:val="24"/>
              </w:rPr>
            </w:pPr>
            <w:r>
              <w:rPr>
                <w:rFonts w:hint="default"/>
                <w:sz w:val="24"/>
                <w:szCs w:val="24"/>
              </w:rPr>
              <w:t>表</w:t>
            </w:r>
            <w:r>
              <w:rPr>
                <w:rFonts w:hint="eastAsia"/>
                <w:sz w:val="24"/>
                <w:szCs w:val="24"/>
                <w:lang w:val="en-US" w:eastAsia="zh-CN"/>
              </w:rPr>
              <w:t>1-</w:t>
            </w:r>
            <w:r>
              <w:rPr>
                <w:rFonts w:hint="default"/>
                <w:sz w:val="24"/>
                <w:szCs w:val="24"/>
              </w:rPr>
              <w:t>7与《</w:t>
            </w:r>
            <w:r>
              <w:rPr>
                <w:rFonts w:hint="default"/>
                <w:sz w:val="24"/>
                <w:szCs w:val="24"/>
                <w:lang w:val="en-US" w:eastAsia="zh-CN"/>
              </w:rPr>
              <w:t>重污染天气重点行业应急减排措施制定技术指南</w:t>
            </w:r>
            <w:r>
              <w:rPr>
                <w:rFonts w:hint="default"/>
                <w:sz w:val="24"/>
                <w:szCs w:val="24"/>
              </w:rPr>
              <w:t>》</w:t>
            </w:r>
            <w:r>
              <w:rPr>
                <w:rFonts w:hint="default"/>
                <w:sz w:val="24"/>
                <w:szCs w:val="24"/>
                <w:lang w:eastAsia="zh-CN"/>
              </w:rPr>
              <w:t>（</w:t>
            </w:r>
            <w:r>
              <w:rPr>
                <w:rFonts w:hint="default"/>
                <w:sz w:val="24"/>
                <w:szCs w:val="24"/>
                <w:lang w:val="en-US" w:eastAsia="zh-CN"/>
              </w:rPr>
              <w:t>2020年修订版</w:t>
            </w:r>
            <w:r>
              <w:rPr>
                <w:rFonts w:hint="default"/>
                <w:sz w:val="24"/>
                <w:szCs w:val="24"/>
                <w:lang w:eastAsia="zh-CN"/>
              </w:rPr>
              <w:t>）</w:t>
            </w:r>
            <w:r>
              <w:rPr>
                <w:rFonts w:hint="default"/>
                <w:sz w:val="24"/>
                <w:szCs w:val="24"/>
                <w:lang w:val="en-US" w:eastAsia="zh-CN"/>
              </w:rPr>
              <w:t>水泥制品绩效引领性指标</w:t>
            </w:r>
            <w:r>
              <w:rPr>
                <w:rFonts w:hint="default"/>
                <w:sz w:val="24"/>
                <w:szCs w:val="24"/>
              </w:rPr>
              <w:t>对比分析一览表</w:t>
            </w:r>
          </w:p>
          <w:tbl>
            <w:tblPr>
              <w:tblStyle w:val="24"/>
              <w:tblW w:w="490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5"/>
              <w:gridCol w:w="2900"/>
              <w:gridCol w:w="2812"/>
              <w:gridCol w:w="940"/>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6" w:hRule="atLeast"/>
              </w:trPr>
              <w:tc>
                <w:tcPr>
                  <w:tcW w:w="1345" w:type="dxa"/>
                  <w:tcBorders>
                    <w:top w:val="single" w:color="auto" w:sz="8" w:space="0"/>
                    <w:left w:val="nil"/>
                    <w:bottom w:val="single" w:color="auto" w:sz="6" w:space="0"/>
                    <w:right w:val="single" w:color="auto" w:sz="6" w:space="0"/>
                  </w:tcBorders>
                  <w:noWrap/>
                  <w:vAlign w:val="center"/>
                </w:tcPr>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引领性指标</w:t>
                  </w:r>
                </w:p>
              </w:tc>
              <w:tc>
                <w:tcPr>
                  <w:tcW w:w="2900" w:type="dxa"/>
                  <w:tcBorders>
                    <w:top w:val="single" w:color="auto" w:sz="8" w:space="0"/>
                    <w:left w:val="nil"/>
                    <w:bottom w:val="single" w:color="auto" w:sz="6" w:space="0"/>
                    <w:right w:val="single" w:color="auto" w:sz="6" w:space="0"/>
                  </w:tcBorders>
                  <w:noWrap/>
                  <w:vAlign w:val="center"/>
                </w:tcPr>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水泥制品</w:t>
                  </w:r>
                </w:p>
              </w:tc>
              <w:tc>
                <w:tcPr>
                  <w:tcW w:w="2812" w:type="dxa"/>
                  <w:tcBorders>
                    <w:top w:val="single" w:color="auto" w:sz="8" w:space="0"/>
                    <w:left w:val="single" w:color="auto" w:sz="6" w:space="0"/>
                    <w:bottom w:val="single" w:color="auto" w:sz="6" w:space="0"/>
                    <w:right w:val="single" w:color="auto" w:sz="6" w:space="0"/>
                  </w:tcBorders>
                  <w:noWrap/>
                  <w:vAlign w:val="center"/>
                </w:tcPr>
                <w:p>
                  <w:pPr>
                    <w:autoSpaceDE w:val="0"/>
                    <w:autoSpaceDN w:val="0"/>
                    <w:adjustRightInd w:val="0"/>
                    <w:snapToGrid w:val="0"/>
                    <w:jc w:val="center"/>
                    <w:rPr>
                      <w:rFonts w:hint="default"/>
                      <w:sz w:val="21"/>
                      <w:szCs w:val="21"/>
                    </w:rPr>
                  </w:pPr>
                  <w:r>
                    <w:rPr>
                      <w:rFonts w:hint="default"/>
                      <w:sz w:val="21"/>
                      <w:szCs w:val="21"/>
                    </w:rPr>
                    <w:t>本项目情况</w:t>
                  </w:r>
                </w:p>
              </w:tc>
              <w:tc>
                <w:tcPr>
                  <w:tcW w:w="940" w:type="dxa"/>
                  <w:tcBorders>
                    <w:top w:val="single" w:color="auto" w:sz="8" w:space="0"/>
                    <w:left w:val="single" w:color="auto" w:sz="6" w:space="0"/>
                    <w:bottom w:val="single" w:color="auto" w:sz="6" w:space="0"/>
                    <w:right w:val="nil"/>
                  </w:tcBorders>
                  <w:noWrap/>
                  <w:vAlign w:val="center"/>
                </w:tcPr>
                <w:p>
                  <w:pPr>
                    <w:autoSpaceDE w:val="0"/>
                    <w:autoSpaceDN w:val="0"/>
                    <w:adjustRightInd w:val="0"/>
                    <w:snapToGrid w:val="0"/>
                    <w:jc w:val="center"/>
                    <w:rPr>
                      <w:rFonts w:hint="default"/>
                      <w:sz w:val="21"/>
                      <w:szCs w:val="21"/>
                    </w:rPr>
                  </w:pPr>
                  <w:r>
                    <w:rPr>
                      <w:rFonts w:hint="default"/>
                      <w:sz w:val="21"/>
                      <w:szCs w:val="21"/>
                    </w:rPr>
                    <w:t>对比</w:t>
                  </w:r>
                </w:p>
                <w:p>
                  <w:pPr>
                    <w:autoSpaceDE w:val="0"/>
                    <w:autoSpaceDN w:val="0"/>
                    <w:adjustRightInd w:val="0"/>
                    <w:snapToGrid w:val="0"/>
                    <w:jc w:val="center"/>
                    <w:rPr>
                      <w:rFonts w:hint="default"/>
                      <w:sz w:val="21"/>
                      <w:szCs w:val="21"/>
                    </w:rPr>
                  </w:pPr>
                  <w:r>
                    <w:rPr>
                      <w:rFonts w:hint="default"/>
                      <w:sz w:val="21"/>
                      <w:szCs w:val="21"/>
                    </w:rPr>
                    <w:t>结果</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45" w:type="dxa"/>
                  <w:tcBorders>
                    <w:top w:val="single" w:color="auto" w:sz="6" w:space="0"/>
                    <w:left w:val="nil"/>
                    <w:bottom w:val="single" w:color="auto" w:sz="6" w:space="0"/>
                    <w:right w:val="single" w:color="auto" w:sz="6" w:space="0"/>
                  </w:tcBorders>
                  <w:noWrap/>
                  <w:vAlign w:val="center"/>
                </w:tcPr>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能源类型</w:t>
                  </w:r>
                </w:p>
              </w:tc>
              <w:tc>
                <w:tcPr>
                  <w:tcW w:w="2900"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napToGrid w:val="0"/>
                    <w:jc w:val="left"/>
                    <w:rPr>
                      <w:rFonts w:hint="default"/>
                      <w:sz w:val="21"/>
                      <w:szCs w:val="21"/>
                    </w:rPr>
                  </w:pPr>
                  <w:r>
                    <w:rPr>
                      <w:rFonts w:hint="default"/>
                      <w:sz w:val="21"/>
                      <w:szCs w:val="21"/>
                    </w:rPr>
                    <w:t>电、外购蒸汽、天然气</w:t>
                  </w:r>
                </w:p>
                <w:p>
                  <w:pPr>
                    <w:autoSpaceDE w:val="0"/>
                    <w:autoSpaceDN w:val="0"/>
                    <w:adjustRightInd w:val="0"/>
                    <w:snapToGrid w:val="0"/>
                    <w:jc w:val="left"/>
                    <w:rPr>
                      <w:rFonts w:hint="default"/>
                      <w:sz w:val="21"/>
                      <w:szCs w:val="21"/>
                    </w:rPr>
                  </w:pPr>
                  <w:r>
                    <w:rPr>
                      <w:rFonts w:hint="default"/>
                      <w:sz w:val="21"/>
                      <w:szCs w:val="21"/>
                    </w:rPr>
                    <w:t>《采用低氮燃烧)</w:t>
                  </w:r>
                </w:p>
              </w:tc>
              <w:tc>
                <w:tcPr>
                  <w:tcW w:w="2812"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napToGrid w:val="0"/>
                    <w:ind w:firstLine="420" w:firstLineChars="200"/>
                    <w:jc w:val="left"/>
                    <w:rPr>
                      <w:rFonts w:hint="default"/>
                      <w:sz w:val="21"/>
                      <w:szCs w:val="21"/>
                    </w:rPr>
                  </w:pPr>
                  <w:r>
                    <w:rPr>
                      <w:rFonts w:hint="default"/>
                      <w:sz w:val="21"/>
                      <w:szCs w:val="21"/>
                    </w:rPr>
                    <w:t>本项目以电为能源</w:t>
                  </w:r>
                </w:p>
              </w:tc>
              <w:tc>
                <w:tcPr>
                  <w:tcW w:w="940" w:type="dxa"/>
                  <w:tcBorders>
                    <w:top w:val="single" w:color="auto" w:sz="6" w:space="0"/>
                    <w:left w:val="single" w:color="auto" w:sz="6" w:space="0"/>
                    <w:bottom w:val="single" w:color="auto" w:sz="6" w:space="0"/>
                    <w:right w:val="nil"/>
                  </w:tcBorders>
                  <w:noWrap/>
                  <w:vAlign w:val="center"/>
                </w:tcPr>
                <w:p>
                  <w:pPr>
                    <w:autoSpaceDE w:val="0"/>
                    <w:autoSpaceDN w:val="0"/>
                    <w:adjustRightInd w:val="0"/>
                    <w:snapToGrid w:val="0"/>
                    <w:jc w:val="center"/>
                    <w:rPr>
                      <w:rFonts w:hint="default"/>
                      <w:sz w:val="21"/>
                      <w:szCs w:val="21"/>
                    </w:rPr>
                  </w:pPr>
                  <w:r>
                    <w:rPr>
                      <w:rFonts w:hint="default"/>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45" w:type="dxa"/>
                  <w:tcBorders>
                    <w:top w:val="single" w:color="auto" w:sz="6" w:space="0"/>
                    <w:left w:val="nil"/>
                    <w:bottom w:val="single" w:color="auto" w:sz="6" w:space="0"/>
                    <w:right w:val="single" w:color="auto" w:sz="6" w:space="0"/>
                  </w:tcBorders>
                  <w:noWrap/>
                  <w:vAlign w:val="center"/>
                </w:tcPr>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排放限值</w:t>
                  </w:r>
                </w:p>
              </w:tc>
              <w:tc>
                <w:tcPr>
                  <w:tcW w:w="2900"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napToGrid w:val="0"/>
                    <w:jc w:val="left"/>
                    <w:rPr>
                      <w:rFonts w:hint="default"/>
                      <w:sz w:val="21"/>
                      <w:szCs w:val="21"/>
                    </w:rPr>
                  </w:pPr>
                  <w:r>
                    <w:rPr>
                      <w:rFonts w:hint="default"/>
                      <w:sz w:val="21"/>
                      <w:szCs w:val="21"/>
                    </w:rPr>
                    <w:t>PM、NOx 排放浓度不高于 10</w:t>
                  </w:r>
                  <w:r>
                    <w:rPr>
                      <w:rFonts w:hint="default"/>
                      <w:sz w:val="21"/>
                      <w:szCs w:val="21"/>
                      <w:lang w:eastAsia="zh-CN"/>
                    </w:rPr>
                    <w:t>、</w:t>
                  </w:r>
                  <w:r>
                    <w:rPr>
                      <w:rFonts w:hint="default"/>
                      <w:sz w:val="21"/>
                      <w:szCs w:val="21"/>
                    </w:rPr>
                    <w:t>100 mg/m</w:t>
                  </w:r>
                  <w:r>
                    <w:rPr>
                      <w:rFonts w:hint="default"/>
                      <w:sz w:val="21"/>
                      <w:szCs w:val="21"/>
                      <w:vertAlign w:val="superscript"/>
                      <w:lang w:val="en-US" w:eastAsia="zh-CN"/>
                    </w:rPr>
                    <w:t>3</w:t>
                  </w:r>
                  <w:r>
                    <w:rPr>
                      <w:rFonts w:hint="default"/>
                      <w:sz w:val="21"/>
                      <w:szCs w:val="21"/>
                    </w:rPr>
                    <w:t>，天然气锅炉或热风炉基准含量8%</w:t>
                  </w:r>
                </w:p>
              </w:tc>
              <w:tc>
                <w:tcPr>
                  <w:tcW w:w="2812"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napToGrid w:val="0"/>
                    <w:jc w:val="center"/>
                    <w:rPr>
                      <w:rFonts w:hint="default"/>
                      <w:sz w:val="21"/>
                      <w:szCs w:val="21"/>
                      <w:lang w:val="en-US" w:eastAsia="zh-CN"/>
                    </w:rPr>
                  </w:pPr>
                  <w:r>
                    <w:rPr>
                      <w:rFonts w:hint="default"/>
                      <w:sz w:val="21"/>
                      <w:szCs w:val="21"/>
                    </w:rPr>
                    <w:t>本项目产生的粉尘采用</w:t>
                  </w:r>
                  <w:r>
                    <w:rPr>
                      <w:rFonts w:hint="eastAsia"/>
                      <w:sz w:val="21"/>
                      <w:szCs w:val="21"/>
                      <w:lang w:val="en-US" w:eastAsia="zh-CN"/>
                    </w:rPr>
                    <w:t>脉冲</w:t>
                  </w:r>
                  <w:r>
                    <w:rPr>
                      <w:rFonts w:hint="default"/>
                      <w:sz w:val="21"/>
                      <w:szCs w:val="21"/>
                    </w:rPr>
                    <w:t>袋式除尘器治理粉尘</w:t>
                  </w:r>
                  <w:r>
                    <w:rPr>
                      <w:rFonts w:hint="default"/>
                      <w:sz w:val="21"/>
                      <w:szCs w:val="21"/>
                      <w:lang w:eastAsia="zh-CN"/>
                    </w:rPr>
                    <w:t>，</w:t>
                  </w:r>
                  <w:r>
                    <w:rPr>
                      <w:rFonts w:hint="default"/>
                      <w:sz w:val="21"/>
                      <w:szCs w:val="21"/>
                      <w:lang w:val="en-US" w:eastAsia="zh-CN"/>
                    </w:rPr>
                    <w:t>颗粒物排放浓度不高于10</w:t>
                  </w:r>
                  <w:r>
                    <w:rPr>
                      <w:rFonts w:hint="default"/>
                      <w:sz w:val="21"/>
                      <w:szCs w:val="21"/>
                    </w:rPr>
                    <w:t>mg/m</w:t>
                  </w:r>
                  <w:r>
                    <w:rPr>
                      <w:rFonts w:hint="default"/>
                      <w:sz w:val="21"/>
                      <w:szCs w:val="21"/>
                      <w:vertAlign w:val="superscript"/>
                      <w:lang w:val="en-US" w:eastAsia="zh-CN"/>
                    </w:rPr>
                    <w:t>3</w:t>
                  </w:r>
                  <w:r>
                    <w:rPr>
                      <w:rFonts w:hint="default"/>
                      <w:sz w:val="21"/>
                      <w:szCs w:val="21"/>
                      <w:lang w:val="en-US" w:eastAsia="zh-CN"/>
                    </w:rPr>
                    <w:t>。</w:t>
                  </w:r>
                </w:p>
              </w:tc>
              <w:tc>
                <w:tcPr>
                  <w:tcW w:w="940" w:type="dxa"/>
                  <w:tcBorders>
                    <w:top w:val="single" w:color="auto" w:sz="6" w:space="0"/>
                    <w:left w:val="single" w:color="auto" w:sz="6" w:space="0"/>
                    <w:bottom w:val="single" w:color="auto" w:sz="6" w:space="0"/>
                    <w:right w:val="nil"/>
                  </w:tcBorders>
                  <w:noWrap/>
                  <w:vAlign w:val="center"/>
                </w:tcPr>
                <w:p>
                  <w:pPr>
                    <w:autoSpaceDE w:val="0"/>
                    <w:autoSpaceDN w:val="0"/>
                    <w:adjustRightInd w:val="0"/>
                    <w:snapToGrid w:val="0"/>
                    <w:jc w:val="center"/>
                    <w:rPr>
                      <w:rFonts w:hint="default"/>
                      <w:sz w:val="21"/>
                      <w:szCs w:val="21"/>
                    </w:rPr>
                  </w:pPr>
                  <w:r>
                    <w:rPr>
                      <w:rFonts w:hint="default"/>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5" w:hRule="atLeast"/>
              </w:trPr>
              <w:tc>
                <w:tcPr>
                  <w:tcW w:w="1345" w:type="dxa"/>
                  <w:tcBorders>
                    <w:top w:val="single" w:color="auto" w:sz="6" w:space="0"/>
                    <w:left w:val="nil"/>
                    <w:right w:val="single" w:color="auto" w:sz="6" w:space="0"/>
                  </w:tcBorders>
                  <w:noWrap/>
                  <w:vAlign w:val="center"/>
                </w:tcPr>
                <w:p>
                  <w:pPr>
                    <w:autoSpaceDE w:val="0"/>
                    <w:autoSpaceDN w:val="0"/>
                    <w:adjustRightInd w:val="0"/>
                    <w:snapToGrid w:val="0"/>
                    <w:jc w:val="center"/>
                    <w:rPr>
                      <w:rFonts w:hint="default"/>
                      <w:sz w:val="21"/>
                      <w:szCs w:val="21"/>
                    </w:rPr>
                  </w:pPr>
                  <w:r>
                    <w:rPr>
                      <w:rFonts w:hint="default"/>
                      <w:sz w:val="21"/>
                      <w:szCs w:val="21"/>
                    </w:rPr>
                    <w:t>无</w:t>
                  </w:r>
                </w:p>
                <w:p>
                  <w:pPr>
                    <w:autoSpaceDE w:val="0"/>
                    <w:autoSpaceDN w:val="0"/>
                    <w:adjustRightInd w:val="0"/>
                    <w:snapToGrid w:val="0"/>
                    <w:jc w:val="center"/>
                    <w:rPr>
                      <w:rFonts w:hint="default"/>
                      <w:sz w:val="21"/>
                      <w:szCs w:val="21"/>
                    </w:rPr>
                  </w:pPr>
                  <w:r>
                    <w:rPr>
                      <w:rFonts w:hint="default"/>
                      <w:sz w:val="21"/>
                      <w:szCs w:val="21"/>
                    </w:rPr>
                    <w:t>组</w:t>
                  </w:r>
                </w:p>
                <w:p>
                  <w:pPr>
                    <w:autoSpaceDE w:val="0"/>
                    <w:autoSpaceDN w:val="0"/>
                    <w:adjustRightInd w:val="0"/>
                    <w:snapToGrid w:val="0"/>
                    <w:jc w:val="center"/>
                    <w:rPr>
                      <w:rFonts w:hint="default"/>
                      <w:sz w:val="21"/>
                      <w:szCs w:val="21"/>
                    </w:rPr>
                  </w:pPr>
                  <w:r>
                    <w:rPr>
                      <w:rFonts w:hint="default"/>
                      <w:sz w:val="21"/>
                      <w:szCs w:val="21"/>
                    </w:rPr>
                    <w:t>织</w:t>
                  </w:r>
                </w:p>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排</w:t>
                  </w:r>
                </w:p>
                <w:p>
                  <w:pPr>
                    <w:autoSpaceDE w:val="0"/>
                    <w:autoSpaceDN w:val="0"/>
                    <w:adjustRightInd w:val="0"/>
                    <w:snapToGrid w:val="0"/>
                    <w:jc w:val="center"/>
                    <w:rPr>
                      <w:rFonts w:hint="default"/>
                      <w:sz w:val="21"/>
                      <w:szCs w:val="21"/>
                      <w:lang w:eastAsia="zh-CN"/>
                    </w:rPr>
                  </w:pPr>
                  <w:r>
                    <w:rPr>
                      <w:rFonts w:hint="default"/>
                      <w:sz w:val="21"/>
                      <w:szCs w:val="21"/>
                      <w:lang w:val="en-US" w:eastAsia="zh-CN"/>
                    </w:rPr>
                    <w:t>放</w:t>
                  </w:r>
                </w:p>
              </w:tc>
              <w:tc>
                <w:tcPr>
                  <w:tcW w:w="2900" w:type="dxa"/>
                  <w:tcBorders>
                    <w:top w:val="single" w:color="auto" w:sz="6" w:space="0"/>
                    <w:left w:val="single" w:color="auto" w:sz="6" w:space="0"/>
                    <w:right w:val="single" w:color="auto" w:sz="6" w:space="0"/>
                  </w:tcBorders>
                  <w:noWrap/>
                  <w:vAlign w:val="center"/>
                </w:tcPr>
                <w:p>
                  <w:pPr>
                    <w:autoSpaceDE w:val="0"/>
                    <w:autoSpaceDN w:val="0"/>
                    <w:adjustRightInd w:val="0"/>
                    <w:snapToGrid w:val="0"/>
                    <w:jc w:val="left"/>
                    <w:rPr>
                      <w:rFonts w:hint="default"/>
                      <w:sz w:val="21"/>
                      <w:szCs w:val="21"/>
                      <w:lang w:eastAsia="zh-CN"/>
                    </w:rPr>
                  </w:pPr>
                  <w:r>
                    <w:rPr>
                      <w:rFonts w:hint="default"/>
                      <w:sz w:val="21"/>
                      <w:szCs w:val="21"/>
                    </w:rPr>
                    <w:t>1、粉状物料全部密闭储存</w:t>
                  </w:r>
                  <w:r>
                    <w:rPr>
                      <w:rFonts w:hint="default"/>
                      <w:sz w:val="21"/>
                      <w:szCs w:val="21"/>
                      <w:lang w:eastAsia="zh-CN"/>
                    </w:rPr>
                    <w:t>；</w:t>
                  </w:r>
                </w:p>
                <w:p>
                  <w:pPr>
                    <w:autoSpaceDE w:val="0"/>
                    <w:autoSpaceDN w:val="0"/>
                    <w:adjustRightInd w:val="0"/>
                    <w:snapToGrid w:val="0"/>
                    <w:jc w:val="left"/>
                    <w:rPr>
                      <w:rFonts w:hint="default"/>
                      <w:sz w:val="21"/>
                      <w:szCs w:val="21"/>
                    </w:rPr>
                  </w:pPr>
                  <w:r>
                    <w:rPr>
                      <w:rFonts w:hint="default"/>
                      <w:sz w:val="21"/>
                      <w:szCs w:val="21"/>
                    </w:rPr>
                    <w:t>2、物料采用封闭式皮带、斗提、斜槽运输，各物料破碎、转载、下料口设置集尘罩并配置袋式除尘器，库顶等泄压口配备袋式除尘器。</w:t>
                  </w:r>
                </w:p>
                <w:p>
                  <w:pPr>
                    <w:autoSpaceDE w:val="0"/>
                    <w:autoSpaceDN w:val="0"/>
                    <w:adjustRightInd w:val="0"/>
                    <w:snapToGrid w:val="0"/>
                    <w:jc w:val="left"/>
                    <w:rPr>
                      <w:rFonts w:hint="default"/>
                      <w:sz w:val="21"/>
                      <w:szCs w:val="21"/>
                      <w:lang w:eastAsia="zh-CN"/>
                    </w:rPr>
                  </w:pPr>
                  <w:r>
                    <w:rPr>
                      <w:rFonts w:hint="default"/>
                      <w:sz w:val="21"/>
                      <w:szCs w:val="21"/>
                    </w:rPr>
                    <w:t>3、料</w:t>
                  </w:r>
                  <w:r>
                    <w:rPr>
                      <w:rFonts w:hint="default"/>
                      <w:sz w:val="21"/>
                      <w:szCs w:val="21"/>
                      <w:lang w:val="en-US" w:eastAsia="zh-CN"/>
                    </w:rPr>
                    <w:t>棚</w:t>
                  </w:r>
                  <w:r>
                    <w:rPr>
                      <w:rFonts w:hint="default"/>
                      <w:sz w:val="21"/>
                      <w:szCs w:val="21"/>
                    </w:rPr>
                    <w:t>配备喷雾抑尘设施或物料全部封闭储存，出入口配备自动门，水泥包装车间全封闭，袋装水泥装车点位采用集中通风除尘系统，水泥散装采用密闭罐车，并配备带抽风口的散装卸料器</w:t>
                  </w:r>
                  <w:r>
                    <w:rPr>
                      <w:rFonts w:hint="default"/>
                      <w:sz w:val="21"/>
                      <w:szCs w:val="21"/>
                      <w:lang w:eastAsia="zh-CN"/>
                    </w:rPr>
                    <w:t>。</w:t>
                  </w:r>
                </w:p>
              </w:tc>
              <w:tc>
                <w:tcPr>
                  <w:tcW w:w="2812" w:type="dxa"/>
                  <w:tcBorders>
                    <w:top w:val="single" w:color="auto" w:sz="6" w:space="0"/>
                    <w:left w:val="single" w:color="auto" w:sz="6" w:space="0"/>
                    <w:right w:val="single" w:color="auto" w:sz="6" w:space="0"/>
                  </w:tcBorders>
                  <w:noWrap/>
                  <w:vAlign w:val="center"/>
                </w:tcPr>
                <w:p>
                  <w:pPr>
                    <w:autoSpaceDE w:val="0"/>
                    <w:autoSpaceDN w:val="0"/>
                    <w:adjustRightInd w:val="0"/>
                    <w:snapToGrid w:val="0"/>
                    <w:jc w:val="left"/>
                    <w:rPr>
                      <w:rFonts w:hint="default"/>
                      <w:sz w:val="21"/>
                      <w:szCs w:val="21"/>
                    </w:rPr>
                  </w:pPr>
                  <w:r>
                    <w:rPr>
                      <w:rFonts w:hint="default"/>
                      <w:sz w:val="21"/>
                      <w:szCs w:val="21"/>
                    </w:rPr>
                    <w:t>1.本项目</w:t>
                  </w:r>
                  <w:r>
                    <w:rPr>
                      <w:rFonts w:hint="default"/>
                      <w:sz w:val="21"/>
                      <w:szCs w:val="21"/>
                      <w:lang w:val="en-US" w:eastAsia="zh-CN"/>
                    </w:rPr>
                    <w:t>粉煤灰等粉状原料在筒仓内贮存</w:t>
                  </w:r>
                  <w:r>
                    <w:rPr>
                      <w:rFonts w:hint="default"/>
                      <w:sz w:val="21"/>
                      <w:szCs w:val="21"/>
                    </w:rPr>
                    <w:t>；</w:t>
                  </w:r>
                </w:p>
                <w:p>
                  <w:pPr>
                    <w:autoSpaceDE w:val="0"/>
                    <w:autoSpaceDN w:val="0"/>
                    <w:adjustRightInd w:val="0"/>
                    <w:snapToGrid w:val="0"/>
                    <w:jc w:val="left"/>
                    <w:rPr>
                      <w:rFonts w:hint="default"/>
                      <w:sz w:val="21"/>
                      <w:szCs w:val="21"/>
                    </w:rPr>
                  </w:pPr>
                  <w:r>
                    <w:rPr>
                      <w:rFonts w:hint="default"/>
                      <w:sz w:val="21"/>
                      <w:szCs w:val="21"/>
                    </w:rPr>
                    <w:t>2.粉状物料采用密闭皮带输送</w:t>
                  </w:r>
                  <w:r>
                    <w:rPr>
                      <w:rFonts w:hint="default"/>
                      <w:sz w:val="21"/>
                      <w:szCs w:val="21"/>
                      <w:lang w:eastAsia="zh-CN"/>
                    </w:rPr>
                    <w:t>，</w:t>
                  </w:r>
                  <w:r>
                    <w:rPr>
                      <w:rFonts w:hint="default"/>
                      <w:sz w:val="21"/>
                      <w:szCs w:val="21"/>
                      <w:lang w:val="en-US" w:eastAsia="zh-CN"/>
                    </w:rPr>
                    <w:t>原料在下料口设置集尘罩并配置除尘器，筒仓</w:t>
                  </w:r>
                  <w:r>
                    <w:rPr>
                      <w:rFonts w:hint="default"/>
                      <w:sz w:val="21"/>
                      <w:szCs w:val="21"/>
                    </w:rPr>
                    <w:t>库顶泄压口配备袋式除尘器。</w:t>
                  </w:r>
                </w:p>
                <w:p>
                  <w:pPr>
                    <w:autoSpaceDE w:val="0"/>
                    <w:autoSpaceDN w:val="0"/>
                    <w:adjustRightInd w:val="0"/>
                    <w:snapToGrid w:val="0"/>
                    <w:jc w:val="left"/>
                    <w:rPr>
                      <w:rFonts w:hint="default"/>
                      <w:sz w:val="21"/>
                      <w:szCs w:val="21"/>
                    </w:rPr>
                  </w:pPr>
                  <w:r>
                    <w:rPr>
                      <w:rFonts w:hint="default"/>
                      <w:sz w:val="21"/>
                      <w:szCs w:val="21"/>
                      <w:lang w:val="en-US" w:eastAsia="zh-CN"/>
                    </w:rPr>
                    <w:t>3</w:t>
                  </w:r>
                  <w:r>
                    <w:rPr>
                      <w:rFonts w:hint="default"/>
                      <w:sz w:val="21"/>
                      <w:szCs w:val="21"/>
                    </w:rPr>
                    <w:t>.</w:t>
                  </w:r>
                  <w:r>
                    <w:rPr>
                      <w:rFonts w:hint="eastAsia"/>
                      <w:sz w:val="21"/>
                      <w:szCs w:val="21"/>
                      <w:lang w:val="en-US" w:eastAsia="zh-CN"/>
                    </w:rPr>
                    <w:t>原料仓库</w:t>
                  </w:r>
                  <w:r>
                    <w:rPr>
                      <w:rFonts w:hint="default"/>
                      <w:sz w:val="21"/>
                      <w:szCs w:val="21"/>
                    </w:rPr>
                    <w:t>配备喷雾抑尘设施物料全部封闭储存，</w:t>
                  </w:r>
                  <w:r>
                    <w:rPr>
                      <w:rFonts w:hint="default"/>
                      <w:sz w:val="21"/>
                      <w:szCs w:val="21"/>
                      <w:lang w:val="en-US" w:eastAsia="zh-CN"/>
                    </w:rPr>
                    <w:t>料库</w:t>
                  </w:r>
                  <w:r>
                    <w:rPr>
                      <w:rFonts w:hint="default"/>
                      <w:sz w:val="21"/>
                      <w:szCs w:val="21"/>
                    </w:rPr>
                    <w:t>进出大门为自动感应门，所有门窗保持常闭状态</w:t>
                  </w:r>
                  <w:r>
                    <w:rPr>
                      <w:rFonts w:hint="default"/>
                      <w:sz w:val="21"/>
                      <w:szCs w:val="21"/>
                      <w:lang w:eastAsia="zh-CN"/>
                    </w:rPr>
                    <w:t>，</w:t>
                  </w:r>
                  <w:r>
                    <w:rPr>
                      <w:rFonts w:hint="default"/>
                      <w:sz w:val="21"/>
                      <w:szCs w:val="21"/>
                      <w:lang w:val="en-US" w:eastAsia="zh-CN"/>
                    </w:rPr>
                    <w:t>项目不涉及水泥包装工序</w:t>
                  </w:r>
                  <w:r>
                    <w:rPr>
                      <w:rFonts w:hint="default"/>
                      <w:sz w:val="21"/>
                      <w:szCs w:val="21"/>
                    </w:rPr>
                    <w:t>；</w:t>
                  </w:r>
                </w:p>
              </w:tc>
              <w:tc>
                <w:tcPr>
                  <w:tcW w:w="940" w:type="dxa"/>
                  <w:tcBorders>
                    <w:top w:val="single" w:color="auto" w:sz="6" w:space="0"/>
                    <w:left w:val="single" w:color="auto" w:sz="6" w:space="0"/>
                    <w:bottom w:val="single" w:color="auto" w:sz="6" w:space="0"/>
                    <w:right w:val="nil"/>
                  </w:tcBorders>
                  <w:noWrap/>
                  <w:vAlign w:val="center"/>
                </w:tcPr>
                <w:p>
                  <w:pPr>
                    <w:autoSpaceDE w:val="0"/>
                    <w:autoSpaceDN w:val="0"/>
                    <w:adjustRightInd w:val="0"/>
                    <w:snapToGrid w:val="0"/>
                    <w:jc w:val="center"/>
                    <w:rPr>
                      <w:rFonts w:hint="default"/>
                      <w:sz w:val="21"/>
                      <w:szCs w:val="21"/>
                    </w:rPr>
                  </w:pPr>
                  <w:r>
                    <w:rPr>
                      <w:rFonts w:hint="default"/>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45" w:type="dxa"/>
                  <w:tcBorders>
                    <w:top w:val="single" w:color="auto" w:sz="6" w:space="0"/>
                    <w:left w:val="nil"/>
                    <w:bottom w:val="single" w:color="auto" w:sz="6" w:space="0"/>
                    <w:right w:val="single" w:color="auto" w:sz="6" w:space="0"/>
                  </w:tcBorders>
                  <w:noWrap/>
                  <w:vAlign w:val="center"/>
                </w:tcPr>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监</w:t>
                  </w:r>
                </w:p>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测</w:t>
                  </w:r>
                </w:p>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监</w:t>
                  </w:r>
                </w:p>
                <w:p>
                  <w:pPr>
                    <w:autoSpaceDE w:val="0"/>
                    <w:autoSpaceDN w:val="0"/>
                    <w:adjustRightInd w:val="0"/>
                    <w:snapToGrid w:val="0"/>
                    <w:ind w:firstLine="420" w:firstLineChars="200"/>
                    <w:jc w:val="both"/>
                    <w:rPr>
                      <w:rFonts w:hint="default"/>
                      <w:sz w:val="21"/>
                      <w:szCs w:val="21"/>
                      <w:lang w:val="en-US" w:eastAsia="zh-CN"/>
                    </w:rPr>
                  </w:pPr>
                  <w:r>
                    <w:rPr>
                      <w:rFonts w:hint="default"/>
                      <w:sz w:val="21"/>
                      <w:szCs w:val="21"/>
                      <w:lang w:val="en-US" w:eastAsia="zh-CN"/>
                    </w:rPr>
                    <w:t>控</w:t>
                  </w:r>
                </w:p>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水</w:t>
                  </w:r>
                </w:p>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平</w:t>
                  </w:r>
                </w:p>
              </w:tc>
              <w:tc>
                <w:tcPr>
                  <w:tcW w:w="2900"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napToGrid w:val="0"/>
                    <w:jc w:val="left"/>
                    <w:rPr>
                      <w:rFonts w:hint="default"/>
                      <w:sz w:val="21"/>
                      <w:szCs w:val="21"/>
                      <w:lang w:eastAsia="zh-CN"/>
                    </w:rPr>
                  </w:pPr>
                  <w:r>
                    <w:rPr>
                      <w:rFonts w:hint="default"/>
                      <w:sz w:val="21"/>
                      <w:szCs w:val="21"/>
                    </w:rPr>
                    <w:t>重点排污企业水泥磨和独立烘</w:t>
                  </w:r>
                  <w:r>
                    <w:rPr>
                      <w:rFonts w:hint="eastAsia"/>
                      <w:sz w:val="21"/>
                      <w:szCs w:val="21"/>
                      <w:lang w:val="en-US" w:eastAsia="zh-CN"/>
                    </w:rPr>
                    <w:t>干</w:t>
                  </w:r>
                  <w:r>
                    <w:rPr>
                      <w:rFonts w:hint="default"/>
                      <w:sz w:val="21"/>
                      <w:szCs w:val="21"/>
                    </w:rPr>
                    <w:t>系统安装CEMS，CEMS 监控数据保存一年以上。料场出入口等易产尘点，安装高清视频监控设施，视频监控数据保存三个月以上</w:t>
                  </w:r>
                  <w:r>
                    <w:rPr>
                      <w:rFonts w:hint="default"/>
                      <w:sz w:val="21"/>
                      <w:szCs w:val="21"/>
                      <w:lang w:eastAsia="zh-CN"/>
                    </w:rPr>
                    <w:t>。</w:t>
                  </w:r>
                </w:p>
              </w:tc>
              <w:tc>
                <w:tcPr>
                  <w:tcW w:w="2812"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napToGrid w:val="0"/>
                    <w:jc w:val="center"/>
                    <w:rPr>
                      <w:rFonts w:hint="default"/>
                      <w:sz w:val="21"/>
                      <w:szCs w:val="21"/>
                      <w:lang w:val="en-US" w:eastAsia="zh-CN"/>
                    </w:rPr>
                  </w:pPr>
                  <w:r>
                    <w:rPr>
                      <w:rFonts w:hint="eastAsia"/>
                      <w:sz w:val="21"/>
                      <w:szCs w:val="21"/>
                      <w:lang w:val="en-US" w:eastAsia="zh-CN"/>
                    </w:rPr>
                    <w:t>本项目</w:t>
                  </w:r>
                  <w:r>
                    <w:rPr>
                      <w:rFonts w:hint="default"/>
                      <w:sz w:val="21"/>
                      <w:szCs w:val="21"/>
                      <w:lang w:val="en-US" w:eastAsia="zh-CN"/>
                    </w:rPr>
                    <w:t>不涉及水泥磨和烘干系统</w:t>
                  </w:r>
                  <w:r>
                    <w:rPr>
                      <w:rFonts w:hint="eastAsia"/>
                      <w:sz w:val="21"/>
                      <w:szCs w:val="21"/>
                      <w:lang w:val="en-US" w:eastAsia="zh-CN"/>
                    </w:rPr>
                    <w:t>；</w:t>
                  </w:r>
                  <w:r>
                    <w:rPr>
                      <w:rFonts w:hint="default"/>
                      <w:sz w:val="21"/>
                      <w:szCs w:val="21"/>
                      <w:lang w:val="en-US" w:eastAsia="zh-CN"/>
                    </w:rPr>
                    <w:t>项目原料</w:t>
                  </w:r>
                  <w:r>
                    <w:rPr>
                      <w:rFonts w:hint="eastAsia"/>
                      <w:sz w:val="21"/>
                      <w:szCs w:val="21"/>
                      <w:lang w:val="en-US" w:eastAsia="zh-CN"/>
                    </w:rPr>
                    <w:t>仓</w:t>
                  </w:r>
                  <w:r>
                    <w:rPr>
                      <w:rFonts w:hint="default"/>
                      <w:sz w:val="21"/>
                      <w:szCs w:val="21"/>
                      <w:lang w:val="en-US" w:eastAsia="zh-CN"/>
                    </w:rPr>
                    <w:t>出入口将按要求安装视频监控设施，且数据保存三个月以上。</w:t>
                  </w:r>
                </w:p>
              </w:tc>
              <w:tc>
                <w:tcPr>
                  <w:tcW w:w="940" w:type="dxa"/>
                  <w:tcBorders>
                    <w:top w:val="single" w:color="auto" w:sz="6" w:space="0"/>
                    <w:left w:val="single" w:color="auto" w:sz="6" w:space="0"/>
                    <w:bottom w:val="single" w:color="auto" w:sz="6" w:space="0"/>
                    <w:right w:val="nil"/>
                  </w:tcBorders>
                  <w:noWrap/>
                  <w:vAlign w:val="center"/>
                </w:tcPr>
                <w:p>
                  <w:pPr>
                    <w:autoSpaceDE w:val="0"/>
                    <w:autoSpaceDN w:val="0"/>
                    <w:adjustRightInd w:val="0"/>
                    <w:snapToGrid w:val="0"/>
                    <w:jc w:val="center"/>
                    <w:rPr>
                      <w:rFonts w:hint="default"/>
                      <w:sz w:val="21"/>
                      <w:szCs w:val="21"/>
                    </w:rPr>
                  </w:pPr>
                  <w:r>
                    <w:rPr>
                      <w:rFonts w:hint="default"/>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45" w:type="dxa"/>
                  <w:tcBorders>
                    <w:top w:val="single" w:color="auto" w:sz="6" w:space="0"/>
                    <w:left w:val="nil"/>
                    <w:bottom w:val="single" w:color="auto" w:sz="6" w:space="0"/>
                    <w:right w:val="single" w:color="auto" w:sz="6" w:space="0"/>
                  </w:tcBorders>
                  <w:noWrap/>
                  <w:vAlign w:val="center"/>
                </w:tcPr>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环</w:t>
                  </w:r>
                </w:p>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境</w:t>
                  </w:r>
                </w:p>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管</w:t>
                  </w:r>
                </w:p>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理</w:t>
                  </w:r>
                </w:p>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水</w:t>
                  </w:r>
                </w:p>
                <w:p>
                  <w:pPr>
                    <w:autoSpaceDE w:val="0"/>
                    <w:autoSpaceDN w:val="0"/>
                    <w:adjustRightInd w:val="0"/>
                    <w:snapToGrid w:val="0"/>
                    <w:jc w:val="center"/>
                    <w:rPr>
                      <w:rFonts w:hint="default"/>
                      <w:sz w:val="21"/>
                      <w:szCs w:val="21"/>
                      <w:lang w:val="en-US" w:eastAsia="zh-CN"/>
                    </w:rPr>
                  </w:pPr>
                  <w:r>
                    <w:rPr>
                      <w:rFonts w:hint="default"/>
                      <w:sz w:val="21"/>
                      <w:szCs w:val="21"/>
                      <w:lang w:val="en-US" w:eastAsia="zh-CN"/>
                    </w:rPr>
                    <w:t>平</w:t>
                  </w:r>
                </w:p>
              </w:tc>
              <w:tc>
                <w:tcPr>
                  <w:tcW w:w="2900"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napToGrid w:val="0"/>
                    <w:jc w:val="left"/>
                    <w:rPr>
                      <w:rFonts w:hint="default"/>
                      <w:sz w:val="21"/>
                      <w:szCs w:val="21"/>
                      <w:lang w:eastAsia="zh-CN"/>
                    </w:rPr>
                  </w:pPr>
                  <w:r>
                    <w:rPr>
                      <w:rFonts w:hint="default"/>
                      <w:sz w:val="21"/>
                      <w:szCs w:val="21"/>
                    </w:rPr>
                    <w:t>环保档案齐全</w:t>
                  </w:r>
                  <w:r>
                    <w:rPr>
                      <w:rFonts w:hint="default"/>
                      <w:sz w:val="21"/>
                      <w:szCs w:val="21"/>
                      <w:lang w:eastAsia="zh-CN"/>
                    </w:rPr>
                    <w:t>：</w:t>
                  </w:r>
                </w:p>
                <w:p>
                  <w:pPr>
                    <w:numPr>
                      <w:ilvl w:val="0"/>
                      <w:numId w:val="2"/>
                    </w:numPr>
                    <w:autoSpaceDE w:val="0"/>
                    <w:autoSpaceDN w:val="0"/>
                    <w:adjustRightInd w:val="0"/>
                    <w:snapToGrid w:val="0"/>
                    <w:jc w:val="left"/>
                    <w:rPr>
                      <w:rFonts w:hint="default"/>
                      <w:sz w:val="21"/>
                      <w:szCs w:val="21"/>
                    </w:rPr>
                  </w:pPr>
                  <w:r>
                    <w:rPr>
                      <w:rFonts w:hint="default"/>
                      <w:sz w:val="21"/>
                      <w:szCs w:val="21"/>
                    </w:rPr>
                    <w:t>环评批复文件</w:t>
                  </w:r>
                  <w:r>
                    <w:rPr>
                      <w:rFonts w:hint="default"/>
                      <w:sz w:val="21"/>
                      <w:szCs w:val="21"/>
                      <w:lang w:eastAsia="zh-CN"/>
                    </w:rPr>
                    <w:t>。</w:t>
                  </w:r>
                </w:p>
                <w:p>
                  <w:pPr>
                    <w:numPr>
                      <w:ilvl w:val="0"/>
                      <w:numId w:val="2"/>
                    </w:numPr>
                    <w:autoSpaceDE w:val="0"/>
                    <w:autoSpaceDN w:val="0"/>
                    <w:adjustRightInd w:val="0"/>
                    <w:snapToGrid w:val="0"/>
                    <w:ind w:left="0" w:leftChars="0" w:firstLine="0" w:firstLineChars="0"/>
                    <w:jc w:val="left"/>
                    <w:rPr>
                      <w:rFonts w:hint="default"/>
                      <w:sz w:val="21"/>
                      <w:szCs w:val="21"/>
                    </w:rPr>
                  </w:pPr>
                  <w:r>
                    <w:rPr>
                      <w:rFonts w:hint="default"/>
                      <w:sz w:val="21"/>
                      <w:szCs w:val="21"/>
                    </w:rPr>
                    <w:t>排污许可证及季度、年度执行报告</w:t>
                  </w:r>
                  <w:r>
                    <w:rPr>
                      <w:rFonts w:hint="default"/>
                      <w:sz w:val="21"/>
                      <w:szCs w:val="21"/>
                      <w:lang w:eastAsia="zh-CN"/>
                    </w:rPr>
                    <w:t>。</w:t>
                  </w:r>
                </w:p>
                <w:p>
                  <w:pPr>
                    <w:numPr>
                      <w:ilvl w:val="0"/>
                      <w:numId w:val="2"/>
                    </w:numPr>
                    <w:autoSpaceDE w:val="0"/>
                    <w:autoSpaceDN w:val="0"/>
                    <w:adjustRightInd w:val="0"/>
                    <w:snapToGrid w:val="0"/>
                    <w:ind w:left="0" w:leftChars="0" w:firstLine="0" w:firstLineChars="0"/>
                    <w:jc w:val="left"/>
                    <w:rPr>
                      <w:rFonts w:hint="default"/>
                      <w:sz w:val="21"/>
                      <w:szCs w:val="21"/>
                      <w:lang w:eastAsia="zh-CN"/>
                    </w:rPr>
                  </w:pPr>
                  <w:r>
                    <w:rPr>
                      <w:rFonts w:hint="default"/>
                      <w:sz w:val="21"/>
                      <w:szCs w:val="21"/>
                    </w:rPr>
                    <w:t>竣工验收文件</w:t>
                  </w:r>
                  <w:r>
                    <w:rPr>
                      <w:rFonts w:hint="default"/>
                      <w:sz w:val="21"/>
                      <w:szCs w:val="21"/>
                      <w:lang w:eastAsia="zh-CN"/>
                    </w:rPr>
                    <w:t>。</w:t>
                  </w:r>
                </w:p>
                <w:p>
                  <w:pPr>
                    <w:numPr>
                      <w:ilvl w:val="0"/>
                      <w:numId w:val="2"/>
                    </w:numPr>
                    <w:autoSpaceDE w:val="0"/>
                    <w:autoSpaceDN w:val="0"/>
                    <w:adjustRightInd w:val="0"/>
                    <w:snapToGrid w:val="0"/>
                    <w:ind w:left="0" w:leftChars="0" w:firstLine="0" w:firstLineChars="0"/>
                    <w:jc w:val="left"/>
                    <w:rPr>
                      <w:rFonts w:hint="default"/>
                      <w:sz w:val="21"/>
                      <w:szCs w:val="21"/>
                      <w:lang w:eastAsia="zh-CN"/>
                    </w:rPr>
                  </w:pPr>
                  <w:r>
                    <w:rPr>
                      <w:rFonts w:hint="default"/>
                      <w:sz w:val="21"/>
                      <w:szCs w:val="21"/>
                    </w:rPr>
                    <w:t>一年内废气检测报告</w:t>
                  </w:r>
                </w:p>
                <w:p>
                  <w:pPr>
                    <w:numPr>
                      <w:ilvl w:val="0"/>
                      <w:numId w:val="0"/>
                    </w:numPr>
                    <w:autoSpaceDE w:val="0"/>
                    <w:autoSpaceDN w:val="0"/>
                    <w:adjustRightInd w:val="0"/>
                    <w:snapToGrid w:val="0"/>
                    <w:ind w:leftChars="0"/>
                    <w:jc w:val="left"/>
                    <w:rPr>
                      <w:rFonts w:hint="default"/>
                      <w:sz w:val="21"/>
                      <w:szCs w:val="21"/>
                      <w:lang w:eastAsia="zh-CN"/>
                    </w:rPr>
                  </w:pPr>
                  <w:r>
                    <w:rPr>
                      <w:rFonts w:hint="default"/>
                      <w:sz w:val="21"/>
                      <w:szCs w:val="21"/>
                    </w:rPr>
                    <w:t>台账记录</w:t>
                  </w:r>
                  <w:r>
                    <w:rPr>
                      <w:rFonts w:hint="default"/>
                      <w:sz w:val="21"/>
                      <w:szCs w:val="21"/>
                      <w:lang w:eastAsia="zh-CN"/>
                    </w:rPr>
                    <w:t>：</w:t>
                  </w:r>
                </w:p>
                <w:p>
                  <w:pPr>
                    <w:numPr>
                      <w:ilvl w:val="0"/>
                      <w:numId w:val="0"/>
                    </w:numPr>
                    <w:autoSpaceDE w:val="0"/>
                    <w:autoSpaceDN w:val="0"/>
                    <w:adjustRightInd w:val="0"/>
                    <w:snapToGrid w:val="0"/>
                    <w:jc w:val="left"/>
                    <w:rPr>
                      <w:rFonts w:hint="default"/>
                      <w:sz w:val="21"/>
                      <w:szCs w:val="21"/>
                    </w:rPr>
                  </w:pPr>
                  <w:r>
                    <w:rPr>
                      <w:rFonts w:hint="default"/>
                      <w:sz w:val="21"/>
                      <w:szCs w:val="21"/>
                    </w:rPr>
                    <w:t>①完整生产管理台账(包括生产设备运行台账，原辅材料、燃料使用量，产品产量等)</w:t>
                  </w:r>
                  <w:r>
                    <w:rPr>
                      <w:rFonts w:hint="default"/>
                      <w:sz w:val="21"/>
                      <w:szCs w:val="21"/>
                      <w:lang w:eastAsia="zh-CN"/>
                    </w:rPr>
                    <w:t>；</w:t>
                  </w:r>
                </w:p>
                <w:p>
                  <w:pPr>
                    <w:numPr>
                      <w:ilvl w:val="0"/>
                      <w:numId w:val="0"/>
                    </w:numPr>
                    <w:autoSpaceDE w:val="0"/>
                    <w:autoSpaceDN w:val="0"/>
                    <w:adjustRightInd w:val="0"/>
                    <w:snapToGrid w:val="0"/>
                    <w:ind w:leftChars="0"/>
                    <w:jc w:val="left"/>
                    <w:rPr>
                      <w:rFonts w:hint="default"/>
                      <w:sz w:val="21"/>
                      <w:szCs w:val="21"/>
                      <w:lang w:eastAsia="zh-CN"/>
                    </w:rPr>
                  </w:pPr>
                  <w:r>
                    <w:rPr>
                      <w:rFonts w:hint="default"/>
                      <w:sz w:val="21"/>
                      <w:szCs w:val="21"/>
                      <w:lang w:val="en-US" w:eastAsia="zh-CN"/>
                    </w:rPr>
                    <w:t>②运</w:t>
                  </w:r>
                  <w:r>
                    <w:rPr>
                      <w:rFonts w:hint="default"/>
                      <w:sz w:val="21"/>
                      <w:szCs w:val="21"/>
                    </w:rPr>
                    <w:t>输管理电子台账(包括车辆出入厂记录、车牌号、VIN 号、发动机编号和排放标准等)</w:t>
                  </w:r>
                  <w:r>
                    <w:rPr>
                      <w:rFonts w:hint="default"/>
                      <w:sz w:val="21"/>
                      <w:szCs w:val="21"/>
                      <w:lang w:eastAsia="zh-CN"/>
                    </w:rPr>
                    <w:t>；</w:t>
                  </w:r>
                </w:p>
                <w:p>
                  <w:pPr>
                    <w:numPr>
                      <w:ilvl w:val="0"/>
                      <w:numId w:val="0"/>
                    </w:numPr>
                    <w:autoSpaceDE w:val="0"/>
                    <w:autoSpaceDN w:val="0"/>
                    <w:adjustRightInd w:val="0"/>
                    <w:snapToGrid w:val="0"/>
                    <w:ind w:leftChars="0"/>
                    <w:jc w:val="left"/>
                    <w:rPr>
                      <w:rFonts w:hint="default"/>
                      <w:sz w:val="21"/>
                      <w:szCs w:val="21"/>
                      <w:lang w:eastAsia="zh-CN"/>
                    </w:rPr>
                  </w:pPr>
                  <w:r>
                    <w:rPr>
                      <w:rFonts w:hint="default"/>
                      <w:sz w:val="21"/>
                      <w:szCs w:val="21"/>
                    </w:rPr>
                    <w:t>③设备维护记录</w:t>
                  </w:r>
                  <w:r>
                    <w:rPr>
                      <w:rFonts w:hint="default"/>
                      <w:sz w:val="21"/>
                      <w:szCs w:val="21"/>
                      <w:lang w:eastAsia="zh-CN"/>
                    </w:rPr>
                    <w:t>；</w:t>
                  </w:r>
                </w:p>
                <w:p>
                  <w:pPr>
                    <w:numPr>
                      <w:ilvl w:val="0"/>
                      <w:numId w:val="0"/>
                    </w:numPr>
                    <w:autoSpaceDE w:val="0"/>
                    <w:autoSpaceDN w:val="0"/>
                    <w:adjustRightInd w:val="0"/>
                    <w:snapToGrid w:val="0"/>
                    <w:ind w:leftChars="0"/>
                    <w:jc w:val="left"/>
                    <w:rPr>
                      <w:rFonts w:hint="default"/>
                      <w:sz w:val="21"/>
                      <w:szCs w:val="21"/>
                      <w:lang w:eastAsia="zh-CN"/>
                    </w:rPr>
                  </w:pPr>
                  <w:r>
                    <w:rPr>
                      <w:rFonts w:hint="default"/>
                      <w:sz w:val="21"/>
                      <w:szCs w:val="21"/>
                      <w:lang w:val="en-US" w:eastAsia="zh-CN"/>
                    </w:rPr>
                    <w:t>④废</w:t>
                  </w:r>
                  <w:r>
                    <w:rPr>
                      <w:rFonts w:hint="default"/>
                      <w:sz w:val="21"/>
                      <w:szCs w:val="21"/>
                    </w:rPr>
                    <w:t>气治理设备清单(包括主要污染治理设备、设</w:t>
                  </w:r>
                  <w:r>
                    <w:rPr>
                      <w:rFonts w:hint="default"/>
                      <w:sz w:val="21"/>
                      <w:szCs w:val="21"/>
                      <w:lang w:val="en-US" w:eastAsia="zh-CN"/>
                    </w:rPr>
                    <w:t>计</w:t>
                  </w:r>
                  <w:r>
                    <w:rPr>
                      <w:rFonts w:hint="default"/>
                      <w:sz w:val="21"/>
                      <w:szCs w:val="21"/>
                    </w:rPr>
                    <w:t>说明书、运行记录、CEMS数据等)</w:t>
                  </w:r>
                  <w:r>
                    <w:rPr>
                      <w:rFonts w:hint="default"/>
                      <w:sz w:val="21"/>
                      <w:szCs w:val="21"/>
                      <w:lang w:eastAsia="zh-CN"/>
                    </w:rPr>
                    <w:t>；</w:t>
                  </w:r>
                </w:p>
                <w:p>
                  <w:pPr>
                    <w:numPr>
                      <w:ilvl w:val="0"/>
                      <w:numId w:val="0"/>
                    </w:numPr>
                    <w:autoSpaceDE w:val="0"/>
                    <w:autoSpaceDN w:val="0"/>
                    <w:adjustRightInd w:val="0"/>
                    <w:snapToGrid w:val="0"/>
                    <w:ind w:leftChars="0"/>
                    <w:jc w:val="left"/>
                    <w:rPr>
                      <w:rFonts w:hint="default"/>
                      <w:sz w:val="21"/>
                      <w:szCs w:val="21"/>
                    </w:rPr>
                  </w:pPr>
                  <w:r>
                    <w:rPr>
                      <w:rFonts w:hint="default"/>
                      <w:sz w:val="21"/>
                      <w:szCs w:val="21"/>
                    </w:rPr>
                    <w:t>⑤耗材清单(除尘器滤料更换记录等)</w:t>
                  </w:r>
                </w:p>
                <w:p>
                  <w:pPr>
                    <w:numPr>
                      <w:ilvl w:val="0"/>
                      <w:numId w:val="0"/>
                    </w:numPr>
                    <w:autoSpaceDE w:val="0"/>
                    <w:autoSpaceDN w:val="0"/>
                    <w:adjustRightInd w:val="0"/>
                    <w:snapToGrid w:val="0"/>
                    <w:ind w:leftChars="0"/>
                    <w:jc w:val="left"/>
                    <w:rPr>
                      <w:rFonts w:hint="default"/>
                      <w:sz w:val="21"/>
                      <w:szCs w:val="21"/>
                      <w:lang w:eastAsia="zh-CN"/>
                    </w:rPr>
                  </w:pPr>
                  <w:r>
                    <w:rPr>
                      <w:rFonts w:hint="default"/>
                      <w:sz w:val="21"/>
                      <w:szCs w:val="21"/>
                    </w:rPr>
                    <w:t>管理制度健全</w:t>
                  </w:r>
                  <w:r>
                    <w:rPr>
                      <w:rFonts w:hint="default"/>
                      <w:sz w:val="21"/>
                      <w:szCs w:val="21"/>
                      <w:lang w:eastAsia="zh-CN"/>
                    </w:rPr>
                    <w:t>：</w:t>
                  </w:r>
                </w:p>
                <w:p>
                  <w:pPr>
                    <w:numPr>
                      <w:ilvl w:val="0"/>
                      <w:numId w:val="0"/>
                    </w:numPr>
                    <w:autoSpaceDE w:val="0"/>
                    <w:autoSpaceDN w:val="0"/>
                    <w:adjustRightInd w:val="0"/>
                    <w:snapToGrid w:val="0"/>
                    <w:ind w:leftChars="0"/>
                    <w:jc w:val="left"/>
                    <w:rPr>
                      <w:rFonts w:hint="default"/>
                      <w:sz w:val="21"/>
                      <w:szCs w:val="21"/>
                      <w:lang w:eastAsia="zh-CN"/>
                    </w:rPr>
                  </w:pPr>
                  <w:r>
                    <w:rPr>
                      <w:rFonts w:hint="default"/>
                      <w:sz w:val="21"/>
                      <w:szCs w:val="21"/>
                    </w:rPr>
                    <w:t>①有专兼职环保人员</w:t>
                  </w:r>
                  <w:r>
                    <w:rPr>
                      <w:rFonts w:hint="default"/>
                      <w:sz w:val="21"/>
                      <w:szCs w:val="21"/>
                      <w:lang w:eastAsia="zh-CN"/>
                    </w:rPr>
                    <w:t>；</w:t>
                  </w:r>
                </w:p>
                <w:p>
                  <w:pPr>
                    <w:numPr>
                      <w:ilvl w:val="0"/>
                      <w:numId w:val="0"/>
                    </w:numPr>
                    <w:autoSpaceDE w:val="0"/>
                    <w:autoSpaceDN w:val="0"/>
                    <w:adjustRightInd w:val="0"/>
                    <w:snapToGrid w:val="0"/>
                    <w:ind w:leftChars="0"/>
                    <w:jc w:val="left"/>
                    <w:rPr>
                      <w:rFonts w:hint="default"/>
                      <w:sz w:val="21"/>
                      <w:szCs w:val="21"/>
                      <w:lang w:eastAsia="zh-CN"/>
                    </w:rPr>
                  </w:pPr>
                  <w:r>
                    <w:rPr>
                      <w:rFonts w:hint="default"/>
                      <w:sz w:val="21"/>
                      <w:szCs w:val="21"/>
                    </w:rPr>
                    <w:t>②废气治理设施运行管理规程</w:t>
                  </w:r>
                  <w:r>
                    <w:rPr>
                      <w:rFonts w:hint="default"/>
                      <w:sz w:val="21"/>
                      <w:szCs w:val="21"/>
                      <w:lang w:eastAsia="zh-CN"/>
                    </w:rPr>
                    <w:t>。</w:t>
                  </w:r>
                </w:p>
              </w:tc>
              <w:tc>
                <w:tcPr>
                  <w:tcW w:w="2812" w:type="dxa"/>
                  <w:tcBorders>
                    <w:top w:val="single" w:color="auto" w:sz="6" w:space="0"/>
                    <w:left w:val="single" w:color="auto" w:sz="6" w:space="0"/>
                    <w:bottom w:val="single" w:color="auto" w:sz="4" w:space="0"/>
                    <w:right w:val="single" w:color="auto" w:sz="6" w:space="0"/>
                  </w:tcBorders>
                  <w:noWrap/>
                  <w:vAlign w:val="center"/>
                </w:tcPr>
                <w:p>
                  <w:pPr>
                    <w:autoSpaceDE w:val="0"/>
                    <w:autoSpaceDN w:val="0"/>
                    <w:adjustRightInd w:val="0"/>
                    <w:snapToGrid w:val="0"/>
                    <w:jc w:val="left"/>
                    <w:rPr>
                      <w:rFonts w:hint="eastAsia"/>
                      <w:sz w:val="21"/>
                      <w:szCs w:val="21"/>
                      <w:lang w:eastAsia="zh-CN"/>
                    </w:rPr>
                  </w:pPr>
                  <w:r>
                    <w:rPr>
                      <w:rFonts w:hint="default"/>
                      <w:sz w:val="21"/>
                      <w:szCs w:val="21"/>
                    </w:rPr>
                    <w:t>本项目应按要求建立环保档案，包括：</w:t>
                  </w:r>
                </w:p>
                <w:p>
                  <w:pPr>
                    <w:autoSpaceDE w:val="0"/>
                    <w:autoSpaceDN w:val="0"/>
                    <w:adjustRightInd w:val="0"/>
                    <w:snapToGrid w:val="0"/>
                    <w:jc w:val="left"/>
                    <w:rPr>
                      <w:rFonts w:hint="eastAsia"/>
                      <w:sz w:val="21"/>
                      <w:szCs w:val="21"/>
                      <w:lang w:eastAsia="zh-CN"/>
                    </w:rPr>
                  </w:pPr>
                  <w:r>
                    <w:rPr>
                      <w:rFonts w:hint="default"/>
                      <w:sz w:val="21"/>
                      <w:szCs w:val="21"/>
                      <w:lang w:val="en-US" w:eastAsia="zh-CN"/>
                    </w:rPr>
                    <w:t>1、</w:t>
                  </w:r>
                  <w:r>
                    <w:rPr>
                      <w:rFonts w:hint="default"/>
                      <w:sz w:val="21"/>
                      <w:szCs w:val="21"/>
                    </w:rPr>
                    <w:t>办理环评手续并取得环评批复；</w:t>
                  </w:r>
                </w:p>
                <w:p>
                  <w:pPr>
                    <w:autoSpaceDE w:val="0"/>
                    <w:autoSpaceDN w:val="0"/>
                    <w:adjustRightInd w:val="0"/>
                    <w:snapToGrid w:val="0"/>
                    <w:jc w:val="left"/>
                    <w:rPr>
                      <w:rFonts w:hint="default"/>
                      <w:sz w:val="21"/>
                      <w:szCs w:val="21"/>
                      <w:lang w:eastAsia="zh-CN"/>
                    </w:rPr>
                  </w:pPr>
                  <w:r>
                    <w:rPr>
                      <w:rFonts w:hint="default"/>
                      <w:sz w:val="21"/>
                      <w:szCs w:val="21"/>
                      <w:lang w:val="en-US" w:eastAsia="zh-CN"/>
                    </w:rPr>
                    <w:t>2、</w:t>
                  </w:r>
                  <w:r>
                    <w:rPr>
                      <w:rFonts w:hint="default"/>
                      <w:sz w:val="21"/>
                      <w:szCs w:val="21"/>
                    </w:rPr>
                    <w:t>办理排污许可证并填报季度、年度执行报告</w:t>
                  </w:r>
                  <w:r>
                    <w:rPr>
                      <w:rFonts w:hint="default"/>
                      <w:sz w:val="21"/>
                      <w:szCs w:val="21"/>
                      <w:lang w:eastAsia="zh-CN"/>
                    </w:rPr>
                    <w:t>；</w:t>
                  </w:r>
                </w:p>
                <w:p>
                  <w:pPr>
                    <w:autoSpaceDE w:val="0"/>
                    <w:autoSpaceDN w:val="0"/>
                    <w:adjustRightInd w:val="0"/>
                    <w:snapToGrid w:val="0"/>
                    <w:jc w:val="left"/>
                    <w:rPr>
                      <w:rFonts w:hint="eastAsia"/>
                      <w:sz w:val="21"/>
                      <w:szCs w:val="21"/>
                      <w:lang w:eastAsia="zh-CN"/>
                    </w:rPr>
                  </w:pPr>
                  <w:r>
                    <w:rPr>
                      <w:rFonts w:hint="default"/>
                      <w:sz w:val="21"/>
                      <w:szCs w:val="21"/>
                      <w:lang w:val="en-US" w:eastAsia="zh-CN"/>
                    </w:rPr>
                    <w:t>3、</w:t>
                  </w:r>
                  <w:r>
                    <w:rPr>
                      <w:rFonts w:hint="default"/>
                      <w:sz w:val="21"/>
                      <w:szCs w:val="21"/>
                    </w:rPr>
                    <w:t>进行竣工验收并管理竣工验收文件；</w:t>
                  </w:r>
                </w:p>
                <w:p>
                  <w:pPr>
                    <w:autoSpaceDE w:val="0"/>
                    <w:autoSpaceDN w:val="0"/>
                    <w:adjustRightInd w:val="0"/>
                    <w:snapToGrid w:val="0"/>
                    <w:jc w:val="left"/>
                    <w:rPr>
                      <w:rFonts w:hint="default"/>
                      <w:sz w:val="21"/>
                      <w:szCs w:val="21"/>
                      <w:lang w:eastAsia="zh-CN"/>
                    </w:rPr>
                  </w:pPr>
                  <w:r>
                    <w:rPr>
                      <w:rFonts w:hint="default"/>
                      <w:sz w:val="21"/>
                      <w:szCs w:val="21"/>
                      <w:lang w:val="en-US" w:eastAsia="zh-CN"/>
                    </w:rPr>
                    <w:t>4、</w:t>
                  </w:r>
                  <w:r>
                    <w:rPr>
                      <w:rFonts w:hint="default"/>
                      <w:sz w:val="21"/>
                      <w:szCs w:val="21"/>
                    </w:rPr>
                    <w:t>每年应按管理要求进行废气监测</w:t>
                  </w:r>
                  <w:r>
                    <w:rPr>
                      <w:rFonts w:hint="default"/>
                      <w:sz w:val="21"/>
                      <w:szCs w:val="21"/>
                      <w:lang w:eastAsia="zh-CN"/>
                    </w:rPr>
                    <w:t>；</w:t>
                  </w:r>
                </w:p>
                <w:p>
                  <w:pPr>
                    <w:autoSpaceDE w:val="0"/>
                    <w:autoSpaceDN w:val="0"/>
                    <w:adjustRightInd w:val="0"/>
                    <w:snapToGrid w:val="0"/>
                    <w:jc w:val="left"/>
                    <w:rPr>
                      <w:rFonts w:hint="default"/>
                      <w:sz w:val="21"/>
                      <w:szCs w:val="21"/>
                      <w:lang w:val="en-US" w:eastAsia="zh-CN"/>
                    </w:rPr>
                  </w:pPr>
                  <w:r>
                    <w:rPr>
                      <w:rFonts w:hint="default"/>
                      <w:sz w:val="21"/>
                      <w:szCs w:val="21"/>
                      <w:lang w:val="en-US" w:eastAsia="zh-CN"/>
                    </w:rPr>
                    <w:t>按要求进行台账记录，包括：</w:t>
                  </w:r>
                </w:p>
                <w:p>
                  <w:pPr>
                    <w:autoSpaceDE w:val="0"/>
                    <w:autoSpaceDN w:val="0"/>
                    <w:adjustRightInd w:val="0"/>
                    <w:snapToGrid w:val="0"/>
                    <w:jc w:val="left"/>
                    <w:rPr>
                      <w:rFonts w:hint="eastAsia"/>
                      <w:sz w:val="21"/>
                      <w:szCs w:val="21"/>
                      <w:lang w:eastAsia="zh-CN"/>
                    </w:rPr>
                  </w:pPr>
                  <w:r>
                    <w:rPr>
                      <w:rFonts w:hint="default"/>
                      <w:sz w:val="21"/>
                      <w:szCs w:val="21"/>
                    </w:rPr>
                    <w:t>①建立完整生产管理台账(包括生产设备运行台账，原辅材料、燃料使用量，产品产量等)</w:t>
                  </w:r>
                </w:p>
                <w:p>
                  <w:pPr>
                    <w:autoSpaceDE w:val="0"/>
                    <w:autoSpaceDN w:val="0"/>
                    <w:adjustRightInd w:val="0"/>
                    <w:snapToGrid w:val="0"/>
                    <w:jc w:val="left"/>
                    <w:rPr>
                      <w:rFonts w:hint="default"/>
                      <w:sz w:val="21"/>
                      <w:szCs w:val="21"/>
                      <w:lang w:eastAsia="zh-CN"/>
                    </w:rPr>
                  </w:pPr>
                  <w:r>
                    <w:rPr>
                      <w:rFonts w:hint="default"/>
                      <w:sz w:val="21"/>
                      <w:szCs w:val="21"/>
                      <w:lang w:val="en-US" w:eastAsia="zh-CN"/>
                    </w:rPr>
                    <w:t>②建立运</w:t>
                  </w:r>
                  <w:r>
                    <w:rPr>
                      <w:rFonts w:hint="default"/>
                      <w:sz w:val="21"/>
                      <w:szCs w:val="21"/>
                    </w:rPr>
                    <w:t>输管理电子台账(包括车辆出入厂记录、车牌号、VIN 号、发动机编号和排放标准等)</w:t>
                  </w:r>
                  <w:r>
                    <w:rPr>
                      <w:rFonts w:hint="default"/>
                      <w:sz w:val="21"/>
                      <w:szCs w:val="21"/>
                      <w:lang w:eastAsia="zh-CN"/>
                    </w:rPr>
                    <w:t>；</w:t>
                  </w:r>
                </w:p>
                <w:p>
                  <w:pPr>
                    <w:autoSpaceDE w:val="0"/>
                    <w:autoSpaceDN w:val="0"/>
                    <w:adjustRightInd w:val="0"/>
                    <w:snapToGrid w:val="0"/>
                    <w:jc w:val="left"/>
                    <w:rPr>
                      <w:rFonts w:hint="default"/>
                      <w:sz w:val="21"/>
                      <w:szCs w:val="21"/>
                      <w:lang w:val="en-US" w:eastAsia="zh-CN"/>
                    </w:rPr>
                  </w:pPr>
                  <w:r>
                    <w:rPr>
                      <w:rFonts w:hint="default"/>
                      <w:sz w:val="21"/>
                      <w:szCs w:val="21"/>
                    </w:rPr>
                    <w:t>③</w:t>
                  </w:r>
                  <w:r>
                    <w:rPr>
                      <w:rFonts w:hint="default"/>
                      <w:sz w:val="21"/>
                      <w:szCs w:val="21"/>
                      <w:lang w:val="en-US" w:eastAsia="zh-CN"/>
                    </w:rPr>
                    <w:t>记录设备维护情况；</w:t>
                  </w:r>
                </w:p>
                <w:p>
                  <w:pPr>
                    <w:autoSpaceDE w:val="0"/>
                    <w:autoSpaceDN w:val="0"/>
                    <w:adjustRightInd w:val="0"/>
                    <w:snapToGrid w:val="0"/>
                    <w:jc w:val="left"/>
                    <w:rPr>
                      <w:rFonts w:hint="default"/>
                      <w:sz w:val="21"/>
                      <w:szCs w:val="21"/>
                      <w:lang w:val="en-US" w:eastAsia="zh-CN"/>
                    </w:rPr>
                  </w:pPr>
                  <w:r>
                    <w:rPr>
                      <w:rFonts w:hint="default"/>
                      <w:sz w:val="21"/>
                      <w:szCs w:val="21"/>
                      <w:lang w:val="en-US" w:eastAsia="zh-CN"/>
                    </w:rPr>
                    <w:t>④按要求建立废气治理设备清单</w:t>
                  </w:r>
                </w:p>
                <w:p>
                  <w:pPr>
                    <w:autoSpaceDE w:val="0"/>
                    <w:autoSpaceDN w:val="0"/>
                    <w:adjustRightInd w:val="0"/>
                    <w:snapToGrid w:val="0"/>
                    <w:jc w:val="left"/>
                    <w:rPr>
                      <w:rFonts w:hint="eastAsia"/>
                      <w:sz w:val="21"/>
                      <w:szCs w:val="21"/>
                      <w:lang w:val="en-US" w:eastAsia="zh-CN"/>
                    </w:rPr>
                  </w:pPr>
                  <w:r>
                    <w:rPr>
                      <w:rFonts w:hint="default"/>
                      <w:sz w:val="21"/>
                      <w:szCs w:val="21"/>
                    </w:rPr>
                    <w:t>⑤</w:t>
                  </w:r>
                  <w:r>
                    <w:rPr>
                      <w:rFonts w:hint="default"/>
                      <w:sz w:val="21"/>
                      <w:szCs w:val="21"/>
                      <w:lang w:val="en-US" w:eastAsia="zh-CN"/>
                    </w:rPr>
                    <w:t>按要求记录耗材更换清单；</w:t>
                  </w:r>
                </w:p>
                <w:p>
                  <w:pPr>
                    <w:autoSpaceDE w:val="0"/>
                    <w:autoSpaceDN w:val="0"/>
                    <w:adjustRightInd w:val="0"/>
                    <w:snapToGrid w:val="0"/>
                    <w:jc w:val="left"/>
                    <w:rPr>
                      <w:rFonts w:hint="default"/>
                      <w:sz w:val="21"/>
                      <w:szCs w:val="21"/>
                      <w:lang w:val="en-US" w:eastAsia="zh-CN"/>
                    </w:rPr>
                  </w:pPr>
                  <w:r>
                    <w:rPr>
                      <w:rFonts w:hint="default"/>
                      <w:sz w:val="21"/>
                      <w:szCs w:val="21"/>
                      <w:lang w:val="en-US" w:eastAsia="zh-CN"/>
                    </w:rPr>
                    <w:t>管理制度健全：</w:t>
                  </w:r>
                </w:p>
                <w:p>
                  <w:pPr>
                    <w:autoSpaceDE w:val="0"/>
                    <w:autoSpaceDN w:val="0"/>
                    <w:adjustRightInd w:val="0"/>
                    <w:snapToGrid w:val="0"/>
                    <w:jc w:val="left"/>
                    <w:rPr>
                      <w:rFonts w:hint="default"/>
                      <w:sz w:val="21"/>
                      <w:szCs w:val="21"/>
                      <w:lang w:val="en-US" w:eastAsia="zh-CN"/>
                    </w:rPr>
                  </w:pPr>
                  <w:r>
                    <w:rPr>
                      <w:rFonts w:hint="default"/>
                      <w:sz w:val="21"/>
                      <w:szCs w:val="21"/>
                    </w:rPr>
                    <w:t>①</w:t>
                  </w:r>
                  <w:r>
                    <w:rPr>
                      <w:rFonts w:hint="default"/>
                      <w:sz w:val="21"/>
                      <w:szCs w:val="21"/>
                      <w:lang w:val="en-US" w:eastAsia="zh-CN"/>
                    </w:rPr>
                    <w:t>设置专兼职环保人员；</w:t>
                  </w:r>
                </w:p>
                <w:p>
                  <w:pPr>
                    <w:autoSpaceDE w:val="0"/>
                    <w:autoSpaceDN w:val="0"/>
                    <w:adjustRightInd w:val="0"/>
                    <w:snapToGrid w:val="0"/>
                    <w:jc w:val="left"/>
                    <w:rPr>
                      <w:rFonts w:hint="default"/>
                      <w:sz w:val="21"/>
                      <w:szCs w:val="21"/>
                    </w:rPr>
                  </w:pPr>
                  <w:r>
                    <w:rPr>
                      <w:rFonts w:hint="default"/>
                      <w:sz w:val="21"/>
                      <w:szCs w:val="21"/>
                    </w:rPr>
                    <w:t>②</w:t>
                  </w:r>
                  <w:r>
                    <w:rPr>
                      <w:rFonts w:hint="default"/>
                      <w:sz w:val="21"/>
                      <w:szCs w:val="21"/>
                      <w:lang w:val="en-US" w:eastAsia="zh-CN"/>
                    </w:rPr>
                    <w:t>建立</w:t>
                  </w:r>
                  <w:r>
                    <w:rPr>
                      <w:rFonts w:hint="default"/>
                      <w:sz w:val="21"/>
                      <w:szCs w:val="21"/>
                    </w:rPr>
                    <w:t>符合要求废气治理设施运行管理规程</w:t>
                  </w:r>
                  <w:r>
                    <w:rPr>
                      <w:rFonts w:hint="default"/>
                      <w:sz w:val="21"/>
                      <w:szCs w:val="21"/>
                      <w:lang w:eastAsia="zh-CN"/>
                    </w:rPr>
                    <w:t>。</w:t>
                  </w:r>
                </w:p>
              </w:tc>
              <w:tc>
                <w:tcPr>
                  <w:tcW w:w="940" w:type="dxa"/>
                  <w:tcBorders>
                    <w:top w:val="single" w:color="auto" w:sz="4" w:space="0"/>
                    <w:left w:val="single" w:color="auto" w:sz="6" w:space="0"/>
                    <w:bottom w:val="single" w:color="auto" w:sz="4" w:space="0"/>
                    <w:right w:val="nil"/>
                  </w:tcBorders>
                  <w:noWrap/>
                  <w:vAlign w:val="center"/>
                </w:tcPr>
                <w:p>
                  <w:pPr>
                    <w:autoSpaceDE w:val="0"/>
                    <w:autoSpaceDN w:val="0"/>
                    <w:adjustRightInd w:val="0"/>
                    <w:snapToGrid w:val="0"/>
                    <w:jc w:val="center"/>
                    <w:rPr>
                      <w:rFonts w:hint="default"/>
                      <w:sz w:val="21"/>
                      <w:szCs w:val="21"/>
                    </w:rPr>
                  </w:pPr>
                  <w:r>
                    <w:rPr>
                      <w:rFonts w:hint="default"/>
                      <w:sz w:val="21"/>
                      <w:szCs w:val="21"/>
                    </w:rPr>
                    <w: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45" w:type="dxa"/>
                  <w:tcBorders>
                    <w:left w:val="nil"/>
                    <w:right w:val="single" w:color="auto" w:sz="6" w:space="0"/>
                  </w:tcBorders>
                  <w:noWrap/>
                  <w:vAlign w:val="center"/>
                </w:tcPr>
                <w:p>
                  <w:pPr>
                    <w:autoSpaceDE w:val="0"/>
                    <w:autoSpaceDN w:val="0"/>
                    <w:adjustRightInd w:val="0"/>
                    <w:snapToGrid w:val="0"/>
                    <w:jc w:val="center"/>
                    <w:rPr>
                      <w:rFonts w:hint="default"/>
                      <w:sz w:val="21"/>
                      <w:szCs w:val="21"/>
                    </w:rPr>
                  </w:pPr>
                  <w:r>
                    <w:rPr>
                      <w:rFonts w:hint="default"/>
                      <w:sz w:val="21"/>
                      <w:szCs w:val="21"/>
                    </w:rPr>
                    <w:t>运</w:t>
                  </w:r>
                </w:p>
                <w:p>
                  <w:pPr>
                    <w:autoSpaceDE w:val="0"/>
                    <w:autoSpaceDN w:val="0"/>
                    <w:adjustRightInd w:val="0"/>
                    <w:snapToGrid w:val="0"/>
                    <w:jc w:val="center"/>
                    <w:rPr>
                      <w:rFonts w:hint="default"/>
                      <w:sz w:val="21"/>
                      <w:szCs w:val="21"/>
                    </w:rPr>
                  </w:pPr>
                  <w:r>
                    <w:rPr>
                      <w:rFonts w:hint="default"/>
                      <w:sz w:val="21"/>
                      <w:szCs w:val="21"/>
                    </w:rPr>
                    <w:t>输</w:t>
                  </w:r>
                </w:p>
                <w:p>
                  <w:pPr>
                    <w:autoSpaceDE w:val="0"/>
                    <w:autoSpaceDN w:val="0"/>
                    <w:adjustRightInd w:val="0"/>
                    <w:snapToGrid w:val="0"/>
                    <w:jc w:val="center"/>
                    <w:rPr>
                      <w:rFonts w:hint="default"/>
                      <w:sz w:val="21"/>
                      <w:szCs w:val="21"/>
                    </w:rPr>
                  </w:pPr>
                  <w:r>
                    <w:rPr>
                      <w:rFonts w:hint="default"/>
                      <w:sz w:val="21"/>
                      <w:szCs w:val="21"/>
                    </w:rPr>
                    <w:t>方</w:t>
                  </w:r>
                </w:p>
                <w:p>
                  <w:pPr>
                    <w:autoSpaceDE w:val="0"/>
                    <w:autoSpaceDN w:val="0"/>
                    <w:adjustRightInd w:val="0"/>
                    <w:snapToGrid w:val="0"/>
                    <w:jc w:val="center"/>
                    <w:rPr>
                      <w:rFonts w:hint="default"/>
                      <w:sz w:val="21"/>
                      <w:szCs w:val="21"/>
                    </w:rPr>
                  </w:pPr>
                  <w:r>
                    <w:rPr>
                      <w:rFonts w:hint="default"/>
                      <w:sz w:val="21"/>
                      <w:szCs w:val="21"/>
                    </w:rPr>
                    <w:t>式</w:t>
                  </w:r>
                </w:p>
              </w:tc>
              <w:tc>
                <w:tcPr>
                  <w:tcW w:w="2900" w:type="dxa"/>
                  <w:tcBorders>
                    <w:top w:val="single" w:color="auto" w:sz="6" w:space="0"/>
                    <w:left w:val="single" w:color="auto" w:sz="6" w:space="0"/>
                    <w:bottom w:val="single" w:color="auto" w:sz="6" w:space="0"/>
                    <w:right w:val="single" w:color="auto" w:sz="6" w:space="0"/>
                  </w:tcBorders>
                  <w:noWrap/>
                  <w:vAlign w:val="center"/>
                </w:tcPr>
                <w:p>
                  <w:pPr>
                    <w:numPr>
                      <w:ilvl w:val="0"/>
                      <w:numId w:val="3"/>
                    </w:numPr>
                    <w:autoSpaceDE w:val="0"/>
                    <w:autoSpaceDN w:val="0"/>
                    <w:adjustRightInd w:val="0"/>
                    <w:snapToGrid w:val="0"/>
                    <w:jc w:val="left"/>
                    <w:rPr>
                      <w:rFonts w:hint="default"/>
                      <w:sz w:val="21"/>
                      <w:szCs w:val="21"/>
                    </w:rPr>
                  </w:pPr>
                  <w:r>
                    <w:rPr>
                      <w:rFonts w:hint="default"/>
                      <w:sz w:val="21"/>
                      <w:szCs w:val="21"/>
                    </w:rPr>
                    <w:t>物料(除水泥罐式货车外)公路运输全部使用达到国五及以上排放标准重型载货车辆(含燃气)或新能源车辆</w:t>
                  </w:r>
                  <w:r>
                    <w:rPr>
                      <w:rFonts w:hint="default"/>
                      <w:sz w:val="21"/>
                      <w:szCs w:val="21"/>
                      <w:lang w:eastAsia="zh-CN"/>
                    </w:rPr>
                    <w:t>；</w:t>
                  </w:r>
                </w:p>
                <w:p>
                  <w:pPr>
                    <w:numPr>
                      <w:ilvl w:val="0"/>
                      <w:numId w:val="3"/>
                    </w:numPr>
                    <w:autoSpaceDE w:val="0"/>
                    <w:autoSpaceDN w:val="0"/>
                    <w:adjustRightInd w:val="0"/>
                    <w:snapToGrid w:val="0"/>
                    <w:ind w:left="0" w:leftChars="0" w:firstLine="0" w:firstLineChars="0"/>
                    <w:jc w:val="left"/>
                    <w:rPr>
                      <w:rFonts w:hint="default"/>
                      <w:sz w:val="21"/>
                      <w:szCs w:val="21"/>
                    </w:rPr>
                  </w:pPr>
                  <w:r>
                    <w:rPr>
                      <w:rFonts w:hint="default"/>
                      <w:sz w:val="21"/>
                      <w:szCs w:val="21"/>
                      <w:lang w:val="en-US" w:eastAsia="zh-CN"/>
                    </w:rPr>
                    <w:t>厂</w:t>
                  </w:r>
                  <w:r>
                    <w:rPr>
                      <w:rFonts w:hint="default"/>
                      <w:sz w:val="21"/>
                      <w:szCs w:val="21"/>
                    </w:rPr>
                    <w:t>内运输车辆全部达到国五及以上排放标准(含燃气) 或使用新能源车辆</w:t>
                  </w:r>
                  <w:r>
                    <w:rPr>
                      <w:rFonts w:hint="default"/>
                      <w:sz w:val="21"/>
                      <w:szCs w:val="21"/>
                      <w:lang w:eastAsia="zh-CN"/>
                    </w:rPr>
                    <w:t>；</w:t>
                  </w:r>
                </w:p>
                <w:p>
                  <w:pPr>
                    <w:numPr>
                      <w:ilvl w:val="0"/>
                      <w:numId w:val="0"/>
                    </w:numPr>
                    <w:autoSpaceDE w:val="0"/>
                    <w:autoSpaceDN w:val="0"/>
                    <w:adjustRightInd w:val="0"/>
                    <w:snapToGrid w:val="0"/>
                    <w:ind w:leftChars="0"/>
                    <w:jc w:val="left"/>
                    <w:rPr>
                      <w:rFonts w:hint="default"/>
                      <w:sz w:val="21"/>
                      <w:szCs w:val="21"/>
                      <w:lang w:eastAsia="zh-CN"/>
                    </w:rPr>
                  </w:pPr>
                  <w:r>
                    <w:rPr>
                      <w:rFonts w:hint="default"/>
                      <w:sz w:val="21"/>
                      <w:szCs w:val="21"/>
                    </w:rPr>
                    <w:t>3、厂内非道路移动机械全部达到国三及以上排放标准或使用新能源机械</w:t>
                  </w:r>
                  <w:r>
                    <w:rPr>
                      <w:rFonts w:hint="default"/>
                      <w:sz w:val="21"/>
                      <w:szCs w:val="21"/>
                      <w:lang w:eastAsia="zh-CN"/>
                    </w:rPr>
                    <w:t>。</w:t>
                  </w:r>
                </w:p>
              </w:tc>
              <w:tc>
                <w:tcPr>
                  <w:tcW w:w="2812" w:type="dxa"/>
                  <w:tcBorders>
                    <w:top w:val="single" w:color="auto" w:sz="6" w:space="0"/>
                    <w:left w:val="single" w:color="auto" w:sz="6" w:space="0"/>
                    <w:bottom w:val="single" w:color="auto" w:sz="6" w:space="0"/>
                    <w:right w:val="single" w:color="auto" w:sz="6" w:space="0"/>
                  </w:tcBorders>
                  <w:noWrap/>
                  <w:vAlign w:val="center"/>
                </w:tcPr>
                <w:p>
                  <w:pPr>
                    <w:numPr>
                      <w:ilvl w:val="0"/>
                      <w:numId w:val="0"/>
                    </w:numPr>
                    <w:autoSpaceDE w:val="0"/>
                    <w:autoSpaceDN w:val="0"/>
                    <w:adjustRightInd w:val="0"/>
                    <w:snapToGrid w:val="0"/>
                    <w:ind w:leftChars="0"/>
                    <w:jc w:val="left"/>
                    <w:rPr>
                      <w:rFonts w:hint="default"/>
                      <w:sz w:val="21"/>
                      <w:szCs w:val="21"/>
                      <w:lang w:eastAsia="zh-CN"/>
                    </w:rPr>
                  </w:pPr>
                  <w:r>
                    <w:rPr>
                      <w:rFonts w:hint="default"/>
                      <w:sz w:val="21"/>
                      <w:szCs w:val="21"/>
                      <w:lang w:val="en-US" w:eastAsia="zh-CN"/>
                    </w:rPr>
                    <w:t>1、</w:t>
                  </w:r>
                  <w:r>
                    <w:rPr>
                      <w:rFonts w:hint="eastAsia"/>
                      <w:sz w:val="21"/>
                      <w:szCs w:val="21"/>
                      <w:lang w:val="en-US" w:eastAsia="zh-CN"/>
                    </w:rPr>
                    <w:t>本项目</w:t>
                  </w:r>
                  <w:r>
                    <w:rPr>
                      <w:rFonts w:hint="default"/>
                      <w:sz w:val="21"/>
                      <w:szCs w:val="21"/>
                      <w:lang w:val="en-US" w:eastAsia="zh-CN"/>
                    </w:rPr>
                    <w:t>物料</w:t>
                  </w:r>
                  <w:r>
                    <w:rPr>
                      <w:rFonts w:hint="default"/>
                      <w:sz w:val="21"/>
                      <w:szCs w:val="21"/>
                    </w:rPr>
                    <w:t>(除水泥罐式货车外)</w:t>
                  </w:r>
                  <w:r>
                    <w:rPr>
                      <w:rFonts w:hint="default"/>
                      <w:sz w:val="21"/>
                      <w:szCs w:val="21"/>
                      <w:lang w:val="en-US" w:eastAsia="zh-CN"/>
                    </w:rPr>
                    <w:t>公路运输全部使用国五及以上</w:t>
                  </w:r>
                  <w:r>
                    <w:rPr>
                      <w:rFonts w:hint="default"/>
                      <w:sz w:val="21"/>
                      <w:szCs w:val="21"/>
                    </w:rPr>
                    <w:t>排放标准重型载货车辆(含燃气)或新能源车辆</w:t>
                  </w:r>
                  <w:r>
                    <w:rPr>
                      <w:rFonts w:hint="default"/>
                      <w:sz w:val="21"/>
                      <w:szCs w:val="21"/>
                      <w:lang w:eastAsia="zh-CN"/>
                    </w:rPr>
                    <w:t>；</w:t>
                  </w:r>
                </w:p>
                <w:p>
                  <w:pPr>
                    <w:numPr>
                      <w:ilvl w:val="0"/>
                      <w:numId w:val="0"/>
                    </w:numPr>
                    <w:autoSpaceDE w:val="0"/>
                    <w:autoSpaceDN w:val="0"/>
                    <w:adjustRightInd w:val="0"/>
                    <w:snapToGrid w:val="0"/>
                    <w:ind w:leftChars="0"/>
                    <w:jc w:val="left"/>
                    <w:rPr>
                      <w:rFonts w:hint="default"/>
                      <w:sz w:val="21"/>
                      <w:szCs w:val="21"/>
                    </w:rPr>
                  </w:pPr>
                  <w:r>
                    <w:rPr>
                      <w:rFonts w:hint="default"/>
                      <w:sz w:val="21"/>
                      <w:szCs w:val="21"/>
                      <w:lang w:val="en-US" w:eastAsia="zh-CN"/>
                    </w:rPr>
                    <w:t>2、项目厂</w:t>
                  </w:r>
                  <w:r>
                    <w:rPr>
                      <w:rFonts w:hint="default"/>
                      <w:sz w:val="21"/>
                      <w:szCs w:val="21"/>
                    </w:rPr>
                    <w:t>内运输车辆全部达到国五及以上排放标准(含燃气)或使用新能源车辆</w:t>
                  </w:r>
                  <w:r>
                    <w:rPr>
                      <w:rFonts w:hint="default"/>
                      <w:sz w:val="21"/>
                      <w:szCs w:val="21"/>
                      <w:lang w:eastAsia="zh-CN"/>
                    </w:rPr>
                    <w:t>；</w:t>
                  </w:r>
                </w:p>
                <w:p>
                  <w:pPr>
                    <w:numPr>
                      <w:ilvl w:val="0"/>
                      <w:numId w:val="0"/>
                    </w:numPr>
                    <w:autoSpaceDE w:val="0"/>
                    <w:autoSpaceDN w:val="0"/>
                    <w:adjustRightInd w:val="0"/>
                    <w:snapToGrid w:val="0"/>
                    <w:ind w:leftChars="0"/>
                    <w:jc w:val="left"/>
                    <w:rPr>
                      <w:rFonts w:hint="default"/>
                      <w:sz w:val="21"/>
                      <w:szCs w:val="21"/>
                    </w:rPr>
                  </w:pPr>
                  <w:r>
                    <w:rPr>
                      <w:rFonts w:hint="default"/>
                      <w:sz w:val="21"/>
                      <w:szCs w:val="21"/>
                      <w:lang w:val="en-US" w:eastAsia="zh-CN"/>
                    </w:rPr>
                    <w:t>3、厂区</w:t>
                  </w:r>
                  <w:r>
                    <w:rPr>
                      <w:rFonts w:hint="default"/>
                      <w:sz w:val="21"/>
                      <w:szCs w:val="21"/>
                    </w:rPr>
                    <w:t>非道路移动机械</w:t>
                  </w:r>
                  <w:r>
                    <w:rPr>
                      <w:rFonts w:hint="default"/>
                      <w:sz w:val="21"/>
                      <w:szCs w:val="21"/>
                      <w:lang w:val="en-US" w:eastAsia="zh-CN"/>
                    </w:rPr>
                    <w:t>应按要求使用</w:t>
                  </w:r>
                  <w:r>
                    <w:rPr>
                      <w:rFonts w:hint="default"/>
                      <w:sz w:val="21"/>
                      <w:szCs w:val="21"/>
                    </w:rPr>
                    <w:t>全部达到国三及以上排放标准或使用新能源机械</w:t>
                  </w:r>
                  <w:r>
                    <w:rPr>
                      <w:rFonts w:hint="default"/>
                      <w:sz w:val="21"/>
                      <w:szCs w:val="21"/>
                      <w:lang w:eastAsia="zh-CN"/>
                    </w:rPr>
                    <w:t>。</w:t>
                  </w:r>
                </w:p>
              </w:tc>
              <w:tc>
                <w:tcPr>
                  <w:tcW w:w="940" w:type="dxa"/>
                  <w:tcBorders>
                    <w:top w:val="single" w:color="auto" w:sz="6" w:space="0"/>
                    <w:left w:val="single" w:color="auto" w:sz="6" w:space="0"/>
                    <w:bottom w:val="single" w:color="auto" w:sz="6" w:space="0"/>
                    <w:right w:val="nil"/>
                  </w:tcBorders>
                  <w:noWrap/>
                  <w:vAlign w:val="center"/>
                </w:tcPr>
                <w:p>
                  <w:pPr>
                    <w:autoSpaceDE w:val="0"/>
                    <w:autoSpaceDN w:val="0"/>
                    <w:adjustRightInd w:val="0"/>
                    <w:snapToGrid w:val="0"/>
                    <w:jc w:val="center"/>
                    <w:rPr>
                      <w:rFonts w:hint="default"/>
                      <w:sz w:val="21"/>
                      <w:szCs w:val="21"/>
                    </w:rPr>
                  </w:pPr>
                  <w:r>
                    <w:rPr>
                      <w:rFonts w:hint="default"/>
                      <w:sz w:val="21"/>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45" w:type="dxa"/>
                  <w:tcBorders>
                    <w:left w:val="nil"/>
                    <w:right w:val="single" w:color="auto" w:sz="6" w:space="0"/>
                  </w:tcBorders>
                  <w:noWrap/>
                  <w:vAlign w:val="center"/>
                </w:tcPr>
                <w:p>
                  <w:pPr>
                    <w:autoSpaceDE w:val="0"/>
                    <w:autoSpaceDN w:val="0"/>
                    <w:adjustRightInd w:val="0"/>
                    <w:snapToGrid w:val="0"/>
                    <w:jc w:val="center"/>
                    <w:rPr>
                      <w:rFonts w:hint="default"/>
                      <w:sz w:val="21"/>
                      <w:szCs w:val="21"/>
                    </w:rPr>
                  </w:pPr>
                  <w:r>
                    <w:rPr>
                      <w:rFonts w:hint="default"/>
                      <w:sz w:val="21"/>
                      <w:szCs w:val="21"/>
                    </w:rPr>
                    <w:t>运</w:t>
                  </w:r>
                </w:p>
                <w:p>
                  <w:pPr>
                    <w:autoSpaceDE w:val="0"/>
                    <w:autoSpaceDN w:val="0"/>
                    <w:adjustRightInd w:val="0"/>
                    <w:snapToGrid w:val="0"/>
                    <w:jc w:val="center"/>
                    <w:rPr>
                      <w:rFonts w:hint="default"/>
                      <w:sz w:val="21"/>
                      <w:szCs w:val="21"/>
                    </w:rPr>
                  </w:pPr>
                  <w:r>
                    <w:rPr>
                      <w:rFonts w:hint="default"/>
                      <w:sz w:val="21"/>
                      <w:szCs w:val="21"/>
                    </w:rPr>
                    <w:t>输</w:t>
                  </w:r>
                </w:p>
                <w:p>
                  <w:pPr>
                    <w:autoSpaceDE w:val="0"/>
                    <w:autoSpaceDN w:val="0"/>
                    <w:adjustRightInd w:val="0"/>
                    <w:snapToGrid w:val="0"/>
                    <w:jc w:val="center"/>
                    <w:rPr>
                      <w:rFonts w:hint="default"/>
                      <w:sz w:val="21"/>
                      <w:szCs w:val="21"/>
                    </w:rPr>
                  </w:pPr>
                  <w:r>
                    <w:rPr>
                      <w:rFonts w:hint="default"/>
                      <w:sz w:val="21"/>
                      <w:szCs w:val="21"/>
                    </w:rPr>
                    <w:t>监</w:t>
                  </w:r>
                </w:p>
                <w:p>
                  <w:pPr>
                    <w:autoSpaceDE w:val="0"/>
                    <w:autoSpaceDN w:val="0"/>
                    <w:adjustRightInd w:val="0"/>
                    <w:snapToGrid w:val="0"/>
                    <w:jc w:val="center"/>
                    <w:rPr>
                      <w:rFonts w:hint="default"/>
                      <w:sz w:val="21"/>
                      <w:szCs w:val="21"/>
                    </w:rPr>
                  </w:pPr>
                  <w:r>
                    <w:rPr>
                      <w:rFonts w:hint="default"/>
                      <w:sz w:val="21"/>
                      <w:szCs w:val="21"/>
                    </w:rPr>
                    <w:t>管</w:t>
                  </w:r>
                </w:p>
              </w:tc>
              <w:tc>
                <w:tcPr>
                  <w:tcW w:w="2900"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napToGrid w:val="0"/>
                    <w:jc w:val="left"/>
                    <w:rPr>
                      <w:rFonts w:hint="default"/>
                      <w:sz w:val="21"/>
                      <w:szCs w:val="21"/>
                      <w:lang w:eastAsia="zh-CN"/>
                    </w:rPr>
                  </w:pPr>
                  <w:r>
                    <w:rPr>
                      <w:rFonts w:hint="default"/>
                      <w:sz w:val="21"/>
                      <w:szCs w:val="21"/>
                    </w:rPr>
                    <w:t>配备门禁和视频监控系统，监控运输车辆进出厂区情况，记录运输车辆电子台账;视频监控、台账数据保存三个月以上</w:t>
                  </w:r>
                  <w:r>
                    <w:rPr>
                      <w:rFonts w:hint="default"/>
                      <w:sz w:val="21"/>
                      <w:szCs w:val="21"/>
                      <w:lang w:eastAsia="zh-CN"/>
                    </w:rPr>
                    <w:t>。</w:t>
                  </w:r>
                </w:p>
              </w:tc>
              <w:tc>
                <w:tcPr>
                  <w:tcW w:w="2812"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napToGrid w:val="0"/>
                    <w:jc w:val="center"/>
                    <w:rPr>
                      <w:rFonts w:hint="default"/>
                      <w:sz w:val="21"/>
                      <w:szCs w:val="21"/>
                    </w:rPr>
                  </w:pPr>
                  <w:r>
                    <w:rPr>
                      <w:rFonts w:hint="default"/>
                      <w:sz w:val="21"/>
                      <w:szCs w:val="21"/>
                    </w:rPr>
                    <w:t>项目</w:t>
                  </w:r>
                  <w:r>
                    <w:rPr>
                      <w:rFonts w:hint="default"/>
                      <w:sz w:val="21"/>
                      <w:szCs w:val="21"/>
                      <w:lang w:val="en-US" w:eastAsia="zh-CN"/>
                    </w:rPr>
                    <w:t>应按引领指标要求</w:t>
                  </w:r>
                  <w:r>
                    <w:rPr>
                      <w:rFonts w:hint="default"/>
                      <w:sz w:val="21"/>
                      <w:szCs w:val="21"/>
                    </w:rPr>
                    <w:t>安装门禁</w:t>
                  </w:r>
                  <w:r>
                    <w:rPr>
                      <w:rFonts w:hint="default"/>
                      <w:sz w:val="21"/>
                      <w:szCs w:val="21"/>
                      <w:lang w:val="en-US" w:eastAsia="zh-CN"/>
                    </w:rPr>
                    <w:t>和视频监控</w:t>
                  </w:r>
                  <w:r>
                    <w:rPr>
                      <w:rFonts w:hint="default"/>
                      <w:sz w:val="21"/>
                      <w:szCs w:val="21"/>
                    </w:rPr>
                    <w:t>系统，监控运输车辆进出厂区情况记录运输车辆电子台账</w:t>
                  </w:r>
                  <w:r>
                    <w:rPr>
                      <w:rFonts w:hint="default"/>
                      <w:sz w:val="21"/>
                      <w:szCs w:val="21"/>
                      <w:lang w:eastAsia="zh-CN"/>
                    </w:rPr>
                    <w:t>；</w:t>
                  </w:r>
                  <w:r>
                    <w:rPr>
                      <w:rFonts w:hint="default"/>
                      <w:sz w:val="21"/>
                      <w:szCs w:val="21"/>
                    </w:rPr>
                    <w:t>视频监控、台账数据保存三个月以上</w:t>
                  </w:r>
                  <w:r>
                    <w:rPr>
                      <w:rFonts w:hint="default"/>
                      <w:sz w:val="21"/>
                      <w:szCs w:val="21"/>
                      <w:lang w:eastAsia="zh-CN"/>
                    </w:rPr>
                    <w:t>。</w:t>
                  </w:r>
                </w:p>
              </w:tc>
              <w:tc>
                <w:tcPr>
                  <w:tcW w:w="940" w:type="dxa"/>
                  <w:tcBorders>
                    <w:top w:val="single" w:color="auto" w:sz="6" w:space="0"/>
                    <w:left w:val="single" w:color="auto" w:sz="6" w:space="0"/>
                    <w:bottom w:val="single" w:color="auto" w:sz="6" w:space="0"/>
                    <w:right w:val="nil"/>
                  </w:tcBorders>
                  <w:noWrap/>
                  <w:vAlign w:val="center"/>
                </w:tcPr>
                <w:p>
                  <w:pPr>
                    <w:autoSpaceDE w:val="0"/>
                    <w:autoSpaceDN w:val="0"/>
                    <w:adjustRightInd w:val="0"/>
                    <w:snapToGrid w:val="0"/>
                    <w:jc w:val="center"/>
                    <w:rPr>
                      <w:rFonts w:hint="default"/>
                      <w:sz w:val="21"/>
                      <w:szCs w:val="21"/>
                    </w:rPr>
                  </w:pPr>
                  <w:r>
                    <w:rPr>
                      <w:rFonts w:hint="default"/>
                      <w:sz w:val="21"/>
                      <w:szCs w:val="21"/>
                    </w:rPr>
                    <w:t>符合</w:t>
                  </w:r>
                </w:p>
              </w:tc>
            </w:tr>
          </w:tbl>
          <w:p>
            <w:pPr>
              <w:spacing w:line="440" w:lineRule="exact"/>
              <w:ind w:firstLine="723" w:firstLineChars="300"/>
              <w:textAlignment w:val="baseline"/>
              <w:rPr>
                <w:rFonts w:hint="default"/>
                <w:b/>
                <w:bCs/>
                <w:sz w:val="24"/>
                <w:szCs w:val="24"/>
              </w:rPr>
            </w:pPr>
            <w:r>
              <w:rPr>
                <w:rFonts w:hint="eastAsia"/>
                <w:b/>
                <w:bCs/>
                <w:sz w:val="24"/>
                <w:szCs w:val="24"/>
                <w:lang w:val="en-US" w:eastAsia="zh-CN"/>
              </w:rPr>
              <w:t xml:space="preserve">表1-8 </w:t>
            </w:r>
            <w:r>
              <w:rPr>
                <w:rFonts w:hint="default"/>
                <w:b/>
                <w:bCs/>
                <w:sz w:val="24"/>
                <w:szCs w:val="24"/>
              </w:rPr>
              <w:t>项目与</w:t>
            </w:r>
            <w:r>
              <w:rPr>
                <w:rFonts w:hint="eastAsia"/>
                <w:b/>
                <w:bCs/>
                <w:sz w:val="24"/>
                <w:szCs w:val="24"/>
              </w:rPr>
              <w:t>《河南省重污染天气重点行业应急减排措施制定技术指南（2021年修订》</w:t>
            </w:r>
            <w:r>
              <w:rPr>
                <w:rFonts w:hint="default"/>
                <w:b/>
                <w:bCs/>
                <w:sz w:val="24"/>
                <w:szCs w:val="24"/>
              </w:rPr>
              <w:t>对比分析一览表</w:t>
            </w:r>
          </w:p>
          <w:tbl>
            <w:tblPr>
              <w:tblStyle w:val="2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71"/>
              <w:gridCol w:w="583"/>
              <w:gridCol w:w="4087"/>
              <w:gridCol w:w="2045"/>
              <w:gridCol w:w="97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5"/>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商砼（沥青）搅拌站企业绩效分级指标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gridSpan w:val="2"/>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差异化指标</w:t>
                  </w:r>
                </w:p>
              </w:tc>
              <w:tc>
                <w:tcPr>
                  <w:tcW w:w="2504" w:type="pct"/>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A级企业</w:t>
                  </w:r>
                </w:p>
              </w:tc>
              <w:tc>
                <w:tcPr>
                  <w:tcW w:w="1253" w:type="pct"/>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eastAsia" w:ascii="Times New Roman" w:hAnsi="Times New Roman" w:eastAsia="宋体" w:cs="Times New Roman"/>
                      <w:sz w:val="21"/>
                      <w:szCs w:val="21"/>
                      <w:lang w:val="en-US" w:eastAsia="zh-CN"/>
                    </w:rPr>
                    <w:t>建设</w:t>
                  </w:r>
                  <w:r>
                    <w:rPr>
                      <w:rFonts w:hint="default" w:ascii="Times New Roman" w:hAnsi="Times New Roman" w:eastAsia="宋体" w:cs="Times New Roman"/>
                      <w:sz w:val="21"/>
                      <w:szCs w:val="21"/>
                    </w:rPr>
                    <w:t>情况</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gridSpan w:val="2"/>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能源类型</w:t>
                  </w: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使用电、天然气等能源</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本项目使用电。</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gridSpan w:val="2"/>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生产工艺及装备水平</w:t>
                  </w: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1.属于《产业结构调整指导目录（2019年版）》鼓励类和允许类；2.符合相关行业产业政策；3.符合河南省相关政策要求；4.符合市级规划。</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本项目属于《产业结构调整指导目录（2019年版）》允许类；符合相关行业产业政策；符合河南省相关政策要求；符合市级规划。</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gridSpan w:val="2"/>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污染治理技术</w:t>
                  </w: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1.沥青烟、PM治理采用覆膜袋式除尘器、滤筒除尘器、湿电除尘等高效除尘技术（除湿电除尘外，设计效率不低于99%）；</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2.对排放的VOCs进行全面收集，经去除 PM（沥青烟）后，采用燃烧工艺进行处理或引至锅炉燃烧处理；</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3.沥青槽及沥青储罐排气经密闭收集后，经去除PM（沥青烟）后，采用燃烧工艺进行处理或引至锅炉燃烧处理；</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4.燃气锅炉（导热油炉）完成低氮燃烧。</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1、本项目PM治理采用脉冲袋式除尘器（设计效率不低于99%）。</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2、项目不涉及VOCs</w:t>
                  </w: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3、项目不涉及沥青槽及沥青储罐。</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4、本项目不涉及锅炉。</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gridSpan w:val="2"/>
                  <w:vMerge w:val="restart"/>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无组织管控</w:t>
                  </w: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1.所有物料（包括原辅料、半成品、成品）采用料仓、储罐、料库等方式封闭储存；沥青储罐设置在厂房内，呼吸孔安装VOCs收集净化设施；</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所有散状物料运输采用密闭皮带、密闭通廊、管状带式输送机或密闭车厢、真空罐车、气力输送等密闭方式；沥青运输、储存、装卸、加热、改性等过程密闭，沥青采用密闭管道输送投加，配备沥青加料自动联锁系统；</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各物料破碎、搅拌、转载、下料口、卸料装车等设置集尘罩并配置袋式除尘器，库顶等泄压口配备袋式除尘器或滤筒除尘器；搅拌机皮带跌落点等产尘点配套抽风收尘及除尘装置，不得有明显粉尘逸散；卸沥青槽密闭，沥青槽及沥青储罐废气负压引至废气收集处理系统；</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4.沥青砼搅拌（拌和）楼需二次封闭并将粉料储罐封闭在内，沥青砼搅拌机、搅拌楼配套安装沥青烟气收集及处理设施；沥青砼成品装车处封闭，配套安装沥青烟气收集及处理设施；</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5.除尘器卸灰不直接卸落到地面，采用封闭袋接或封闭式螺旋输送，卸灰区封闭；</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6.料棚配备喷雾抑尘设施或物料全部封闭储存，货物进出大门为自动感应门，在确保安全的情况下，所有门窗保持常闭状态；</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7.厂区地面全部硬化或绿化，无成片裸露土地。</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1、本项目所有物料（包括原辅料、半成品、成品）采用</w:t>
                  </w:r>
                  <w:r>
                    <w:rPr>
                      <w:rFonts w:hint="eastAsia" w:ascii="Times New Roman" w:hAnsi="Times New Roman" w:eastAsia="宋体" w:cs="Times New Roman"/>
                      <w:sz w:val="21"/>
                      <w:szCs w:val="21"/>
                      <w:lang w:val="en-US" w:eastAsia="zh-CN"/>
                    </w:rPr>
                    <w:t>原料仓库</w:t>
                  </w:r>
                  <w:r>
                    <w:rPr>
                      <w:rFonts w:hint="default" w:ascii="Times New Roman" w:hAnsi="Times New Roman" w:eastAsia="宋体" w:cs="Times New Roman"/>
                      <w:sz w:val="21"/>
                      <w:szCs w:val="21"/>
                    </w:rPr>
                    <w:t>、储罐、料库等方式封闭储存；</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2、本项目所有散状物料运输采用密闭皮带或气力输送等密闭方式；</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3、本项目物料转载过程配料</w:t>
                  </w:r>
                  <w:r>
                    <w:rPr>
                      <w:rFonts w:hint="eastAsia" w:ascii="Times New Roman" w:hAnsi="Times New Roman" w:eastAsia="宋体" w:cs="Times New Roman"/>
                      <w:sz w:val="21"/>
                      <w:szCs w:val="21"/>
                      <w:lang w:val="en-US" w:eastAsia="zh-CN"/>
                    </w:rPr>
                    <w:t>配备三面一档集气罩</w:t>
                  </w:r>
                  <w:r>
                    <w:rPr>
                      <w:rFonts w:hint="default" w:ascii="Times New Roman" w:hAnsi="Times New Roman" w:eastAsia="宋体" w:cs="Times New Roman"/>
                      <w:sz w:val="21"/>
                      <w:szCs w:val="21"/>
                      <w:lang w:val="en-US" w:eastAsia="zh-CN"/>
                    </w:rPr>
                    <w:t>及</w:t>
                  </w:r>
                  <w:r>
                    <w:rPr>
                      <w:rFonts w:hint="eastAsia" w:ascii="Times New Roman" w:hAnsi="Times New Roman" w:eastAsia="宋体" w:cs="Times New Roman"/>
                      <w:sz w:val="21"/>
                      <w:szCs w:val="21"/>
                      <w:lang w:val="en-US" w:eastAsia="zh-CN"/>
                    </w:rPr>
                    <w:t>脉冲袋式除尘器；</w:t>
                  </w:r>
                  <w:r>
                    <w:rPr>
                      <w:rFonts w:hint="default" w:ascii="Times New Roman" w:hAnsi="Times New Roman" w:eastAsia="宋体" w:cs="Times New Roman"/>
                      <w:sz w:val="21"/>
                      <w:szCs w:val="21"/>
                    </w:rPr>
                    <w:t>搅拌工序</w:t>
                  </w:r>
                  <w:r>
                    <w:rPr>
                      <w:rFonts w:hint="eastAsia" w:ascii="Times New Roman" w:hAnsi="Times New Roman" w:eastAsia="宋体" w:cs="Times New Roman"/>
                      <w:sz w:val="21"/>
                      <w:szCs w:val="21"/>
                      <w:lang w:val="en-US" w:eastAsia="zh-CN"/>
                    </w:rPr>
                    <w:t>在密闭搅拌楼中进行</w:t>
                  </w:r>
                  <w:r>
                    <w:rPr>
                      <w:rFonts w:hint="default" w:ascii="Times New Roman" w:hAnsi="Times New Roman" w:eastAsia="宋体" w:cs="Times New Roman"/>
                      <w:sz w:val="21"/>
                      <w:szCs w:val="21"/>
                    </w:rPr>
                    <w:t>并配置脉冲袋式除尘器</w:t>
                  </w:r>
                  <w:r>
                    <w:rPr>
                      <w:rFonts w:hint="eastAsia" w:ascii="Times New Roman" w:hAnsi="Times New Roman" w:eastAsia="宋体" w:cs="Times New Roman"/>
                      <w:sz w:val="21"/>
                      <w:szCs w:val="21"/>
                      <w:lang w:val="en-US" w:eastAsia="zh-CN"/>
                    </w:rPr>
                    <w:t>；严控无组织粉尘</w:t>
                  </w:r>
                  <w:r>
                    <w:rPr>
                      <w:rFonts w:hint="default" w:ascii="Times New Roman" w:hAnsi="Times New Roman" w:eastAsia="宋体" w:cs="Times New Roman"/>
                      <w:sz w:val="21"/>
                      <w:szCs w:val="21"/>
                    </w:rPr>
                    <w:t>逸散；</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4、本项目不涉及沥青；</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5、本项目除尘器卸灰采用封闭袋接，不直接卸落到地面，卸灰区封闭；</w:t>
                  </w:r>
                </w:p>
                <w:p>
                  <w:pPr>
                    <w:pStyle w:val="1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6、本项目</w:t>
                  </w:r>
                  <w:r>
                    <w:rPr>
                      <w:rFonts w:hint="default" w:ascii="Times New Roman" w:hAnsi="Times New Roman" w:eastAsia="宋体" w:cs="Times New Roman"/>
                      <w:sz w:val="21"/>
                      <w:szCs w:val="21"/>
                      <w:lang w:val="en-US" w:eastAsia="zh-CN"/>
                    </w:rPr>
                    <w:t>原料仓库</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配备喷雾抑尘设施，物料全部封闭储存，</w:t>
                  </w:r>
                  <w:r>
                    <w:rPr>
                      <w:rFonts w:hint="default" w:ascii="Times New Roman" w:hAnsi="Times New Roman" w:eastAsia="宋体" w:cs="Times New Roman"/>
                      <w:sz w:val="21"/>
                      <w:szCs w:val="21"/>
                      <w:lang w:val="en-US" w:eastAsia="zh-CN"/>
                    </w:rPr>
                    <w:t>物料</w:t>
                  </w:r>
                  <w:r>
                    <w:rPr>
                      <w:rFonts w:hint="default" w:ascii="Times New Roman" w:hAnsi="Times New Roman" w:eastAsia="宋体" w:cs="Times New Roman"/>
                      <w:sz w:val="21"/>
                      <w:szCs w:val="21"/>
                    </w:rPr>
                    <w:t>进出大门为自动感应门，在确保安全的情况下，所有门窗保持常闭状态；</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7、本项目</w:t>
                  </w:r>
                  <w:r>
                    <w:rPr>
                      <w:rFonts w:hint="default" w:ascii="Times New Roman" w:hAnsi="Times New Roman" w:eastAsia="宋体" w:cs="Times New Roman"/>
                      <w:sz w:val="21"/>
                      <w:szCs w:val="21"/>
                      <w:lang w:val="en-US" w:eastAsia="zh-CN"/>
                    </w:rPr>
                    <w:t>按要求进行厂区</w:t>
                  </w:r>
                  <w:r>
                    <w:rPr>
                      <w:rFonts w:hint="default" w:ascii="Times New Roman" w:hAnsi="Times New Roman" w:eastAsia="宋体" w:cs="Times New Roman"/>
                      <w:sz w:val="21"/>
                      <w:szCs w:val="21"/>
                    </w:rPr>
                    <w:t>地面硬化或绿化，无成片裸露土地。</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gridSpan w:val="2"/>
                  <w:vMerge w:val="continue"/>
                  <w:noWrap w:val="0"/>
                  <w:vAlign w:val="center"/>
                </w:tcPr>
                <w:p>
                  <w:pPr>
                    <w:pStyle w:val="118"/>
                    <w:jc w:val="center"/>
                    <w:rPr>
                      <w:rFonts w:hint="default" w:ascii="Times New Roman" w:hAnsi="Times New Roman" w:eastAsia="宋体" w:cs="Times New Roman"/>
                      <w:sz w:val="21"/>
                      <w:szCs w:val="21"/>
                    </w:rPr>
                  </w:pP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1.企业出厂口和料场出口处【1】配备自动感应式高压清洗装置，对所有货物运输车辆的车轮、底盘进行冲洗；</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2.洗车台周边配备视频监控，有辅助照明系统，视频监控记录能够保存三个月以上；</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3.洗车台全自动操作，有最低冲洗时间控制功能，具备自动和手动冲洗功能；洗车台长度不低于18米，配备热风烘干系统；</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 洗车台配废水处理系统。</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1、本项目出厂口配备自动感应式高压清洗装置，对所有货物运输车辆的车轮、底盘进行冲洗；</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eastAsia" w:ascii="Times New Roman" w:hAnsi="Times New Roman" w:eastAsia="宋体" w:cs="Times New Roman"/>
                      <w:sz w:val="21"/>
                      <w:szCs w:val="21"/>
                      <w:lang w:val="en-US" w:eastAsia="zh-CN"/>
                    </w:rPr>
                    <w:t>按要求在</w:t>
                  </w:r>
                  <w:r>
                    <w:rPr>
                      <w:rFonts w:hint="default" w:ascii="Times New Roman" w:hAnsi="Times New Roman" w:eastAsia="宋体" w:cs="Times New Roman"/>
                      <w:sz w:val="21"/>
                      <w:szCs w:val="21"/>
                    </w:rPr>
                    <w:t>洗车台周边配备视频监控，</w:t>
                  </w:r>
                  <w:r>
                    <w:rPr>
                      <w:rFonts w:hint="eastAsia" w:ascii="Times New Roman" w:hAnsi="Times New Roman" w:eastAsia="宋体" w:cs="Times New Roman"/>
                      <w:sz w:val="21"/>
                      <w:szCs w:val="21"/>
                      <w:lang w:val="en-US" w:eastAsia="zh-CN"/>
                    </w:rPr>
                    <w:t>并</w:t>
                  </w:r>
                  <w:r>
                    <w:rPr>
                      <w:rFonts w:hint="default" w:ascii="Times New Roman" w:hAnsi="Times New Roman" w:eastAsia="宋体" w:cs="Times New Roman"/>
                      <w:sz w:val="21"/>
                      <w:szCs w:val="21"/>
                    </w:rPr>
                    <w:t>辅助照明系统，视频监控记录能够保存三个月以上；</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r>
                    <w:rPr>
                      <w:rFonts w:hint="eastAsia" w:ascii="Times New Roman" w:hAnsi="Times New Roman" w:eastAsia="宋体" w:cs="Times New Roman"/>
                      <w:sz w:val="21"/>
                      <w:szCs w:val="21"/>
                      <w:lang w:val="en-US" w:eastAsia="zh-CN"/>
                    </w:rPr>
                    <w:t>按要求在</w:t>
                  </w:r>
                  <w:r>
                    <w:rPr>
                      <w:rFonts w:hint="default" w:ascii="Times New Roman" w:hAnsi="Times New Roman" w:eastAsia="宋体" w:cs="Times New Roman"/>
                      <w:sz w:val="21"/>
                      <w:szCs w:val="21"/>
                    </w:rPr>
                    <w:t>洗车台全自动操作，有最低冲洗时间控制功能，具备自动和手动冲洗功能；洗车台长度不低于18米，配备热风烘干系统；</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4、本项目洗车台配废水处理系统。</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gridSpan w:val="2"/>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排放限值</w:t>
                  </w: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1.PM、NMHC、沥青烟有组织排放浓度均不高于10mg/m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2.VOCs治理设施同步运行率和去除率分别达到100%和80%；</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3.厂界PM排放浓度不高于1mg/m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4.锅炉（导热油炉）烟气排放要求：PM、 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、NOx排放浓度不超过5、10、30mg/m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（基准氧含量3.5%）。</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1、本项目PM有组织排放浓度不高于10mg/m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2、本项目不涉及VOCs</w:t>
                  </w: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3、本项目建成后厂界颗粒物应满足</w:t>
                  </w:r>
                  <w:r>
                    <w:rPr>
                      <w:rFonts w:hint="default" w:ascii="Times New Roman" w:hAnsi="Times New Roman" w:eastAsia="宋体" w:cs="Times New Roman"/>
                      <w:sz w:val="21"/>
                      <w:szCs w:val="21"/>
                      <w:lang w:val="en-US" w:eastAsia="zh-CN"/>
                    </w:rPr>
                    <w:t>0.5</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的排放限值；</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4、本项目不涉及锅炉。</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gridSpan w:val="2"/>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监测监控水平</w:t>
                  </w: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1.有组织排放口按生态环境部门要求安装烟气排放自动监控设施（CEMS），并按要求联网；</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2.有组织排放口按照排污许可证要求开展自行监测；</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3.涉气生产工序、生产装置及污染治理设施按生态环境部门要求安装用电监管设备，用电监管设备与省、市生态环境部门用电监管平台联网；</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4.厂内未安装在线监控的主要涉气生产环节、料场出入口等易产尘点安装高清视频监控系统，视频保存三个月以上。</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1、本项目有组织排放口按生态环境部门要求安装烟气排放自动监控设施（CEMS），并按要求联网；</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2、本项目有组织排放口按照排污许可证要求开展自行监测；</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3、本项目涉气生产工序、生产装置及污染治理设施按生态环境部门要求安装用电监管设备，用电监管设备与省、市生态环境部门用电监管平台联网；</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4、本项目主要涉气生产环节、料场出入口等易产尘点安装高清视频监控系统，视频保存三个月以上。</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Merge w:val="restart"/>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 境 管</w:t>
                  </w:r>
                </w:p>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理</w:t>
                  </w:r>
                </w:p>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w:t>
                  </w:r>
                </w:p>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w:t>
                  </w:r>
                </w:p>
              </w:tc>
              <w:tc>
                <w:tcPr>
                  <w:tcW w:w="356" w:type="pct"/>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w:t>
                  </w:r>
                </w:p>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档案</w:t>
                  </w: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1.环评批复文件和竣工环保验收文件或环境现状评估备案证明；</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2.国家版排污许可证；</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3.环境管理制度（有组织、无组织排放长效管理机制，主要包括岗位责任制度、达标公示制度和定期巡查维护制度等）；</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4.废气治理设施运行管理规程；</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5.一年内废气监测报告（符合排污许可证监测项目及频次要求）。</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本项目按照要求完善相关资料。</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Merge w:val="continue"/>
                  <w:noWrap w:val="0"/>
                  <w:vAlign w:val="center"/>
                </w:tcPr>
                <w:p>
                  <w:pPr>
                    <w:pStyle w:val="118"/>
                    <w:jc w:val="center"/>
                    <w:rPr>
                      <w:rFonts w:hint="default" w:ascii="Times New Roman" w:hAnsi="Times New Roman" w:eastAsia="宋体" w:cs="Times New Roman"/>
                      <w:sz w:val="21"/>
                      <w:szCs w:val="21"/>
                    </w:rPr>
                  </w:pPr>
                </w:p>
              </w:tc>
              <w:tc>
                <w:tcPr>
                  <w:tcW w:w="356" w:type="pct"/>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台账</w:t>
                  </w:r>
                </w:p>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记录</w:t>
                  </w: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1.生产设施运行管理信息（生产时间、运行负荷、产品产量等）；</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2.废气污染治理设施运行管理信息；</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3.监测记录信息（主要污染排放口废气排放记录等）；</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4.主要原辅材料消耗记录；</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5.燃料消耗记录；</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6.固废、危废处理记录；</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7.运输车辆、厂内车辆、非道路移动机械电子台账(进出场时间、车辆或非道路移动机械信息、运送货物名称及运量等)。</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本项目建成后，按照要求完善相关资料。</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9" w:type="pct"/>
                  <w:vMerge w:val="continue"/>
                  <w:noWrap w:val="0"/>
                  <w:vAlign w:val="center"/>
                </w:tcPr>
                <w:p>
                  <w:pPr>
                    <w:pStyle w:val="118"/>
                    <w:jc w:val="center"/>
                    <w:rPr>
                      <w:rFonts w:hint="default" w:ascii="Times New Roman" w:hAnsi="Times New Roman" w:eastAsia="宋体" w:cs="Times New Roman"/>
                      <w:sz w:val="21"/>
                      <w:szCs w:val="21"/>
                    </w:rPr>
                  </w:pPr>
                </w:p>
              </w:tc>
              <w:tc>
                <w:tcPr>
                  <w:tcW w:w="356" w:type="pct"/>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人员</w:t>
                  </w:r>
                </w:p>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配置</w:t>
                  </w: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设置环保部门，配备专职环保人员，并具备相应的环境管理能力（学历、培训、从业经验等）。</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本项目设置环保部门，配备具备相应的环境管理能力的专职环保人员。</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gridSpan w:val="2"/>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运输方式</w:t>
                  </w: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1、物料、产品公路运输（除水泥罐式货车外）采用新能源或达到国六排放标准车辆；</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2.厂区车辆全部达国五及以上排放标准（重型燃气车辆达到国六排放标准）或使用新能源车辆；</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3.厂内非道路移动机械达到国三及以上排放标准或使用新能源机械。</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1、本项目物料、产品公路运输（除水泥罐式货车外）采用新能源或达到国六排放标准车辆；</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2、本项目厂区车辆全部达国五及以上排放标准（重型燃气车辆达到国六排放标准）或使用新能源车辆；</w:t>
                  </w:r>
                </w:p>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3、本项目厂内非道路移动机械达到国三及以上排放标准或使用新能源机械。</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6" w:type="pct"/>
                  <w:gridSpan w:val="2"/>
                  <w:noWrap w:val="0"/>
                  <w:vAlign w:val="center"/>
                </w:tcPr>
                <w:p>
                  <w:pPr>
                    <w:pStyle w:val="11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运输监管</w:t>
                  </w:r>
                </w:p>
              </w:tc>
              <w:tc>
                <w:tcPr>
                  <w:tcW w:w="2504"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日均进出货物150吨（或载货车辆日进出10 辆次）及以上（货物包括原料、辅料、燃料、产品和其他与生产相关物料）的企业，或纳入我省重点行业</w:t>
                  </w:r>
                  <w:r>
                    <w:rPr>
                      <w:rFonts w:hint="default" w:ascii="Times New Roman" w:hAnsi="Times New Roman" w:eastAsia="宋体" w:cs="Times New Roman"/>
                      <w:sz w:val="21"/>
                      <w:szCs w:val="21"/>
                      <w:lang w:eastAsia="zh-CN"/>
                    </w:rPr>
                    <w:t>年生产</w:t>
                  </w:r>
                  <w:r>
                    <w:rPr>
                      <w:rFonts w:hint="default" w:ascii="Times New Roman" w:hAnsi="Times New Roman" w:eastAsia="宋体" w:cs="Times New Roman"/>
                      <w:sz w:val="21"/>
                      <w:szCs w:val="21"/>
                    </w:rPr>
                    <w:t>值1000万及以上的企业，应参照《重污染天气重点行业移动源应急管理技术指南》建立门禁视频监控系统和电子台账；其他企业建立电子台账。</w:t>
                  </w:r>
                </w:p>
              </w:tc>
              <w:tc>
                <w:tcPr>
                  <w:tcW w:w="1253" w:type="pct"/>
                  <w:noWrap w:val="0"/>
                  <w:vAlign w:val="center"/>
                </w:tcPr>
                <w:p>
                  <w:pPr>
                    <w:pStyle w:val="11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本项目参照《重污染天气重点行业移动源应急管理技术指南》建立门禁视频监控系统和电子台账。</w:t>
                  </w:r>
                </w:p>
              </w:tc>
              <w:tc>
                <w:tcPr>
                  <w:tcW w:w="597" w:type="pct"/>
                  <w:noWrap w:val="0"/>
                  <w:vAlign w:val="center"/>
                </w:tcPr>
                <w:p>
                  <w:pPr>
                    <w:pStyle w:val="21"/>
                    <w:spacing w:before="0" w:beforeAutospacing="0" w:after="0" w:afterAutospacing="0"/>
                    <w:jc w:val="center"/>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5"/>
                  <w:noWrap w:val="0"/>
                  <w:vAlign w:val="center"/>
                </w:tcPr>
                <w:p>
                  <w:pPr>
                    <w:pStyle w:val="21"/>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备注【1】：料场口与出厂口距离在100米以内的可合并安装1处洗车台</w:t>
                  </w:r>
                </w:p>
              </w:tc>
            </w:tr>
          </w:tbl>
          <w:p>
            <w:pPr>
              <w:autoSpaceDE w:val="0"/>
              <w:autoSpaceDN w:val="0"/>
              <w:adjustRightInd w:val="0"/>
              <w:snapToGrid w:val="0"/>
              <w:spacing w:line="460" w:lineRule="exact"/>
              <w:ind w:firstLine="480" w:firstLineChars="200"/>
              <w:jc w:val="left"/>
              <w:rPr>
                <w:rFonts w:hint="eastAsia"/>
                <w:sz w:val="24"/>
                <w:szCs w:val="24"/>
              </w:rPr>
            </w:pPr>
            <w:r>
              <w:rPr>
                <w:rFonts w:hint="eastAsia"/>
                <w:sz w:val="24"/>
                <w:szCs w:val="24"/>
              </w:rPr>
              <w:t>评价要求：本项目严格按照上述要求进行建设，满足绩效引领性及</w:t>
            </w:r>
            <w:r>
              <w:rPr>
                <w:rFonts w:hint="eastAsia"/>
                <w:sz w:val="24"/>
                <w:szCs w:val="24"/>
                <w:lang w:val="en-US" w:eastAsia="zh-CN"/>
              </w:rPr>
              <w:t>河南省重点行业</w:t>
            </w:r>
            <w:r>
              <w:rPr>
                <w:rFonts w:hint="eastAsia"/>
                <w:sz w:val="24"/>
                <w:szCs w:val="24"/>
              </w:rPr>
              <w:t>A级要求，并积极接受生态环境管理部门的监督检查。</w:t>
            </w:r>
          </w:p>
          <w:p>
            <w:pPr>
              <w:spacing w:line="440" w:lineRule="exact"/>
              <w:ind w:firstLine="480" w:firstLineChars="200"/>
              <w:jc w:val="left"/>
              <w:textAlignment w:val="baseline"/>
              <w:rPr>
                <w:rFonts w:hint="default"/>
                <w:sz w:val="24"/>
                <w:szCs w:val="24"/>
                <w:lang w:val="en-US" w:eastAsia="zh-CN"/>
              </w:rPr>
            </w:pPr>
            <w:r>
              <w:rPr>
                <w:rFonts w:hint="eastAsia"/>
                <w:sz w:val="24"/>
                <w:szCs w:val="24"/>
                <w:lang w:val="en-US" w:eastAsia="zh-CN"/>
              </w:rPr>
              <w:t>9</w:t>
            </w:r>
            <w:r>
              <w:rPr>
                <w:rFonts w:hint="default"/>
                <w:sz w:val="24"/>
                <w:szCs w:val="24"/>
                <w:lang w:val="en-US" w:eastAsia="zh-CN"/>
              </w:rPr>
              <w:t>、与《新乡市生态环境局关于部署安装工业企业用电量监控系统的通知》新环 [2019]154号文的对照分析</w:t>
            </w:r>
          </w:p>
          <w:p>
            <w:pPr>
              <w:spacing w:line="440" w:lineRule="exact"/>
              <w:ind w:firstLine="720" w:firstLineChars="300"/>
              <w:textAlignment w:val="baseline"/>
              <w:rPr>
                <w:rFonts w:hint="default"/>
                <w:sz w:val="24"/>
                <w:szCs w:val="24"/>
              </w:rPr>
            </w:pPr>
            <w:r>
              <w:rPr>
                <w:rFonts w:hint="default"/>
                <w:sz w:val="24"/>
                <w:szCs w:val="24"/>
              </w:rPr>
              <w:t>表</w:t>
            </w:r>
            <w:r>
              <w:rPr>
                <w:rFonts w:hint="eastAsia"/>
                <w:sz w:val="24"/>
                <w:szCs w:val="24"/>
                <w:lang w:val="en-US" w:eastAsia="zh-CN"/>
              </w:rPr>
              <w:t>1-9</w:t>
            </w:r>
            <w:r>
              <w:rPr>
                <w:rFonts w:hint="default"/>
                <w:sz w:val="24"/>
                <w:szCs w:val="24"/>
              </w:rPr>
              <w:t xml:space="preserve">      与新环 [2019]154号文的对照分析</w:t>
            </w:r>
          </w:p>
          <w:tbl>
            <w:tblPr>
              <w:tblStyle w:val="24"/>
              <w:tblW w:w="4900" w:type="pct"/>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2"/>
              <w:gridCol w:w="4291"/>
              <w:gridCol w:w="2146"/>
              <w:gridCol w:w="708"/>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8" w:space="0"/>
                    <w:left w:val="nil"/>
                    <w:bottom w:val="single" w:color="auto" w:sz="8" w:space="0"/>
                    <w:right w:val="single" w:color="auto" w:sz="4" w:space="0"/>
                  </w:tcBorders>
                  <w:vAlign w:val="center"/>
                </w:tcPr>
                <w:p>
                  <w:pPr>
                    <w:adjustRightInd w:val="0"/>
                    <w:snapToGrid w:val="0"/>
                    <w:jc w:val="center"/>
                    <w:textAlignment w:val="baseline"/>
                    <w:rPr>
                      <w:rFonts w:hint="default"/>
                      <w:sz w:val="21"/>
                      <w:szCs w:val="21"/>
                    </w:rPr>
                  </w:pPr>
                  <w:r>
                    <w:rPr>
                      <w:rFonts w:hint="default"/>
                      <w:sz w:val="21"/>
                      <w:szCs w:val="21"/>
                    </w:rPr>
                    <w:t>主要任务</w:t>
                  </w:r>
                </w:p>
              </w:tc>
              <w:tc>
                <w:tcPr>
                  <w:tcW w:w="3402"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hint="default"/>
                      <w:sz w:val="21"/>
                      <w:szCs w:val="21"/>
                    </w:rPr>
                  </w:pPr>
                  <w:r>
                    <w:rPr>
                      <w:rFonts w:hint="default"/>
                      <w:sz w:val="21"/>
                      <w:szCs w:val="21"/>
                    </w:rPr>
                    <w:t>与本项目相关条文</w:t>
                  </w:r>
                </w:p>
              </w:tc>
              <w:tc>
                <w:tcPr>
                  <w:tcW w:w="1701"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hint="default"/>
                      <w:sz w:val="21"/>
                      <w:szCs w:val="21"/>
                    </w:rPr>
                  </w:pPr>
                  <w:r>
                    <w:rPr>
                      <w:rFonts w:hint="default"/>
                      <w:sz w:val="21"/>
                      <w:szCs w:val="21"/>
                    </w:rPr>
                    <w:t>本项目情况</w:t>
                  </w:r>
                </w:p>
              </w:tc>
              <w:tc>
                <w:tcPr>
                  <w:tcW w:w="561" w:type="dxa"/>
                  <w:tcBorders>
                    <w:top w:val="single" w:color="auto" w:sz="8" w:space="0"/>
                    <w:left w:val="single" w:color="auto" w:sz="4" w:space="0"/>
                    <w:bottom w:val="single" w:color="auto" w:sz="8" w:space="0"/>
                    <w:right w:val="nil"/>
                  </w:tcBorders>
                  <w:vAlign w:val="center"/>
                </w:tcPr>
                <w:p>
                  <w:pPr>
                    <w:adjustRightInd w:val="0"/>
                    <w:snapToGrid w:val="0"/>
                    <w:ind w:left="-146" w:leftChars="-52"/>
                    <w:jc w:val="center"/>
                    <w:textAlignment w:val="baseline"/>
                    <w:rPr>
                      <w:rFonts w:hint="default"/>
                      <w:sz w:val="21"/>
                      <w:szCs w:val="21"/>
                    </w:rPr>
                  </w:pPr>
                  <w:r>
                    <w:rPr>
                      <w:rFonts w:hint="default"/>
                      <w:sz w:val="21"/>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nil"/>
                    <w:bottom w:val="single" w:color="auto" w:sz="8" w:space="0"/>
                    <w:right w:val="single" w:color="auto" w:sz="4" w:space="0"/>
                  </w:tcBorders>
                  <w:vAlign w:val="center"/>
                </w:tcPr>
                <w:p>
                  <w:pPr>
                    <w:adjustRightInd w:val="0"/>
                    <w:snapToGrid w:val="0"/>
                    <w:jc w:val="center"/>
                    <w:textAlignment w:val="baseline"/>
                    <w:rPr>
                      <w:rFonts w:hint="default"/>
                      <w:sz w:val="21"/>
                      <w:szCs w:val="21"/>
                    </w:rPr>
                  </w:pPr>
                  <w:r>
                    <w:rPr>
                      <w:rFonts w:hint="default"/>
                      <w:sz w:val="21"/>
                      <w:szCs w:val="21"/>
                    </w:rPr>
                    <w:t>安装范围</w:t>
                  </w:r>
                </w:p>
              </w:tc>
              <w:tc>
                <w:tcPr>
                  <w:tcW w:w="3402"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textAlignment w:val="baseline"/>
                    <w:rPr>
                      <w:rFonts w:hint="default"/>
                      <w:sz w:val="21"/>
                      <w:szCs w:val="21"/>
                    </w:rPr>
                  </w:pPr>
                  <w:r>
                    <w:rPr>
                      <w:rFonts w:hint="default"/>
                      <w:sz w:val="21"/>
                      <w:szCs w:val="21"/>
                    </w:rPr>
                    <w:t>所有排污企业的总用电控制位置、主要生产设施和污染治理设施必须安装用电量监控系统终端。</w:t>
                  </w:r>
                </w:p>
              </w:tc>
              <w:tc>
                <w:tcPr>
                  <w:tcW w:w="1701" w:type="dxa"/>
                  <w:tcBorders>
                    <w:top w:val="single" w:color="auto" w:sz="4" w:space="0"/>
                    <w:left w:val="single" w:color="auto" w:sz="4" w:space="0"/>
                    <w:bottom w:val="single" w:color="auto" w:sz="8" w:space="0"/>
                    <w:right w:val="single" w:color="auto" w:sz="4" w:space="0"/>
                  </w:tcBorders>
                  <w:vAlign w:val="center"/>
                </w:tcPr>
                <w:p>
                  <w:pPr>
                    <w:snapToGrid w:val="0"/>
                    <w:jc w:val="center"/>
                    <w:rPr>
                      <w:rFonts w:hint="default"/>
                      <w:sz w:val="21"/>
                      <w:szCs w:val="21"/>
                    </w:rPr>
                  </w:pPr>
                  <w:r>
                    <w:rPr>
                      <w:rFonts w:hint="default"/>
                      <w:sz w:val="21"/>
                      <w:szCs w:val="21"/>
                    </w:rPr>
                    <w:t>本项目严格按照要求安装用电量监控系统终端。</w:t>
                  </w:r>
                </w:p>
              </w:tc>
              <w:tc>
                <w:tcPr>
                  <w:tcW w:w="561" w:type="dxa"/>
                  <w:tcBorders>
                    <w:top w:val="single" w:color="auto" w:sz="4" w:space="0"/>
                    <w:left w:val="single" w:color="auto" w:sz="4" w:space="0"/>
                    <w:bottom w:val="single" w:color="auto" w:sz="8" w:space="0"/>
                    <w:right w:val="nil"/>
                  </w:tcBorders>
                  <w:vAlign w:val="center"/>
                </w:tcPr>
                <w:p>
                  <w:pPr>
                    <w:adjustRightInd w:val="0"/>
                    <w:snapToGrid w:val="0"/>
                    <w:jc w:val="center"/>
                    <w:textAlignment w:val="baseline"/>
                    <w:rPr>
                      <w:rFonts w:hint="default"/>
                      <w:sz w:val="21"/>
                      <w:szCs w:val="21"/>
                    </w:rPr>
                  </w:pPr>
                  <w:r>
                    <w:rPr>
                      <w:rFonts w:hint="default"/>
                      <w:sz w:val="21"/>
                      <w:szCs w:val="21"/>
                    </w:rPr>
                    <w:t>满足</w:t>
                  </w:r>
                </w:p>
              </w:tc>
            </w:tr>
          </w:tbl>
          <w:p>
            <w:pPr>
              <w:spacing w:line="440" w:lineRule="exact"/>
              <w:ind w:firstLine="480" w:firstLineChars="200"/>
              <w:jc w:val="left"/>
              <w:rPr>
                <w:rFonts w:hint="eastAsia"/>
                <w:lang w:eastAsia="zh-CN"/>
              </w:rPr>
            </w:pPr>
            <w:r>
              <w:rPr>
                <w:rFonts w:hint="default"/>
                <w:sz w:val="24"/>
                <w:szCs w:val="24"/>
              </w:rPr>
              <w:t>由上表可知，本项目满足《新乡市生态环境局关于部署安装工业企业用电量监控系统的通知》新环 [2019]154号文的相关要求</w:t>
            </w:r>
            <w:r>
              <w:rPr>
                <w:rFonts w:hint="default"/>
              </w:rPr>
              <w:t>。</w:t>
            </w:r>
            <w:r>
              <w:rPr>
                <w:rFonts w:hint="default"/>
              </w:rPr>
              <w:br w:type="textWrapping"/>
            </w:r>
            <w:r>
              <w:rPr>
                <w:rFonts w:hint="default"/>
              </w:rPr>
              <w:br w:type="textWrapping"/>
            </w:r>
            <w:r>
              <w:rPr>
                <w:rFonts w:hint="default"/>
              </w:rPr>
              <w:br w:type="textWrapping"/>
            </w:r>
            <w:r>
              <w:rPr>
                <w:rFonts w:hint="default"/>
              </w:rPr>
              <w:br w:type="textWrapping"/>
            </w:r>
            <w:r>
              <w:rPr>
                <w:rFonts w:hint="default"/>
              </w:rPr>
              <w:br w:type="textWrapping"/>
            </w:r>
          </w:p>
        </w:tc>
      </w:tr>
    </w:tbl>
    <w:p>
      <w:pPr>
        <w:jc w:val="left"/>
        <w:rPr>
          <w:b/>
          <w:color w:val="000000"/>
        </w:rPr>
      </w:pPr>
      <w:r>
        <w:rPr>
          <w:rFonts w:hint="eastAsia"/>
          <w:b/>
          <w:color w:val="000000"/>
        </w:rPr>
        <w:t xml:space="preserve">                二、建设项目工程分析</w:t>
      </w:r>
    </w:p>
    <w:tbl>
      <w:tblPr>
        <w:tblStyle w:val="25"/>
        <w:tblW w:w="9127" w:type="dxa"/>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523"/>
        <w:gridCol w:w="860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523" w:type="dxa"/>
            <w:tcBorders>
              <w:bottom w:val="single" w:color="auto" w:sz="4" w:space="0"/>
              <w:right w:val="single" w:color="auto" w:sz="4" w:space="0"/>
            </w:tcBorders>
          </w:tcPr>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r>
              <w:rPr>
                <w:rFonts w:hint="eastAsia"/>
                <w:color w:val="000000"/>
                <w:sz w:val="21"/>
                <w:szCs w:val="21"/>
              </w:rPr>
              <w:t>建</w:t>
            </w:r>
          </w:p>
          <w:p>
            <w:pPr>
              <w:jc w:val="center"/>
              <w:rPr>
                <w:color w:val="000000"/>
                <w:sz w:val="21"/>
                <w:szCs w:val="21"/>
              </w:rPr>
            </w:pPr>
            <w:r>
              <w:rPr>
                <w:rFonts w:hint="eastAsia"/>
                <w:color w:val="000000"/>
                <w:sz w:val="21"/>
                <w:szCs w:val="21"/>
              </w:rPr>
              <w:t>设</w:t>
            </w:r>
          </w:p>
          <w:p>
            <w:pPr>
              <w:jc w:val="center"/>
              <w:rPr>
                <w:color w:val="000000"/>
                <w:sz w:val="21"/>
                <w:szCs w:val="21"/>
              </w:rPr>
            </w:pPr>
            <w:r>
              <w:rPr>
                <w:rFonts w:hint="eastAsia"/>
                <w:color w:val="000000"/>
                <w:sz w:val="21"/>
                <w:szCs w:val="21"/>
              </w:rPr>
              <w:t>内</w:t>
            </w:r>
          </w:p>
          <w:p>
            <w:pPr>
              <w:jc w:val="center"/>
              <w:rPr>
                <w:color w:val="000000"/>
                <w:sz w:val="21"/>
                <w:szCs w:val="21"/>
              </w:rPr>
            </w:pPr>
            <w:r>
              <w:rPr>
                <w:rFonts w:hint="eastAsia"/>
                <w:color w:val="000000"/>
                <w:sz w:val="21"/>
                <w:szCs w:val="21"/>
              </w:rPr>
              <w:t>容</w:t>
            </w:r>
          </w:p>
        </w:tc>
        <w:tc>
          <w:tcPr>
            <w:tcW w:w="8604" w:type="dxa"/>
            <w:tcBorders>
              <w:top w:val="single" w:color="auto" w:sz="8" w:space="0"/>
              <w:left w:val="single" w:color="auto" w:sz="4" w:space="0"/>
              <w:bottom w:val="single" w:color="auto" w:sz="4" w:space="0"/>
            </w:tcBorders>
          </w:tcPr>
          <w:p>
            <w:pPr>
              <w:spacing w:line="480" w:lineRule="exact"/>
              <w:rPr>
                <w:b/>
                <w:sz w:val="24"/>
                <w:szCs w:val="24"/>
              </w:rPr>
            </w:pPr>
            <w:r>
              <w:rPr>
                <w:rFonts w:hint="eastAsia"/>
                <w:b/>
                <w:sz w:val="24"/>
                <w:szCs w:val="24"/>
              </w:rPr>
              <w:t xml:space="preserve">   一、项目由来</w:t>
            </w:r>
          </w:p>
          <w:p>
            <w:pPr>
              <w:spacing w:line="440" w:lineRule="exact"/>
              <w:ind w:firstLine="480" w:firstLineChars="200"/>
              <w:rPr>
                <w:sz w:val="24"/>
                <w:szCs w:val="24"/>
              </w:rPr>
            </w:pPr>
            <w:r>
              <w:rPr>
                <w:rFonts w:hint="eastAsia"/>
                <w:sz w:val="24"/>
              </w:rPr>
              <w:t>新乡市鑫瑞新型建材有限公司</w:t>
            </w:r>
            <w:r>
              <w:rPr>
                <w:rFonts w:hint="eastAsia"/>
                <w:sz w:val="24"/>
                <w:szCs w:val="24"/>
              </w:rPr>
              <w:t>位于</w:t>
            </w:r>
            <w:r>
              <w:rPr>
                <w:rFonts w:hint="eastAsia"/>
                <w:sz w:val="24"/>
              </w:rPr>
              <w:t>新乡市新乡县七里营镇敦留店村</w:t>
            </w:r>
            <w:r>
              <w:rPr>
                <w:sz w:val="24"/>
              </w:rPr>
              <w:t>1151</w:t>
            </w:r>
            <w:r>
              <w:rPr>
                <w:rFonts w:hint="eastAsia"/>
                <w:sz w:val="24"/>
              </w:rPr>
              <w:t>号</w:t>
            </w:r>
            <w:r>
              <w:rPr>
                <w:rFonts w:hint="eastAsia"/>
                <w:sz w:val="24"/>
                <w:szCs w:val="24"/>
              </w:rPr>
              <w:t>，根据市场需求</w:t>
            </w:r>
            <w:r>
              <w:rPr>
                <w:rFonts w:hint="eastAsia"/>
                <w:sz w:val="24"/>
              </w:rPr>
              <w:t>投资700万元，建设</w:t>
            </w:r>
            <w:r>
              <w:rPr>
                <w:rFonts w:hint="eastAsia"/>
                <w:sz w:val="24"/>
                <w:lang w:eastAsia="zh-CN"/>
              </w:rPr>
              <w:t>年生产</w:t>
            </w:r>
            <w:r>
              <w:rPr>
                <w:rFonts w:hint="eastAsia"/>
                <w:sz w:val="24"/>
              </w:rPr>
              <w:t>60万立方米商品混凝土项目</w:t>
            </w:r>
            <w:r>
              <w:rPr>
                <w:rFonts w:hint="eastAsia"/>
                <w:sz w:val="24"/>
                <w:szCs w:val="24"/>
              </w:rPr>
              <w:t>，项目厂房为租赁（租赁协议见附件）</w:t>
            </w:r>
            <w:r>
              <w:rPr>
                <w:rFonts w:hint="eastAsia"/>
                <w:kern w:val="0"/>
                <w:sz w:val="24"/>
                <w:szCs w:val="24"/>
              </w:rPr>
              <w:t>，本项目已通过新乡县发展和改革委员会备案，项目代码为：</w:t>
            </w:r>
            <w:r>
              <w:rPr>
                <w:rFonts w:hint="eastAsia"/>
                <w:sz w:val="24"/>
                <w:szCs w:val="24"/>
                <w:lang w:eastAsia="zh-CN"/>
              </w:rPr>
              <w:t>2309-410721-04-01-307199</w:t>
            </w:r>
            <w:r>
              <w:rPr>
                <w:rFonts w:hint="eastAsia"/>
                <w:kern w:val="0"/>
                <w:sz w:val="24"/>
                <w:szCs w:val="24"/>
              </w:rPr>
              <w:t>。</w:t>
            </w:r>
          </w:p>
          <w:p>
            <w:pPr>
              <w:spacing w:line="440" w:lineRule="exact"/>
              <w:ind w:firstLine="480" w:firstLineChars="200"/>
              <w:rPr>
                <w:color w:val="000000"/>
                <w:sz w:val="24"/>
                <w:szCs w:val="24"/>
              </w:rPr>
            </w:pPr>
            <w:r>
              <w:rPr>
                <w:rFonts w:hint="eastAsia"/>
                <w:color w:val="000000"/>
                <w:sz w:val="24"/>
                <w:szCs w:val="24"/>
              </w:rPr>
              <w:t>根据《建设项目环境影响评价分类管理名录》（2021年版），本项目产品为商品混凝土，属于二十七、非金属矿物制品业中第</w:t>
            </w:r>
            <w:r>
              <w:rPr>
                <w:color w:val="000000"/>
                <w:sz w:val="24"/>
                <w:szCs w:val="24"/>
              </w:rPr>
              <w:t>5</w:t>
            </w:r>
            <w:r>
              <w:rPr>
                <w:rFonts w:hint="eastAsia"/>
                <w:color w:val="000000"/>
                <w:sz w:val="24"/>
                <w:szCs w:val="24"/>
              </w:rPr>
              <w:t>5类：</w:t>
            </w:r>
            <w:r>
              <w:rPr>
                <w:rFonts w:hint="eastAsia"/>
                <w:color w:val="000000"/>
                <w:sz w:val="24"/>
              </w:rPr>
              <w:t>石膏、水泥制品及类似制品制造，名录规定：“商品混凝土；砼结构构件制造；水泥制品制造”应编制环境影响报告表</w:t>
            </w:r>
            <w:r>
              <w:rPr>
                <w:rFonts w:hint="eastAsia"/>
                <w:color w:val="000000"/>
                <w:sz w:val="24"/>
                <w:szCs w:val="24"/>
              </w:rPr>
              <w:t>，本项目主要产品为商品混凝土，按名录规定应编制环境影响报告表。</w:t>
            </w:r>
          </w:p>
          <w:p>
            <w:pPr>
              <w:adjustRightInd w:val="0"/>
              <w:snapToGrid w:val="0"/>
              <w:spacing w:line="440" w:lineRule="exact"/>
              <w:ind w:firstLine="472" w:firstLineChars="196"/>
              <w:rPr>
                <w:b/>
                <w:bCs/>
                <w:color w:val="000000"/>
                <w:sz w:val="24"/>
              </w:rPr>
            </w:pPr>
            <w:r>
              <w:rPr>
                <w:rFonts w:hint="eastAsia"/>
                <w:b/>
                <w:bCs/>
                <w:color w:val="000000"/>
                <w:sz w:val="24"/>
              </w:rPr>
              <w:t>二、项目概况</w:t>
            </w:r>
          </w:p>
          <w:p>
            <w:pPr>
              <w:adjustRightInd w:val="0"/>
              <w:snapToGrid w:val="0"/>
              <w:spacing w:line="440" w:lineRule="exact"/>
              <w:ind w:firstLine="480" w:firstLineChars="200"/>
              <w:rPr>
                <w:color w:val="000000"/>
                <w:sz w:val="24"/>
              </w:rPr>
            </w:pPr>
            <w:r>
              <w:rPr>
                <w:color w:val="000000"/>
                <w:sz w:val="24"/>
              </w:rPr>
              <w:t>1</w:t>
            </w:r>
            <w:r>
              <w:rPr>
                <w:rFonts w:hint="eastAsia"/>
                <w:color w:val="000000"/>
                <w:sz w:val="24"/>
              </w:rPr>
              <w:t>、项目的基本情况见下表：</w:t>
            </w:r>
          </w:p>
          <w:p>
            <w:pPr>
              <w:pStyle w:val="39"/>
              <w:spacing w:line="440" w:lineRule="exact"/>
              <w:ind w:firstLine="0"/>
              <w:rPr>
                <w:rFonts w:ascii="Times New Roman" w:hAnsi="Times New Roman" w:eastAsia="黑体"/>
                <w:color w:val="000000"/>
                <w:sz w:val="24"/>
                <w:szCs w:val="24"/>
              </w:rPr>
            </w:pPr>
            <w:r>
              <w:rPr>
                <w:rFonts w:hint="eastAsia" w:ascii="Times New Roman" w:hAnsi="Times New Roman" w:eastAsia="黑体"/>
                <w:color w:val="000000"/>
                <w:sz w:val="24"/>
                <w:szCs w:val="24"/>
              </w:rPr>
              <w:t xml:space="preserve">    表</w:t>
            </w:r>
            <w:r>
              <w:rPr>
                <w:rFonts w:hint="eastAsia" w:ascii="Times New Roman" w:hAnsi="Times New Roman" w:eastAsia="黑体"/>
                <w:color w:val="000000"/>
                <w:sz w:val="24"/>
                <w:szCs w:val="24"/>
                <w:lang w:val="en-US" w:eastAsia="zh-CN"/>
              </w:rPr>
              <w:t>2-1</w:t>
            </w:r>
            <w:r>
              <w:rPr>
                <w:rFonts w:hint="eastAsia" w:ascii="Times New Roman" w:hAnsi="Times New Roman" w:eastAsia="黑体"/>
                <w:color w:val="000000"/>
                <w:sz w:val="24"/>
                <w:szCs w:val="24"/>
              </w:rPr>
              <w:t xml:space="preserve">                 项目基本情况</w:t>
            </w:r>
          </w:p>
          <w:tbl>
            <w:tblPr>
              <w:tblStyle w:val="24"/>
              <w:tblW w:w="48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604"/>
              <w:gridCol w:w="56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8" w:type="dxa"/>
                  <w:tcBorders>
                    <w:top w:val="single" w:color="auto" w:sz="8" w:space="0"/>
                    <w:left w:val="nil"/>
                    <w:bottom w:val="single" w:color="auto" w:sz="8" w:space="0"/>
                    <w:right w:val="single" w:color="auto" w:sz="4" w:space="0"/>
                  </w:tcBorders>
                  <w:vAlign w:val="center"/>
                </w:tcPr>
                <w:p>
                  <w:pPr>
                    <w:jc w:val="center"/>
                    <w:rPr>
                      <w:b/>
                      <w:sz w:val="21"/>
                      <w:szCs w:val="21"/>
                      <w:lang w:val="pt-BR"/>
                    </w:rPr>
                  </w:pPr>
                  <w:r>
                    <w:rPr>
                      <w:rFonts w:hint="eastAsia"/>
                      <w:b/>
                      <w:sz w:val="21"/>
                      <w:szCs w:val="21"/>
                      <w:lang w:val="pt-BR"/>
                    </w:rPr>
                    <w:t>序 号</w:t>
                  </w:r>
                </w:p>
              </w:tc>
              <w:tc>
                <w:tcPr>
                  <w:tcW w:w="1561" w:type="dxa"/>
                  <w:tcBorders>
                    <w:top w:val="single" w:color="auto" w:sz="8" w:space="0"/>
                    <w:left w:val="single" w:color="auto" w:sz="4" w:space="0"/>
                    <w:bottom w:val="single" w:color="auto" w:sz="8" w:space="0"/>
                    <w:right w:val="single" w:color="auto" w:sz="4" w:space="0"/>
                  </w:tcBorders>
                  <w:vAlign w:val="center"/>
                </w:tcPr>
                <w:p>
                  <w:pPr>
                    <w:jc w:val="center"/>
                    <w:rPr>
                      <w:b/>
                      <w:sz w:val="21"/>
                      <w:szCs w:val="21"/>
                      <w:lang w:val="pt-BR"/>
                    </w:rPr>
                  </w:pPr>
                  <w:r>
                    <w:rPr>
                      <w:rFonts w:hint="eastAsia"/>
                      <w:b/>
                      <w:sz w:val="21"/>
                      <w:szCs w:val="21"/>
                      <w:lang w:val="pt-BR"/>
                    </w:rPr>
                    <w:t>项 目</w:t>
                  </w:r>
                </w:p>
              </w:tc>
              <w:tc>
                <w:tcPr>
                  <w:tcW w:w="5458" w:type="dxa"/>
                  <w:tcBorders>
                    <w:top w:val="single" w:color="auto" w:sz="8" w:space="0"/>
                    <w:left w:val="single" w:color="auto" w:sz="4" w:space="0"/>
                    <w:bottom w:val="single" w:color="auto" w:sz="8" w:space="0"/>
                    <w:right w:val="nil"/>
                  </w:tcBorders>
                  <w:vAlign w:val="center"/>
                </w:tcPr>
                <w:p>
                  <w:pPr>
                    <w:jc w:val="center"/>
                    <w:rPr>
                      <w:b/>
                      <w:sz w:val="21"/>
                      <w:szCs w:val="21"/>
                      <w:lang w:val="pt-BR"/>
                    </w:rPr>
                  </w:pPr>
                  <w:r>
                    <w:rPr>
                      <w:rFonts w:hint="eastAsia"/>
                      <w:b/>
                      <w:sz w:val="21"/>
                      <w:szCs w:val="21"/>
                      <w:lang w:val="pt-BR"/>
                    </w:rPr>
                    <w:t>内 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8" w:type="dxa"/>
                  <w:tcBorders>
                    <w:top w:val="single" w:color="auto" w:sz="8" w:space="0"/>
                    <w:left w:val="nil"/>
                    <w:bottom w:val="single" w:color="auto" w:sz="4" w:space="0"/>
                    <w:right w:val="single" w:color="auto" w:sz="4" w:space="0"/>
                  </w:tcBorders>
                  <w:vAlign w:val="center"/>
                </w:tcPr>
                <w:p>
                  <w:pPr>
                    <w:jc w:val="center"/>
                    <w:rPr>
                      <w:sz w:val="21"/>
                      <w:szCs w:val="21"/>
                      <w:lang w:val="pt-BR"/>
                    </w:rPr>
                  </w:pPr>
                  <w:r>
                    <w:rPr>
                      <w:sz w:val="21"/>
                      <w:szCs w:val="21"/>
                      <w:lang w:val="pt-BR"/>
                    </w:rPr>
                    <w:t>1</w:t>
                  </w:r>
                </w:p>
              </w:tc>
              <w:tc>
                <w:tcPr>
                  <w:tcW w:w="1561" w:type="dxa"/>
                  <w:tcBorders>
                    <w:top w:val="single" w:color="auto" w:sz="8" w:space="0"/>
                    <w:left w:val="single" w:color="auto" w:sz="4" w:space="0"/>
                    <w:bottom w:val="single" w:color="auto" w:sz="4" w:space="0"/>
                    <w:right w:val="single" w:color="auto" w:sz="4" w:space="0"/>
                  </w:tcBorders>
                  <w:vAlign w:val="center"/>
                </w:tcPr>
                <w:p>
                  <w:pPr>
                    <w:jc w:val="center"/>
                    <w:rPr>
                      <w:sz w:val="21"/>
                      <w:szCs w:val="21"/>
                      <w:lang w:val="pt-BR"/>
                    </w:rPr>
                  </w:pPr>
                  <w:r>
                    <w:rPr>
                      <w:rFonts w:hint="eastAsia"/>
                      <w:sz w:val="21"/>
                      <w:szCs w:val="21"/>
                      <w:lang w:val="pt-BR"/>
                    </w:rPr>
                    <w:t>项目名称</w:t>
                  </w:r>
                </w:p>
              </w:tc>
              <w:tc>
                <w:tcPr>
                  <w:tcW w:w="5458" w:type="dxa"/>
                  <w:tcBorders>
                    <w:top w:val="single" w:color="auto" w:sz="8" w:space="0"/>
                    <w:left w:val="single" w:color="auto" w:sz="4" w:space="0"/>
                    <w:bottom w:val="single" w:color="auto" w:sz="4" w:space="0"/>
                    <w:right w:val="nil"/>
                  </w:tcBorders>
                  <w:vAlign w:val="center"/>
                </w:tcPr>
                <w:p>
                  <w:pPr>
                    <w:jc w:val="center"/>
                    <w:rPr>
                      <w:sz w:val="21"/>
                      <w:szCs w:val="21"/>
                      <w:lang w:val="pt-BR"/>
                    </w:rPr>
                  </w:pPr>
                  <w:r>
                    <w:rPr>
                      <w:rFonts w:hint="eastAsia"/>
                      <w:sz w:val="21"/>
                      <w:szCs w:val="21"/>
                      <w:lang w:eastAsia="zh-CN"/>
                    </w:rPr>
                    <w:t>年生产</w:t>
                  </w:r>
                  <w:r>
                    <w:rPr>
                      <w:rFonts w:hint="eastAsia"/>
                      <w:sz w:val="21"/>
                      <w:szCs w:val="21"/>
                    </w:rPr>
                    <w:t>60万立方米商品混凝土项目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8" w:type="dxa"/>
                  <w:tcBorders>
                    <w:top w:val="single" w:color="auto" w:sz="4" w:space="0"/>
                    <w:left w:val="nil"/>
                    <w:bottom w:val="single" w:color="auto" w:sz="4" w:space="0"/>
                    <w:right w:val="single" w:color="auto" w:sz="4" w:space="0"/>
                  </w:tcBorders>
                  <w:vAlign w:val="center"/>
                </w:tcPr>
                <w:p>
                  <w:pPr>
                    <w:jc w:val="center"/>
                    <w:rPr>
                      <w:sz w:val="21"/>
                      <w:szCs w:val="21"/>
                      <w:lang w:val="pt-BR"/>
                    </w:rPr>
                  </w:pPr>
                  <w:r>
                    <w:rPr>
                      <w:sz w:val="21"/>
                      <w:szCs w:val="21"/>
                      <w:lang w:val="pt-BR"/>
                    </w:rPr>
                    <w:t>2</w:t>
                  </w:r>
                </w:p>
              </w:tc>
              <w:tc>
                <w:tcPr>
                  <w:tcW w:w="1561" w:type="dxa"/>
                  <w:tcBorders>
                    <w:top w:val="single" w:color="auto" w:sz="4" w:space="0"/>
                    <w:left w:val="single" w:color="auto" w:sz="4" w:space="0"/>
                    <w:bottom w:val="single" w:color="auto" w:sz="4" w:space="0"/>
                    <w:right w:val="single" w:color="auto" w:sz="4" w:space="0"/>
                  </w:tcBorders>
                  <w:vAlign w:val="center"/>
                </w:tcPr>
                <w:p>
                  <w:pPr>
                    <w:jc w:val="center"/>
                    <w:rPr>
                      <w:sz w:val="21"/>
                      <w:szCs w:val="21"/>
                      <w:lang w:val="pt-BR"/>
                    </w:rPr>
                  </w:pPr>
                  <w:r>
                    <w:rPr>
                      <w:rFonts w:hint="eastAsia"/>
                      <w:sz w:val="21"/>
                      <w:szCs w:val="21"/>
                      <w:lang w:val="pt-BR"/>
                    </w:rPr>
                    <w:t>建设单位</w:t>
                  </w:r>
                </w:p>
              </w:tc>
              <w:tc>
                <w:tcPr>
                  <w:tcW w:w="5458" w:type="dxa"/>
                  <w:tcBorders>
                    <w:top w:val="single" w:color="auto" w:sz="4" w:space="0"/>
                    <w:left w:val="single" w:color="auto" w:sz="4" w:space="0"/>
                    <w:bottom w:val="single" w:color="auto" w:sz="4" w:space="0"/>
                    <w:right w:val="nil"/>
                  </w:tcBorders>
                  <w:vAlign w:val="center"/>
                </w:tcPr>
                <w:p>
                  <w:pPr>
                    <w:jc w:val="center"/>
                    <w:rPr>
                      <w:sz w:val="21"/>
                      <w:szCs w:val="21"/>
                    </w:rPr>
                  </w:pPr>
                  <w:r>
                    <w:rPr>
                      <w:rFonts w:hint="eastAsia"/>
                      <w:sz w:val="21"/>
                      <w:szCs w:val="21"/>
                    </w:rPr>
                    <w:t>新乡市鑫瑞新型建材有限公司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8" w:type="dxa"/>
                  <w:tcBorders>
                    <w:top w:val="single" w:color="auto" w:sz="4" w:space="0"/>
                    <w:left w:val="nil"/>
                    <w:bottom w:val="single" w:color="auto" w:sz="4" w:space="0"/>
                    <w:right w:val="single" w:color="auto" w:sz="4" w:space="0"/>
                  </w:tcBorders>
                  <w:vAlign w:val="center"/>
                </w:tcPr>
                <w:p>
                  <w:pPr>
                    <w:jc w:val="center"/>
                    <w:rPr>
                      <w:sz w:val="21"/>
                      <w:szCs w:val="21"/>
                      <w:lang w:val="pt-BR"/>
                    </w:rPr>
                  </w:pPr>
                  <w:r>
                    <w:rPr>
                      <w:sz w:val="21"/>
                      <w:szCs w:val="21"/>
                      <w:lang w:val="pt-BR"/>
                    </w:rPr>
                    <w:t>3</w:t>
                  </w:r>
                </w:p>
              </w:tc>
              <w:tc>
                <w:tcPr>
                  <w:tcW w:w="1561" w:type="dxa"/>
                  <w:tcBorders>
                    <w:top w:val="single" w:color="auto" w:sz="4" w:space="0"/>
                    <w:left w:val="single" w:color="auto" w:sz="4" w:space="0"/>
                    <w:bottom w:val="single" w:color="auto" w:sz="4" w:space="0"/>
                    <w:right w:val="single" w:color="auto" w:sz="4" w:space="0"/>
                  </w:tcBorders>
                  <w:vAlign w:val="center"/>
                </w:tcPr>
                <w:p>
                  <w:pPr>
                    <w:jc w:val="center"/>
                    <w:rPr>
                      <w:sz w:val="21"/>
                      <w:szCs w:val="21"/>
                      <w:highlight w:val="yellow"/>
                      <w:lang w:val="pt-BR"/>
                    </w:rPr>
                  </w:pPr>
                  <w:r>
                    <w:rPr>
                      <w:rFonts w:hint="eastAsia"/>
                      <w:sz w:val="21"/>
                      <w:szCs w:val="21"/>
                      <w:lang w:val="pt-BR"/>
                    </w:rPr>
                    <w:t>产品方案</w:t>
                  </w:r>
                </w:p>
              </w:tc>
              <w:tc>
                <w:tcPr>
                  <w:tcW w:w="5458" w:type="dxa"/>
                  <w:tcBorders>
                    <w:top w:val="single" w:color="auto" w:sz="4" w:space="0"/>
                    <w:left w:val="single" w:color="auto" w:sz="4" w:space="0"/>
                    <w:bottom w:val="single" w:color="auto" w:sz="4" w:space="0"/>
                    <w:right w:val="nil"/>
                  </w:tcBorders>
                  <w:vAlign w:val="center"/>
                </w:tcPr>
                <w:p>
                  <w:pPr>
                    <w:jc w:val="center"/>
                    <w:rPr>
                      <w:sz w:val="21"/>
                      <w:szCs w:val="21"/>
                      <w:lang w:val="pt-BR"/>
                    </w:rPr>
                  </w:pPr>
                  <w:r>
                    <w:rPr>
                      <w:rFonts w:hint="eastAsia"/>
                      <w:sz w:val="21"/>
                      <w:szCs w:val="21"/>
                      <w:lang w:eastAsia="zh-CN"/>
                    </w:rPr>
                    <w:t>年生产</w:t>
                  </w:r>
                  <w:r>
                    <w:rPr>
                      <w:rFonts w:hint="eastAsia"/>
                      <w:sz w:val="21"/>
                      <w:szCs w:val="21"/>
                    </w:rPr>
                    <w:t>60万立方米商品混凝土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8" w:type="dxa"/>
                  <w:tcBorders>
                    <w:top w:val="single" w:color="auto" w:sz="4" w:space="0"/>
                    <w:left w:val="nil"/>
                    <w:bottom w:val="single" w:color="auto" w:sz="4" w:space="0"/>
                    <w:right w:val="single" w:color="auto" w:sz="4" w:space="0"/>
                  </w:tcBorders>
                  <w:vAlign w:val="center"/>
                </w:tcPr>
                <w:p>
                  <w:pPr>
                    <w:jc w:val="center"/>
                    <w:rPr>
                      <w:sz w:val="21"/>
                      <w:szCs w:val="21"/>
                      <w:lang w:val="pt-BR"/>
                    </w:rPr>
                  </w:pPr>
                  <w:r>
                    <w:rPr>
                      <w:sz w:val="21"/>
                      <w:szCs w:val="21"/>
                      <w:lang w:val="pt-BR"/>
                    </w:rPr>
                    <w:t>4</w:t>
                  </w:r>
                </w:p>
              </w:tc>
              <w:tc>
                <w:tcPr>
                  <w:tcW w:w="1561" w:type="dxa"/>
                  <w:tcBorders>
                    <w:top w:val="single" w:color="auto" w:sz="4" w:space="0"/>
                    <w:left w:val="single" w:color="auto" w:sz="4" w:space="0"/>
                    <w:bottom w:val="single" w:color="auto" w:sz="4" w:space="0"/>
                    <w:right w:val="single" w:color="auto" w:sz="4" w:space="0"/>
                  </w:tcBorders>
                  <w:vAlign w:val="center"/>
                </w:tcPr>
                <w:p>
                  <w:pPr>
                    <w:jc w:val="center"/>
                    <w:rPr>
                      <w:sz w:val="21"/>
                      <w:szCs w:val="21"/>
                      <w:lang w:val="pt-BR"/>
                    </w:rPr>
                  </w:pPr>
                  <w:r>
                    <w:rPr>
                      <w:rFonts w:hint="eastAsia"/>
                      <w:sz w:val="21"/>
                      <w:szCs w:val="21"/>
                      <w:lang w:val="pt-BR"/>
                    </w:rPr>
                    <w:t>项目地址</w:t>
                  </w:r>
                </w:p>
              </w:tc>
              <w:tc>
                <w:tcPr>
                  <w:tcW w:w="5458" w:type="dxa"/>
                  <w:tcBorders>
                    <w:top w:val="single" w:color="auto" w:sz="4" w:space="0"/>
                    <w:left w:val="single" w:color="auto" w:sz="4" w:space="0"/>
                    <w:bottom w:val="single" w:color="auto" w:sz="4" w:space="0"/>
                    <w:right w:val="nil"/>
                  </w:tcBorders>
                  <w:vAlign w:val="center"/>
                </w:tcPr>
                <w:p>
                  <w:pPr>
                    <w:jc w:val="center"/>
                    <w:rPr>
                      <w:sz w:val="21"/>
                      <w:szCs w:val="21"/>
                      <w:lang w:val="pt-BR"/>
                    </w:rPr>
                  </w:pPr>
                  <w:r>
                    <w:rPr>
                      <w:rFonts w:hint="eastAsia"/>
                      <w:sz w:val="21"/>
                      <w:szCs w:val="21"/>
                    </w:rPr>
                    <w:t>新乡市新乡县七里营镇敦留店村</w:t>
                  </w:r>
                  <w:r>
                    <w:rPr>
                      <w:sz w:val="21"/>
                      <w:szCs w:val="21"/>
                    </w:rPr>
                    <w:t>1151</w:t>
                  </w:r>
                  <w:r>
                    <w:rPr>
                      <w:rFonts w:hint="eastAsia"/>
                      <w:sz w:val="21"/>
                      <w:szCs w:val="21"/>
                    </w:rPr>
                    <w:t>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8" w:type="dxa"/>
                  <w:tcBorders>
                    <w:top w:val="single" w:color="auto" w:sz="4" w:space="0"/>
                    <w:left w:val="nil"/>
                    <w:bottom w:val="single" w:color="auto" w:sz="4" w:space="0"/>
                    <w:right w:val="single" w:color="auto" w:sz="4" w:space="0"/>
                  </w:tcBorders>
                  <w:vAlign w:val="center"/>
                </w:tcPr>
                <w:p>
                  <w:pPr>
                    <w:jc w:val="center"/>
                    <w:rPr>
                      <w:sz w:val="21"/>
                      <w:szCs w:val="21"/>
                      <w:lang w:val="pt-BR"/>
                    </w:rPr>
                  </w:pPr>
                  <w:r>
                    <w:rPr>
                      <w:sz w:val="21"/>
                      <w:szCs w:val="21"/>
                      <w:lang w:val="pt-BR"/>
                    </w:rPr>
                    <w:t>5</w:t>
                  </w:r>
                </w:p>
              </w:tc>
              <w:tc>
                <w:tcPr>
                  <w:tcW w:w="1561" w:type="dxa"/>
                  <w:tcBorders>
                    <w:top w:val="single" w:color="auto" w:sz="4" w:space="0"/>
                    <w:left w:val="single" w:color="auto" w:sz="4" w:space="0"/>
                    <w:bottom w:val="single" w:color="auto" w:sz="4" w:space="0"/>
                    <w:right w:val="single" w:color="auto" w:sz="4" w:space="0"/>
                  </w:tcBorders>
                  <w:vAlign w:val="center"/>
                </w:tcPr>
                <w:p>
                  <w:pPr>
                    <w:jc w:val="center"/>
                    <w:rPr>
                      <w:sz w:val="21"/>
                      <w:szCs w:val="21"/>
                      <w:lang w:val="pt-BR"/>
                    </w:rPr>
                  </w:pPr>
                  <w:r>
                    <w:rPr>
                      <w:rFonts w:hint="eastAsia"/>
                      <w:sz w:val="21"/>
                      <w:szCs w:val="21"/>
                      <w:lang w:val="pt-BR"/>
                    </w:rPr>
                    <w:t>占地面积</w:t>
                  </w:r>
                </w:p>
              </w:tc>
              <w:tc>
                <w:tcPr>
                  <w:tcW w:w="5458" w:type="dxa"/>
                  <w:tcBorders>
                    <w:top w:val="single" w:color="auto" w:sz="4" w:space="0"/>
                    <w:left w:val="single" w:color="auto" w:sz="4" w:space="0"/>
                    <w:bottom w:val="single" w:color="auto" w:sz="4" w:space="0"/>
                    <w:right w:val="nil"/>
                  </w:tcBorders>
                  <w:vAlign w:val="center"/>
                </w:tcPr>
                <w:p>
                  <w:pPr>
                    <w:jc w:val="center"/>
                    <w:rPr>
                      <w:sz w:val="21"/>
                      <w:szCs w:val="21"/>
                      <w:lang w:val="pt-BR"/>
                    </w:rPr>
                  </w:pPr>
                  <w:r>
                    <w:rPr>
                      <w:rFonts w:hint="eastAsia"/>
                      <w:sz w:val="21"/>
                      <w:szCs w:val="21"/>
                    </w:rPr>
                    <w:t>30000</w:t>
                  </w:r>
                  <w:r>
                    <w:rPr>
                      <w:sz w:val="21"/>
                      <w:szCs w:val="21"/>
                    </w:rPr>
                    <w:t>m</w:t>
                  </w:r>
                  <w:r>
                    <w:rPr>
                      <w:sz w:val="21"/>
                      <w:szCs w:val="21"/>
                      <w:vertAlign w:val="superscript"/>
                      <w:lang w:val="pt-BR"/>
                    </w:rPr>
                    <w:t xml:space="preserve">2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8" w:type="dxa"/>
                  <w:tcBorders>
                    <w:top w:val="single" w:color="auto" w:sz="4" w:space="0"/>
                    <w:left w:val="nil"/>
                    <w:bottom w:val="single" w:color="auto" w:sz="4" w:space="0"/>
                    <w:right w:val="single" w:color="auto" w:sz="4" w:space="0"/>
                  </w:tcBorders>
                  <w:vAlign w:val="center"/>
                </w:tcPr>
                <w:p>
                  <w:pPr>
                    <w:jc w:val="center"/>
                    <w:rPr>
                      <w:sz w:val="21"/>
                      <w:szCs w:val="21"/>
                      <w:lang w:val="pt-BR"/>
                    </w:rPr>
                  </w:pPr>
                  <w:r>
                    <w:rPr>
                      <w:sz w:val="21"/>
                      <w:szCs w:val="21"/>
                      <w:lang w:val="pt-BR"/>
                    </w:rPr>
                    <w:t>6</w:t>
                  </w:r>
                </w:p>
              </w:tc>
              <w:tc>
                <w:tcPr>
                  <w:tcW w:w="1561" w:type="dxa"/>
                  <w:tcBorders>
                    <w:top w:val="single" w:color="auto" w:sz="4" w:space="0"/>
                    <w:left w:val="single" w:color="auto" w:sz="4" w:space="0"/>
                    <w:bottom w:val="single" w:color="auto" w:sz="4" w:space="0"/>
                    <w:right w:val="single" w:color="auto" w:sz="4" w:space="0"/>
                  </w:tcBorders>
                  <w:vAlign w:val="center"/>
                </w:tcPr>
                <w:p>
                  <w:pPr>
                    <w:jc w:val="center"/>
                    <w:rPr>
                      <w:sz w:val="21"/>
                      <w:szCs w:val="21"/>
                      <w:lang w:val="pt-BR"/>
                    </w:rPr>
                  </w:pPr>
                  <w:r>
                    <w:rPr>
                      <w:rFonts w:hint="eastAsia"/>
                      <w:sz w:val="21"/>
                      <w:szCs w:val="21"/>
                      <w:lang w:val="pt-BR"/>
                    </w:rPr>
                    <w:t>总投资</w:t>
                  </w:r>
                </w:p>
              </w:tc>
              <w:tc>
                <w:tcPr>
                  <w:tcW w:w="5458" w:type="dxa"/>
                  <w:tcBorders>
                    <w:top w:val="single" w:color="auto" w:sz="4" w:space="0"/>
                    <w:left w:val="single" w:color="auto" w:sz="4" w:space="0"/>
                    <w:bottom w:val="single" w:color="auto" w:sz="4" w:space="0"/>
                    <w:right w:val="nil"/>
                  </w:tcBorders>
                  <w:vAlign w:val="center"/>
                </w:tcPr>
                <w:p>
                  <w:pPr>
                    <w:jc w:val="center"/>
                    <w:rPr>
                      <w:sz w:val="21"/>
                      <w:szCs w:val="21"/>
                      <w:lang w:val="pt-BR"/>
                    </w:rPr>
                  </w:pPr>
                  <w:r>
                    <w:rPr>
                      <w:rFonts w:hint="eastAsia"/>
                      <w:sz w:val="21"/>
                      <w:szCs w:val="21"/>
                    </w:rPr>
                    <w:t>7</w:t>
                  </w:r>
                  <w:r>
                    <w:rPr>
                      <w:sz w:val="21"/>
                      <w:szCs w:val="21"/>
                    </w:rPr>
                    <w:t>00</w:t>
                  </w:r>
                  <w:r>
                    <w:rPr>
                      <w:rFonts w:hint="eastAsia"/>
                      <w:sz w:val="21"/>
                      <w:szCs w:val="21"/>
                      <w:lang w:val="pt-BR"/>
                    </w:rPr>
                    <w:t>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8" w:type="dxa"/>
                  <w:tcBorders>
                    <w:top w:val="single" w:color="auto" w:sz="4" w:space="0"/>
                    <w:left w:val="nil"/>
                    <w:bottom w:val="single" w:color="auto" w:sz="8" w:space="0"/>
                    <w:right w:val="single" w:color="auto" w:sz="4" w:space="0"/>
                  </w:tcBorders>
                  <w:vAlign w:val="center"/>
                </w:tcPr>
                <w:p>
                  <w:pPr>
                    <w:jc w:val="center"/>
                    <w:rPr>
                      <w:sz w:val="21"/>
                      <w:szCs w:val="21"/>
                      <w:lang w:val="pt-BR"/>
                    </w:rPr>
                  </w:pPr>
                  <w:r>
                    <w:rPr>
                      <w:sz w:val="21"/>
                      <w:szCs w:val="21"/>
                      <w:lang w:val="pt-BR"/>
                    </w:rPr>
                    <w:t>7</w:t>
                  </w:r>
                </w:p>
              </w:tc>
              <w:tc>
                <w:tcPr>
                  <w:tcW w:w="1561" w:type="dxa"/>
                  <w:tcBorders>
                    <w:top w:val="single" w:color="auto" w:sz="4" w:space="0"/>
                    <w:left w:val="single" w:color="auto" w:sz="4" w:space="0"/>
                    <w:bottom w:val="single" w:color="auto" w:sz="8" w:space="0"/>
                    <w:right w:val="single" w:color="auto" w:sz="4" w:space="0"/>
                  </w:tcBorders>
                  <w:vAlign w:val="center"/>
                </w:tcPr>
                <w:p>
                  <w:pPr>
                    <w:jc w:val="center"/>
                    <w:rPr>
                      <w:rFonts w:hint="eastAsia" w:eastAsia="宋体"/>
                      <w:sz w:val="21"/>
                      <w:szCs w:val="21"/>
                      <w:lang w:val="pt-BR" w:eastAsia="zh-CN"/>
                    </w:rPr>
                  </w:pPr>
                  <w:r>
                    <w:rPr>
                      <w:rFonts w:hint="eastAsia"/>
                      <w:sz w:val="21"/>
                      <w:szCs w:val="21"/>
                      <w:lang w:val="pt-BR"/>
                    </w:rPr>
                    <w:t>定员与工作</w:t>
                  </w:r>
                </w:p>
                <w:p>
                  <w:pPr>
                    <w:jc w:val="center"/>
                    <w:rPr>
                      <w:sz w:val="21"/>
                      <w:szCs w:val="21"/>
                      <w:lang w:val="pt-BR"/>
                    </w:rPr>
                  </w:pPr>
                  <w:r>
                    <w:rPr>
                      <w:rFonts w:hint="eastAsia"/>
                      <w:sz w:val="21"/>
                      <w:szCs w:val="21"/>
                      <w:lang w:val="pt-BR"/>
                    </w:rPr>
                    <w:t>制度</w:t>
                  </w:r>
                </w:p>
              </w:tc>
              <w:tc>
                <w:tcPr>
                  <w:tcW w:w="5458" w:type="dxa"/>
                  <w:tcBorders>
                    <w:top w:val="single" w:color="auto" w:sz="4" w:space="0"/>
                    <w:left w:val="single" w:color="auto" w:sz="4" w:space="0"/>
                    <w:bottom w:val="single" w:color="auto" w:sz="8" w:space="0"/>
                    <w:right w:val="nil"/>
                  </w:tcBorders>
                  <w:vAlign w:val="center"/>
                </w:tcPr>
                <w:p>
                  <w:pPr>
                    <w:tabs>
                      <w:tab w:val="left" w:pos="6185"/>
                    </w:tabs>
                    <w:jc w:val="center"/>
                    <w:rPr>
                      <w:sz w:val="21"/>
                      <w:szCs w:val="21"/>
                      <w:lang w:val="pt-BR"/>
                    </w:rPr>
                  </w:pPr>
                  <w:r>
                    <w:rPr>
                      <w:rFonts w:hint="eastAsia"/>
                      <w:sz w:val="21"/>
                      <w:szCs w:val="21"/>
                      <w:lang w:val="pt-BR"/>
                    </w:rPr>
                    <w:t>员工</w:t>
                  </w:r>
                  <w:r>
                    <w:rPr>
                      <w:rFonts w:hint="eastAsia"/>
                      <w:sz w:val="21"/>
                      <w:szCs w:val="21"/>
                      <w:lang w:val="en-US" w:eastAsia="zh-CN"/>
                    </w:rPr>
                    <w:t>20</w:t>
                  </w:r>
                  <w:r>
                    <w:rPr>
                      <w:rFonts w:hint="eastAsia"/>
                      <w:sz w:val="21"/>
                      <w:szCs w:val="21"/>
                      <w:lang w:val="pt-BR"/>
                    </w:rPr>
                    <w:t>人，单班制（每班</w:t>
                  </w:r>
                  <w:r>
                    <w:rPr>
                      <w:rFonts w:hint="eastAsia"/>
                      <w:sz w:val="21"/>
                      <w:szCs w:val="21"/>
                    </w:rPr>
                    <w:t>8</w:t>
                  </w:r>
                  <w:r>
                    <w:rPr>
                      <w:rFonts w:hint="eastAsia"/>
                      <w:sz w:val="21"/>
                      <w:szCs w:val="21"/>
                      <w:lang w:val="pt-BR"/>
                    </w:rPr>
                    <w:t>小时），</w:t>
                  </w:r>
                  <w:r>
                    <w:rPr>
                      <w:sz w:val="21"/>
                      <w:szCs w:val="21"/>
                    </w:rPr>
                    <w:t>30</w:t>
                  </w:r>
                  <w:r>
                    <w:rPr>
                      <w:sz w:val="21"/>
                      <w:szCs w:val="21"/>
                      <w:lang w:val="pt-BR"/>
                    </w:rPr>
                    <w:t>0</w:t>
                  </w:r>
                  <w:r>
                    <w:rPr>
                      <w:rFonts w:hint="eastAsia"/>
                      <w:sz w:val="21"/>
                      <w:szCs w:val="21"/>
                      <w:lang w:val="pt-BR"/>
                    </w:rPr>
                    <w:t>天</w:t>
                  </w:r>
                  <w:r>
                    <w:rPr>
                      <w:sz w:val="21"/>
                      <w:szCs w:val="21"/>
                      <w:lang w:val="pt-BR"/>
                    </w:rPr>
                    <w:t>/</w:t>
                  </w:r>
                  <w:r>
                    <w:rPr>
                      <w:rFonts w:hint="eastAsia"/>
                      <w:sz w:val="21"/>
                      <w:szCs w:val="21"/>
                      <w:lang w:val="pt-BR"/>
                    </w:rPr>
                    <w:t>年。</w:t>
                  </w:r>
                </w:p>
              </w:tc>
            </w:tr>
          </w:tbl>
          <w:p>
            <w:pPr>
              <w:adjustRightInd w:val="0"/>
              <w:snapToGrid w:val="0"/>
              <w:spacing w:line="440" w:lineRule="exact"/>
              <w:ind w:firstLine="480" w:firstLineChars="200"/>
              <w:rPr>
                <w:color w:val="000000"/>
                <w:sz w:val="24"/>
              </w:rPr>
            </w:pPr>
            <w:r>
              <w:rPr>
                <w:color w:val="000000"/>
                <w:sz w:val="24"/>
              </w:rPr>
              <w:t>2</w:t>
            </w:r>
            <w:r>
              <w:rPr>
                <w:rFonts w:hint="eastAsia"/>
                <w:color w:val="000000"/>
                <w:sz w:val="24"/>
              </w:rPr>
              <w:t>、主要工程组成见下表：</w:t>
            </w:r>
          </w:p>
          <w:p>
            <w:pPr>
              <w:pStyle w:val="39"/>
              <w:spacing w:line="440" w:lineRule="exact"/>
              <w:ind w:firstLine="720" w:firstLineChars="300"/>
              <w:rPr>
                <w:rFonts w:ascii="Times New Roman" w:hAnsi="Times New Roman" w:eastAsia="黑体"/>
                <w:color w:val="000000"/>
                <w:sz w:val="24"/>
                <w:szCs w:val="24"/>
              </w:rPr>
            </w:pPr>
            <w:r>
              <w:rPr>
                <w:rFonts w:hint="eastAsia" w:ascii="Times New Roman" w:hAnsi="Times New Roman" w:eastAsia="黑体"/>
                <w:color w:val="000000"/>
                <w:sz w:val="24"/>
                <w:szCs w:val="24"/>
              </w:rPr>
              <w:t>表</w:t>
            </w:r>
            <w:r>
              <w:rPr>
                <w:rFonts w:hint="eastAsia" w:ascii="Times New Roman" w:hAnsi="Times New Roman" w:eastAsia="黑体"/>
                <w:color w:val="000000"/>
                <w:sz w:val="24"/>
                <w:szCs w:val="24"/>
                <w:lang w:val="en-US" w:eastAsia="zh-CN"/>
              </w:rPr>
              <w:t>2-2</w:t>
            </w:r>
            <w:r>
              <w:rPr>
                <w:rFonts w:hint="eastAsia" w:ascii="Times New Roman" w:hAnsi="Times New Roman" w:eastAsia="黑体"/>
                <w:color w:val="000000"/>
                <w:sz w:val="24"/>
                <w:szCs w:val="24"/>
              </w:rPr>
              <w:t xml:space="preserve">          本项目组成情况</w:t>
            </w:r>
          </w:p>
          <w:tbl>
            <w:tblPr>
              <w:tblStyle w:val="24"/>
              <w:tblW w:w="46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152"/>
              <w:gridCol w:w="560"/>
              <w:gridCol w:w="666"/>
              <w:gridCol w:w="3186"/>
              <w:gridCol w:w="14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 w:type="dxa"/>
                  <w:tcBorders>
                    <w:top w:val="single" w:color="auto" w:sz="8" w:space="0"/>
                    <w:left w:val="nil"/>
                    <w:bottom w:val="single" w:color="auto" w:sz="8" w:space="0"/>
                    <w:right w:val="single" w:color="auto" w:sz="4" w:space="0"/>
                  </w:tcBorders>
                  <w:vAlign w:val="center"/>
                </w:tcPr>
                <w:p>
                  <w:pPr>
                    <w:adjustRightInd w:val="0"/>
                    <w:snapToGrid w:val="0"/>
                    <w:jc w:val="center"/>
                    <w:rPr>
                      <w:b/>
                      <w:bCs/>
                      <w:sz w:val="21"/>
                      <w:szCs w:val="21"/>
                    </w:rPr>
                  </w:pPr>
                  <w:r>
                    <w:rPr>
                      <w:rFonts w:hint="eastAsia"/>
                      <w:b/>
                      <w:bCs/>
                      <w:sz w:val="21"/>
                      <w:szCs w:val="21"/>
                    </w:rPr>
                    <w:t>序号</w:t>
                  </w:r>
                </w:p>
              </w:tc>
              <w:tc>
                <w:tcPr>
                  <w:tcW w:w="1172"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sz w:val="21"/>
                      <w:szCs w:val="21"/>
                    </w:rPr>
                  </w:pPr>
                  <w:r>
                    <w:rPr>
                      <w:rFonts w:hint="eastAsia"/>
                      <w:b/>
                      <w:bCs/>
                      <w:sz w:val="21"/>
                      <w:szCs w:val="21"/>
                    </w:rPr>
                    <w:t>项目</w:t>
                  </w:r>
                </w:p>
              </w:tc>
              <w:tc>
                <w:tcPr>
                  <w:tcW w:w="1248" w:type="dxa"/>
                  <w:gridSpan w:val="2"/>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sz w:val="21"/>
                      <w:szCs w:val="21"/>
                    </w:rPr>
                  </w:pPr>
                  <w:r>
                    <w:rPr>
                      <w:rFonts w:hint="eastAsia"/>
                      <w:b/>
                      <w:bCs/>
                      <w:sz w:val="21"/>
                      <w:szCs w:val="21"/>
                    </w:rPr>
                    <w:t>建设内容</w:t>
                  </w:r>
                </w:p>
              </w:tc>
              <w:tc>
                <w:tcPr>
                  <w:tcW w:w="3243"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bCs/>
                      <w:sz w:val="21"/>
                      <w:szCs w:val="21"/>
                    </w:rPr>
                  </w:pPr>
                  <w:r>
                    <w:rPr>
                      <w:rFonts w:hint="eastAsia"/>
                      <w:b/>
                      <w:bCs/>
                      <w:sz w:val="21"/>
                      <w:szCs w:val="21"/>
                    </w:rPr>
                    <w:t>数量、规模或要求</w:t>
                  </w:r>
                </w:p>
              </w:tc>
              <w:tc>
                <w:tcPr>
                  <w:tcW w:w="1477" w:type="dxa"/>
                  <w:tcBorders>
                    <w:top w:val="single" w:color="auto" w:sz="8" w:space="0"/>
                    <w:left w:val="single" w:color="auto" w:sz="4" w:space="0"/>
                    <w:bottom w:val="single" w:color="auto" w:sz="8" w:space="0"/>
                    <w:right w:val="nil"/>
                  </w:tcBorders>
                  <w:vAlign w:val="center"/>
                </w:tcPr>
                <w:p>
                  <w:pPr>
                    <w:adjustRightInd w:val="0"/>
                    <w:snapToGrid w:val="0"/>
                    <w:jc w:val="center"/>
                    <w:rPr>
                      <w:b/>
                      <w:bCs/>
                      <w:sz w:val="21"/>
                      <w:szCs w:val="21"/>
                    </w:rPr>
                  </w:pPr>
                  <w:r>
                    <w:rPr>
                      <w:rFonts w:hint="eastAsia"/>
                      <w:b/>
                      <w:bCs/>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 w:type="dxa"/>
                  <w:tcBorders>
                    <w:top w:val="single" w:color="auto" w:sz="8" w:space="0"/>
                    <w:left w:val="nil"/>
                    <w:bottom w:val="single" w:color="auto" w:sz="4" w:space="0"/>
                    <w:right w:val="single" w:color="auto" w:sz="4" w:space="0"/>
                  </w:tcBorders>
                  <w:vAlign w:val="center"/>
                </w:tcPr>
                <w:p>
                  <w:pPr>
                    <w:adjustRightInd w:val="0"/>
                    <w:snapToGrid w:val="0"/>
                    <w:jc w:val="center"/>
                    <w:rPr>
                      <w:color w:val="000000"/>
                      <w:kern w:val="36"/>
                      <w:sz w:val="21"/>
                      <w:szCs w:val="21"/>
                    </w:rPr>
                  </w:pPr>
                  <w:r>
                    <w:rPr>
                      <w:color w:val="000000"/>
                      <w:kern w:val="36"/>
                      <w:sz w:val="21"/>
                      <w:szCs w:val="21"/>
                    </w:rPr>
                    <w:t>1</w:t>
                  </w:r>
                </w:p>
              </w:tc>
              <w:tc>
                <w:tcPr>
                  <w:tcW w:w="117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color w:val="000000"/>
                      <w:kern w:val="36"/>
                      <w:sz w:val="21"/>
                      <w:szCs w:val="21"/>
                    </w:rPr>
                  </w:pPr>
                  <w:r>
                    <w:rPr>
                      <w:rFonts w:hint="eastAsia"/>
                      <w:color w:val="000000"/>
                      <w:kern w:val="36"/>
                      <w:sz w:val="21"/>
                      <w:szCs w:val="21"/>
                    </w:rPr>
                    <w:t>主体工程</w:t>
                  </w:r>
                </w:p>
              </w:tc>
              <w:tc>
                <w:tcPr>
                  <w:tcW w:w="1248"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color w:val="000000"/>
                      <w:kern w:val="36"/>
                      <w:sz w:val="21"/>
                      <w:szCs w:val="21"/>
                    </w:rPr>
                  </w:pPr>
                  <w:r>
                    <w:rPr>
                      <w:rFonts w:hint="eastAsia"/>
                      <w:color w:val="000000"/>
                      <w:kern w:val="36"/>
                      <w:sz w:val="21"/>
                      <w:szCs w:val="21"/>
                    </w:rPr>
                    <w:t>生产车间</w:t>
                  </w:r>
                </w:p>
              </w:tc>
              <w:tc>
                <w:tcPr>
                  <w:tcW w:w="3243"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color w:val="000000"/>
                      <w:kern w:val="36"/>
                      <w:sz w:val="21"/>
                      <w:szCs w:val="21"/>
                    </w:rPr>
                  </w:pPr>
                  <w:r>
                    <w:rPr>
                      <w:color w:val="000000"/>
                      <w:kern w:val="36"/>
                      <w:sz w:val="21"/>
                      <w:szCs w:val="21"/>
                    </w:rPr>
                    <w:t>1</w:t>
                  </w:r>
                  <w:r>
                    <w:rPr>
                      <w:rFonts w:hint="eastAsia"/>
                      <w:color w:val="000000"/>
                      <w:kern w:val="36"/>
                      <w:sz w:val="21"/>
                      <w:szCs w:val="21"/>
                    </w:rPr>
                    <w:t>座，150</w:t>
                  </w:r>
                  <w:r>
                    <w:rPr>
                      <w:color w:val="000000"/>
                      <w:kern w:val="36"/>
                      <w:sz w:val="21"/>
                      <w:szCs w:val="21"/>
                    </w:rPr>
                    <w:t>0</w:t>
                  </w:r>
                  <w:r>
                    <w:rPr>
                      <w:color w:val="000000"/>
                      <w:sz w:val="21"/>
                      <w:szCs w:val="21"/>
                    </w:rPr>
                    <w:t>m</w:t>
                  </w:r>
                  <w:r>
                    <w:rPr>
                      <w:color w:val="000000"/>
                      <w:sz w:val="21"/>
                      <w:szCs w:val="21"/>
                      <w:vertAlign w:val="superscript"/>
                      <w:lang w:val="pt-BR"/>
                    </w:rPr>
                    <w:t>2</w:t>
                  </w:r>
                </w:p>
              </w:tc>
              <w:tc>
                <w:tcPr>
                  <w:tcW w:w="1477" w:type="dxa"/>
                  <w:tcBorders>
                    <w:top w:val="single" w:color="auto" w:sz="8" w:space="0"/>
                    <w:left w:val="single" w:color="auto" w:sz="4" w:space="0"/>
                    <w:bottom w:val="single" w:color="auto" w:sz="4" w:space="0"/>
                    <w:right w:val="nil"/>
                  </w:tcBorders>
                  <w:vAlign w:val="center"/>
                </w:tcPr>
                <w:p>
                  <w:pPr>
                    <w:adjustRightInd w:val="0"/>
                    <w:snapToGrid w:val="0"/>
                    <w:jc w:val="center"/>
                    <w:rPr>
                      <w:color w:val="000000"/>
                      <w:kern w:val="36"/>
                      <w:sz w:val="21"/>
                      <w:szCs w:val="21"/>
                    </w:rPr>
                  </w:pPr>
                  <w:r>
                    <w:rPr>
                      <w:rFonts w:hint="eastAsia"/>
                      <w:color w:val="000000"/>
                      <w:kern w:val="36"/>
                      <w:sz w:val="21"/>
                      <w:szCs w:val="21"/>
                    </w:rPr>
                    <w:t>租赁现有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color w:val="000000"/>
                      <w:kern w:val="36"/>
                      <w:sz w:val="21"/>
                      <w:szCs w:val="21"/>
                    </w:rPr>
                  </w:pPr>
                  <w:r>
                    <w:rPr>
                      <w:sz w:val="21"/>
                      <w:szCs w:val="21"/>
                    </w:rPr>
                    <w:t>2</w:t>
                  </w:r>
                </w:p>
              </w:tc>
              <w:tc>
                <w:tcPr>
                  <w:tcW w:w="117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kern w:val="36"/>
                      <w:sz w:val="21"/>
                      <w:szCs w:val="21"/>
                    </w:rPr>
                  </w:pPr>
                  <w:r>
                    <w:rPr>
                      <w:rFonts w:hint="eastAsia"/>
                      <w:color w:val="000000"/>
                      <w:sz w:val="21"/>
                      <w:szCs w:val="21"/>
                    </w:rPr>
                    <w:t>辅助工程</w:t>
                  </w:r>
                </w:p>
              </w:tc>
              <w:tc>
                <w:tcPr>
                  <w:tcW w:w="124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 w:val="21"/>
                      <w:szCs w:val="21"/>
                    </w:rPr>
                  </w:pPr>
                  <w:r>
                    <w:rPr>
                      <w:rFonts w:hint="eastAsia"/>
                      <w:color w:val="000000"/>
                      <w:sz w:val="21"/>
                      <w:szCs w:val="21"/>
                    </w:rPr>
                    <w:t>原料仓库</w:t>
                  </w:r>
                </w:p>
              </w:tc>
              <w:tc>
                <w:tcPr>
                  <w:tcW w:w="32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 w:val="21"/>
                      <w:szCs w:val="21"/>
                    </w:rPr>
                  </w:pPr>
                  <w:r>
                    <w:rPr>
                      <w:color w:val="000000"/>
                      <w:sz w:val="21"/>
                      <w:szCs w:val="21"/>
                    </w:rPr>
                    <w:t>1</w:t>
                  </w:r>
                  <w:r>
                    <w:rPr>
                      <w:rFonts w:hint="eastAsia"/>
                      <w:color w:val="000000"/>
                      <w:sz w:val="21"/>
                      <w:szCs w:val="21"/>
                    </w:rPr>
                    <w:t>座，</w:t>
                  </w:r>
                  <w:r>
                    <w:rPr>
                      <w:color w:val="000000"/>
                      <w:sz w:val="21"/>
                      <w:szCs w:val="21"/>
                    </w:rPr>
                    <w:t>3600m</w:t>
                  </w:r>
                  <w:r>
                    <w:rPr>
                      <w:color w:val="000000"/>
                      <w:sz w:val="21"/>
                      <w:szCs w:val="21"/>
                      <w:vertAlign w:val="superscript"/>
                    </w:rPr>
                    <w:t>2</w:t>
                  </w:r>
                </w:p>
              </w:tc>
              <w:tc>
                <w:tcPr>
                  <w:tcW w:w="1477" w:type="dxa"/>
                  <w:tcBorders>
                    <w:top w:val="single" w:color="auto" w:sz="4" w:space="0"/>
                    <w:left w:val="single" w:color="auto" w:sz="4" w:space="0"/>
                    <w:bottom w:val="single" w:color="auto" w:sz="4" w:space="0"/>
                    <w:right w:val="nil"/>
                  </w:tcBorders>
                  <w:vAlign w:val="center"/>
                </w:tcPr>
                <w:p>
                  <w:pPr>
                    <w:adjustRightInd w:val="0"/>
                    <w:snapToGrid w:val="0"/>
                    <w:jc w:val="center"/>
                    <w:rPr>
                      <w:color w:val="000000"/>
                      <w:kern w:val="36"/>
                      <w:sz w:val="21"/>
                      <w:szCs w:val="21"/>
                    </w:rPr>
                  </w:pPr>
                  <w:r>
                    <w:rPr>
                      <w:rFonts w:hint="eastAsia"/>
                      <w:color w:val="000000"/>
                      <w:kern w:val="36"/>
                      <w:sz w:val="21"/>
                      <w:szCs w:val="21"/>
                    </w:rPr>
                    <w:t>租赁现有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 w:type="dxa"/>
                  <w:vMerge w:val="continue"/>
                  <w:tcBorders>
                    <w:top w:val="single" w:color="auto" w:sz="4" w:space="0"/>
                    <w:left w:val="nil"/>
                    <w:bottom w:val="single" w:color="auto" w:sz="4" w:space="0"/>
                    <w:right w:val="single" w:color="auto" w:sz="4" w:space="0"/>
                  </w:tcBorders>
                  <w:vAlign w:val="center"/>
                </w:tcPr>
                <w:p>
                  <w:pPr>
                    <w:widowControl/>
                    <w:jc w:val="left"/>
                    <w:rPr>
                      <w:color w:val="000000"/>
                      <w:kern w:val="36"/>
                      <w:sz w:val="21"/>
                      <w:szCs w:val="21"/>
                    </w:rPr>
                  </w:pPr>
                </w:p>
              </w:tc>
              <w:tc>
                <w:tcPr>
                  <w:tcW w:w="11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36"/>
                      <w:sz w:val="21"/>
                      <w:szCs w:val="21"/>
                    </w:rPr>
                  </w:pPr>
                </w:p>
              </w:tc>
              <w:tc>
                <w:tcPr>
                  <w:tcW w:w="124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 w:val="21"/>
                      <w:szCs w:val="21"/>
                    </w:rPr>
                  </w:pPr>
                  <w:r>
                    <w:rPr>
                      <w:rFonts w:hint="eastAsia"/>
                      <w:color w:val="000000"/>
                      <w:sz w:val="21"/>
                      <w:szCs w:val="21"/>
                    </w:rPr>
                    <w:t>成品仓库</w:t>
                  </w:r>
                </w:p>
              </w:tc>
              <w:tc>
                <w:tcPr>
                  <w:tcW w:w="32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sz w:val="21"/>
                      <w:szCs w:val="21"/>
                    </w:rPr>
                  </w:pPr>
                  <w:r>
                    <w:rPr>
                      <w:color w:val="000000"/>
                      <w:sz w:val="21"/>
                      <w:szCs w:val="21"/>
                    </w:rPr>
                    <w:t>1</w:t>
                  </w:r>
                  <w:r>
                    <w:rPr>
                      <w:rFonts w:hint="eastAsia"/>
                      <w:color w:val="000000"/>
                      <w:sz w:val="21"/>
                      <w:szCs w:val="21"/>
                    </w:rPr>
                    <w:t>座，</w:t>
                  </w:r>
                  <w:r>
                    <w:rPr>
                      <w:color w:val="000000"/>
                      <w:sz w:val="21"/>
                      <w:szCs w:val="21"/>
                    </w:rPr>
                    <w:t>1300m</w:t>
                  </w:r>
                  <w:r>
                    <w:rPr>
                      <w:color w:val="000000"/>
                      <w:sz w:val="21"/>
                      <w:szCs w:val="21"/>
                      <w:vertAlign w:val="superscript"/>
                    </w:rPr>
                    <w:t>2</w:t>
                  </w:r>
                </w:p>
              </w:tc>
              <w:tc>
                <w:tcPr>
                  <w:tcW w:w="1477" w:type="dxa"/>
                  <w:tcBorders>
                    <w:top w:val="single" w:color="auto" w:sz="4" w:space="0"/>
                    <w:left w:val="single" w:color="auto" w:sz="4" w:space="0"/>
                    <w:bottom w:val="single" w:color="auto" w:sz="4" w:space="0"/>
                    <w:right w:val="nil"/>
                  </w:tcBorders>
                  <w:vAlign w:val="center"/>
                </w:tcPr>
                <w:p>
                  <w:pPr>
                    <w:adjustRightInd w:val="0"/>
                    <w:snapToGrid w:val="0"/>
                    <w:jc w:val="center"/>
                    <w:rPr>
                      <w:color w:val="000000"/>
                      <w:kern w:val="36"/>
                      <w:sz w:val="21"/>
                      <w:szCs w:val="21"/>
                    </w:rPr>
                  </w:pPr>
                  <w:r>
                    <w:rPr>
                      <w:rFonts w:hint="eastAsia"/>
                      <w:color w:val="000000"/>
                      <w:kern w:val="36"/>
                      <w:sz w:val="21"/>
                      <w:szCs w:val="21"/>
                    </w:rPr>
                    <w:t>租赁现有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kern w:val="36"/>
                      <w:sz w:val="21"/>
                      <w:szCs w:val="21"/>
                    </w:rPr>
                  </w:pPr>
                  <w:r>
                    <w:rPr>
                      <w:kern w:val="36"/>
                      <w:sz w:val="21"/>
                      <w:szCs w:val="21"/>
                    </w:rPr>
                    <w:t>3</w:t>
                  </w:r>
                </w:p>
              </w:tc>
              <w:tc>
                <w:tcPr>
                  <w:tcW w:w="117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36"/>
                      <w:sz w:val="21"/>
                      <w:szCs w:val="21"/>
                    </w:rPr>
                  </w:pPr>
                  <w:r>
                    <w:rPr>
                      <w:rFonts w:hint="eastAsia"/>
                      <w:kern w:val="36"/>
                      <w:sz w:val="21"/>
                      <w:szCs w:val="21"/>
                    </w:rPr>
                    <w:t>公用工程</w:t>
                  </w:r>
                </w:p>
              </w:tc>
              <w:tc>
                <w:tcPr>
                  <w:tcW w:w="124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36"/>
                      <w:sz w:val="21"/>
                      <w:szCs w:val="21"/>
                    </w:rPr>
                  </w:pPr>
                  <w:r>
                    <w:rPr>
                      <w:rFonts w:hint="eastAsia"/>
                      <w:kern w:val="36"/>
                      <w:sz w:val="21"/>
                      <w:szCs w:val="21"/>
                    </w:rPr>
                    <w:t>供电</w:t>
                  </w:r>
                </w:p>
              </w:tc>
              <w:tc>
                <w:tcPr>
                  <w:tcW w:w="32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36"/>
                      <w:sz w:val="21"/>
                      <w:szCs w:val="21"/>
                      <w:highlight w:val="yellow"/>
                    </w:rPr>
                  </w:pPr>
                  <w:r>
                    <w:rPr>
                      <w:rFonts w:hint="eastAsia"/>
                      <w:color w:val="000000"/>
                      <w:sz w:val="21"/>
                      <w:szCs w:val="21"/>
                    </w:rPr>
                    <w:t>国家电网供给</w:t>
                  </w:r>
                </w:p>
              </w:tc>
              <w:tc>
                <w:tcPr>
                  <w:tcW w:w="1477" w:type="dxa"/>
                  <w:vMerge w:val="restart"/>
                  <w:tcBorders>
                    <w:top w:val="single" w:color="auto" w:sz="4" w:space="0"/>
                    <w:left w:val="single" w:color="auto" w:sz="4" w:space="0"/>
                    <w:bottom w:val="single" w:color="auto" w:sz="4" w:space="0"/>
                    <w:right w:val="nil"/>
                  </w:tcBorders>
                  <w:vAlign w:val="center"/>
                </w:tcPr>
                <w:p>
                  <w:pPr>
                    <w:adjustRightInd w:val="0"/>
                    <w:snapToGrid w:val="0"/>
                    <w:jc w:val="center"/>
                    <w:rPr>
                      <w:kern w:val="36"/>
                      <w:sz w:val="21"/>
                      <w:szCs w:val="21"/>
                      <w:highlight w:val="yellow"/>
                    </w:rPr>
                  </w:pPr>
                  <w:r>
                    <w:rPr>
                      <w:kern w:val="36"/>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 w:type="dxa"/>
                  <w:vMerge w:val="continue"/>
                  <w:tcBorders>
                    <w:top w:val="single" w:color="auto" w:sz="4" w:space="0"/>
                    <w:left w:val="nil"/>
                    <w:bottom w:val="single" w:color="auto" w:sz="4" w:space="0"/>
                    <w:right w:val="single" w:color="auto" w:sz="4" w:space="0"/>
                  </w:tcBorders>
                  <w:vAlign w:val="center"/>
                </w:tcPr>
                <w:p>
                  <w:pPr>
                    <w:widowControl/>
                    <w:jc w:val="left"/>
                    <w:rPr>
                      <w:kern w:val="36"/>
                      <w:sz w:val="21"/>
                      <w:szCs w:val="21"/>
                    </w:rPr>
                  </w:pPr>
                </w:p>
              </w:tc>
              <w:tc>
                <w:tcPr>
                  <w:tcW w:w="11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36"/>
                      <w:sz w:val="21"/>
                      <w:szCs w:val="21"/>
                    </w:rPr>
                  </w:pPr>
                </w:p>
              </w:tc>
              <w:tc>
                <w:tcPr>
                  <w:tcW w:w="124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36"/>
                      <w:sz w:val="21"/>
                      <w:szCs w:val="21"/>
                    </w:rPr>
                  </w:pPr>
                  <w:r>
                    <w:rPr>
                      <w:rFonts w:hint="eastAsia"/>
                      <w:kern w:val="36"/>
                      <w:sz w:val="21"/>
                      <w:szCs w:val="21"/>
                    </w:rPr>
                    <w:t>供水</w:t>
                  </w:r>
                </w:p>
              </w:tc>
              <w:tc>
                <w:tcPr>
                  <w:tcW w:w="32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36"/>
                      <w:sz w:val="21"/>
                      <w:szCs w:val="21"/>
                      <w:highlight w:val="yellow"/>
                    </w:rPr>
                  </w:pPr>
                  <w:r>
                    <w:rPr>
                      <w:rFonts w:hint="eastAsia"/>
                      <w:color w:val="000000"/>
                      <w:sz w:val="21"/>
                      <w:szCs w:val="21"/>
                    </w:rPr>
                    <w:t>敦留店村统一供水</w:t>
                  </w:r>
                </w:p>
              </w:tc>
              <w:tc>
                <w:tcPr>
                  <w:tcW w:w="1477" w:type="dxa"/>
                  <w:vMerge w:val="continue"/>
                  <w:tcBorders>
                    <w:top w:val="single" w:color="auto" w:sz="4" w:space="0"/>
                    <w:left w:val="single" w:color="auto" w:sz="4" w:space="0"/>
                    <w:bottom w:val="single" w:color="auto" w:sz="4" w:space="0"/>
                    <w:right w:val="nil"/>
                  </w:tcBorders>
                  <w:vAlign w:val="center"/>
                </w:tcPr>
                <w:p>
                  <w:pPr>
                    <w:widowControl/>
                    <w:jc w:val="left"/>
                    <w:rPr>
                      <w:kern w:val="36"/>
                      <w:sz w:val="21"/>
                      <w:szCs w:val="21"/>
                      <w:highlight w:val="yellow"/>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84" w:type="dxa"/>
                  <w:vMerge w:val="restart"/>
                  <w:tcBorders>
                    <w:top w:val="single" w:color="auto" w:sz="4" w:space="0"/>
                    <w:left w:val="nil"/>
                    <w:right w:val="single" w:color="auto" w:sz="4" w:space="0"/>
                  </w:tcBorders>
                  <w:vAlign w:val="center"/>
                </w:tcPr>
                <w:p>
                  <w:pPr>
                    <w:adjustRightInd w:val="0"/>
                    <w:snapToGrid w:val="0"/>
                    <w:jc w:val="center"/>
                    <w:rPr>
                      <w:kern w:val="36"/>
                      <w:sz w:val="21"/>
                      <w:szCs w:val="21"/>
                    </w:rPr>
                  </w:pPr>
                  <w:r>
                    <w:rPr>
                      <w:kern w:val="36"/>
                      <w:sz w:val="21"/>
                      <w:szCs w:val="21"/>
                    </w:rPr>
                    <w:t>4</w:t>
                  </w:r>
                </w:p>
              </w:tc>
              <w:tc>
                <w:tcPr>
                  <w:tcW w:w="1172" w:type="dxa"/>
                  <w:vMerge w:val="restart"/>
                  <w:tcBorders>
                    <w:top w:val="single" w:color="auto" w:sz="4" w:space="0"/>
                    <w:left w:val="single" w:color="auto" w:sz="4" w:space="0"/>
                    <w:right w:val="single" w:color="auto" w:sz="4" w:space="0"/>
                  </w:tcBorders>
                  <w:vAlign w:val="center"/>
                </w:tcPr>
                <w:p>
                  <w:pPr>
                    <w:adjustRightInd w:val="0"/>
                    <w:snapToGrid w:val="0"/>
                    <w:jc w:val="center"/>
                    <w:rPr>
                      <w:kern w:val="36"/>
                      <w:sz w:val="21"/>
                      <w:szCs w:val="21"/>
                    </w:rPr>
                  </w:pPr>
                  <w:r>
                    <w:rPr>
                      <w:rFonts w:hint="eastAsia"/>
                      <w:kern w:val="36"/>
                      <w:sz w:val="21"/>
                      <w:szCs w:val="21"/>
                    </w:rPr>
                    <w:t>环保工程</w:t>
                  </w:r>
                </w:p>
              </w:tc>
              <w:tc>
                <w:tcPr>
                  <w:tcW w:w="570" w:type="dxa"/>
                  <w:vMerge w:val="restart"/>
                  <w:tcBorders>
                    <w:top w:val="single" w:color="auto" w:sz="4" w:space="0"/>
                    <w:left w:val="single" w:color="auto" w:sz="4" w:space="0"/>
                    <w:right w:val="single" w:color="auto" w:sz="4" w:space="0"/>
                  </w:tcBorders>
                  <w:vAlign w:val="center"/>
                </w:tcPr>
                <w:p>
                  <w:pPr>
                    <w:adjustRightInd w:val="0"/>
                    <w:snapToGrid w:val="0"/>
                    <w:jc w:val="center"/>
                    <w:rPr>
                      <w:kern w:val="36"/>
                      <w:sz w:val="21"/>
                      <w:szCs w:val="21"/>
                    </w:rPr>
                  </w:pPr>
                  <w:r>
                    <w:rPr>
                      <w:rFonts w:hint="eastAsia"/>
                      <w:kern w:val="36"/>
                      <w:sz w:val="21"/>
                      <w:szCs w:val="21"/>
                    </w:rPr>
                    <w:t>废气</w:t>
                  </w:r>
                </w:p>
              </w:tc>
              <w:tc>
                <w:tcPr>
                  <w:tcW w:w="678" w:type="dxa"/>
                  <w:tcBorders>
                    <w:top w:val="single" w:color="auto" w:sz="4" w:space="0"/>
                    <w:left w:val="single" w:color="auto" w:sz="4" w:space="0"/>
                    <w:right w:val="single" w:color="auto" w:sz="4" w:space="0"/>
                  </w:tcBorders>
                  <w:vAlign w:val="center"/>
                </w:tcPr>
                <w:p>
                  <w:pPr>
                    <w:jc w:val="center"/>
                    <w:rPr>
                      <w:kern w:val="36"/>
                      <w:sz w:val="21"/>
                      <w:szCs w:val="21"/>
                      <w:highlight w:val="none"/>
                    </w:rPr>
                  </w:pPr>
                  <w:r>
                    <w:rPr>
                      <w:rFonts w:hint="eastAsia"/>
                      <w:sz w:val="21"/>
                      <w:szCs w:val="21"/>
                      <w:lang w:val="en-US" w:eastAsia="zh-CN"/>
                    </w:rPr>
                    <w:t>粉料</w:t>
                  </w:r>
                  <w:r>
                    <w:rPr>
                      <w:rFonts w:hint="eastAsia"/>
                      <w:sz w:val="21"/>
                      <w:szCs w:val="21"/>
                    </w:rPr>
                    <w:t>筒仓呼吸</w:t>
                  </w:r>
                  <w:r>
                    <w:rPr>
                      <w:rFonts w:hint="eastAsia"/>
                      <w:sz w:val="21"/>
                      <w:szCs w:val="21"/>
                      <w:lang w:val="en-US" w:eastAsia="zh-CN"/>
                    </w:rPr>
                    <w:t>废气</w:t>
                  </w:r>
                </w:p>
              </w:tc>
              <w:tc>
                <w:tcPr>
                  <w:tcW w:w="3243" w:type="dxa"/>
                  <w:tcBorders>
                    <w:top w:val="single" w:color="auto" w:sz="4" w:space="0"/>
                    <w:left w:val="single" w:color="auto" w:sz="4" w:space="0"/>
                    <w:right w:val="single" w:color="auto" w:sz="4" w:space="0"/>
                  </w:tcBorders>
                  <w:vAlign w:val="center"/>
                </w:tcPr>
                <w:p>
                  <w:pPr>
                    <w:adjustRightInd w:val="0"/>
                    <w:snapToGrid w:val="0"/>
                    <w:rPr>
                      <w:color w:val="FF0000"/>
                      <w:kern w:val="36"/>
                      <w:sz w:val="21"/>
                      <w:szCs w:val="21"/>
                      <w:highlight w:val="none"/>
                      <w:u w:val="single"/>
                    </w:rPr>
                  </w:pPr>
                  <w:r>
                    <w:rPr>
                      <w:rFonts w:hint="eastAsia" w:hAnsi="宋体"/>
                      <w:sz w:val="21"/>
                      <w:szCs w:val="21"/>
                    </w:rPr>
                    <w:t>每个筒仓</w:t>
                  </w:r>
                  <w:r>
                    <w:rPr>
                      <w:rFonts w:hint="eastAsia" w:hAnsi="宋体"/>
                      <w:sz w:val="21"/>
                      <w:szCs w:val="21"/>
                      <w:lang w:val="en-US" w:eastAsia="zh-CN"/>
                    </w:rPr>
                    <w:t>经自带袋式除尘器（TA001-TA008除尘器）处理后再经1台脉冲袋式除尘器（TA009除尘器）处理</w:t>
                  </w:r>
                  <w:r>
                    <w:rPr>
                      <w:rFonts w:hint="eastAsia" w:hAnsi="宋体"/>
                      <w:sz w:val="21"/>
                      <w:szCs w:val="21"/>
                    </w:rPr>
                    <w:t>后尾气通过高于仓顶</w:t>
                  </w:r>
                  <w:r>
                    <w:rPr>
                      <w:sz w:val="21"/>
                      <w:szCs w:val="21"/>
                    </w:rPr>
                    <w:t>3m</w:t>
                  </w:r>
                  <w:r>
                    <w:rPr>
                      <w:rFonts w:hint="eastAsia" w:hAnsi="宋体"/>
                      <w:sz w:val="21"/>
                      <w:szCs w:val="21"/>
                    </w:rPr>
                    <w:t>以上且距离地面高度</w:t>
                  </w:r>
                  <w:r>
                    <w:rPr>
                      <w:sz w:val="21"/>
                      <w:szCs w:val="21"/>
                    </w:rPr>
                    <w:t>15m</w:t>
                  </w:r>
                  <w:r>
                    <w:rPr>
                      <w:rFonts w:hint="eastAsia"/>
                      <w:sz w:val="21"/>
                      <w:szCs w:val="21"/>
                      <w:lang w:val="en-US" w:eastAsia="zh-CN"/>
                    </w:rPr>
                    <w:t>高的</w:t>
                  </w:r>
                  <w:r>
                    <w:rPr>
                      <w:rFonts w:hint="eastAsia" w:hAnsi="宋体"/>
                      <w:sz w:val="21"/>
                      <w:szCs w:val="21"/>
                    </w:rPr>
                    <w:t>排气筒</w:t>
                  </w:r>
                  <w:r>
                    <w:rPr>
                      <w:rFonts w:hint="eastAsia" w:hAnsi="宋体"/>
                      <w:sz w:val="21"/>
                      <w:szCs w:val="21"/>
                      <w:lang w:eastAsia="zh-CN"/>
                    </w:rPr>
                    <w:t>（</w:t>
                  </w:r>
                  <w:r>
                    <w:rPr>
                      <w:rFonts w:hint="eastAsia" w:hAnsi="宋体"/>
                      <w:sz w:val="21"/>
                      <w:szCs w:val="21"/>
                      <w:lang w:val="en-US" w:eastAsia="zh-CN"/>
                    </w:rPr>
                    <w:t>DA001</w:t>
                  </w:r>
                  <w:r>
                    <w:rPr>
                      <w:rFonts w:hint="eastAsia" w:hAnsi="宋体"/>
                      <w:sz w:val="21"/>
                      <w:szCs w:val="21"/>
                      <w:lang w:eastAsia="zh-CN"/>
                    </w:rPr>
                    <w:t>）</w:t>
                  </w:r>
                  <w:r>
                    <w:rPr>
                      <w:rFonts w:hint="eastAsia" w:hAnsi="宋体"/>
                      <w:sz w:val="21"/>
                      <w:szCs w:val="21"/>
                    </w:rPr>
                    <w:t>排放。</w:t>
                  </w:r>
                </w:p>
              </w:tc>
              <w:tc>
                <w:tcPr>
                  <w:tcW w:w="1477" w:type="dxa"/>
                  <w:vMerge w:val="restart"/>
                  <w:tcBorders>
                    <w:top w:val="single" w:color="auto" w:sz="4" w:space="0"/>
                    <w:left w:val="single" w:color="auto" w:sz="4" w:space="0"/>
                    <w:right w:val="nil"/>
                  </w:tcBorders>
                  <w:vAlign w:val="center"/>
                </w:tcPr>
                <w:p>
                  <w:pPr>
                    <w:adjustRightInd w:val="0"/>
                    <w:snapToGrid w:val="0"/>
                    <w:jc w:val="center"/>
                    <w:rPr>
                      <w:kern w:val="36"/>
                      <w:sz w:val="21"/>
                      <w:szCs w:val="21"/>
                    </w:rPr>
                  </w:pPr>
                  <w:r>
                    <w:rPr>
                      <w:rFonts w:hint="eastAsia"/>
                      <w:kern w:val="36"/>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884" w:type="dxa"/>
                  <w:vMerge w:val="continue"/>
                  <w:tcBorders>
                    <w:left w:val="nil"/>
                    <w:right w:val="single" w:color="auto" w:sz="4" w:space="0"/>
                  </w:tcBorders>
                  <w:vAlign w:val="center"/>
                </w:tcPr>
                <w:p>
                  <w:pPr>
                    <w:adjustRightInd w:val="0"/>
                    <w:snapToGrid w:val="0"/>
                    <w:jc w:val="center"/>
                    <w:rPr>
                      <w:kern w:val="36"/>
                      <w:sz w:val="21"/>
                      <w:szCs w:val="21"/>
                    </w:rPr>
                  </w:pPr>
                </w:p>
              </w:tc>
              <w:tc>
                <w:tcPr>
                  <w:tcW w:w="1172" w:type="dxa"/>
                  <w:vMerge w:val="continue"/>
                  <w:tcBorders>
                    <w:left w:val="single" w:color="auto" w:sz="4" w:space="0"/>
                    <w:right w:val="single" w:color="auto" w:sz="4" w:space="0"/>
                  </w:tcBorders>
                  <w:vAlign w:val="center"/>
                </w:tcPr>
                <w:p>
                  <w:pPr>
                    <w:adjustRightInd w:val="0"/>
                    <w:snapToGrid w:val="0"/>
                    <w:jc w:val="center"/>
                    <w:rPr>
                      <w:kern w:val="36"/>
                      <w:sz w:val="21"/>
                      <w:szCs w:val="21"/>
                    </w:rPr>
                  </w:pPr>
                </w:p>
              </w:tc>
              <w:tc>
                <w:tcPr>
                  <w:tcW w:w="570" w:type="dxa"/>
                  <w:vMerge w:val="continue"/>
                  <w:tcBorders>
                    <w:left w:val="single" w:color="auto" w:sz="4" w:space="0"/>
                    <w:right w:val="single" w:color="auto" w:sz="4" w:space="0"/>
                  </w:tcBorders>
                  <w:vAlign w:val="center"/>
                </w:tcPr>
                <w:p>
                  <w:pPr>
                    <w:adjustRightInd w:val="0"/>
                    <w:snapToGrid w:val="0"/>
                    <w:jc w:val="center"/>
                    <w:rPr>
                      <w:kern w:val="36"/>
                      <w:sz w:val="21"/>
                      <w:szCs w:val="21"/>
                    </w:rPr>
                  </w:pPr>
                </w:p>
              </w:tc>
              <w:tc>
                <w:tcPr>
                  <w:tcW w:w="678" w:type="dxa"/>
                  <w:tcBorders>
                    <w:left w:val="single" w:color="auto" w:sz="4" w:space="0"/>
                    <w:right w:val="single" w:color="auto" w:sz="4" w:space="0"/>
                  </w:tcBorders>
                  <w:vAlign w:val="center"/>
                </w:tcPr>
                <w:p>
                  <w:pPr>
                    <w:jc w:val="center"/>
                    <w:rPr>
                      <w:kern w:val="36"/>
                      <w:sz w:val="21"/>
                      <w:szCs w:val="21"/>
                      <w:highlight w:val="none"/>
                    </w:rPr>
                  </w:pPr>
                  <w:r>
                    <w:rPr>
                      <w:rFonts w:hint="eastAsia"/>
                      <w:sz w:val="21"/>
                      <w:szCs w:val="21"/>
                    </w:rPr>
                    <w:t>砂石进料粉尘</w:t>
                  </w:r>
                </w:p>
              </w:tc>
              <w:tc>
                <w:tcPr>
                  <w:tcW w:w="3243" w:type="dxa"/>
                  <w:tcBorders>
                    <w:top w:val="single" w:color="auto" w:sz="4" w:space="0"/>
                    <w:left w:val="single" w:color="auto" w:sz="4" w:space="0"/>
                    <w:right w:val="single" w:color="auto" w:sz="4" w:space="0"/>
                  </w:tcBorders>
                  <w:vAlign w:val="center"/>
                </w:tcPr>
                <w:p>
                  <w:pPr>
                    <w:jc w:val="center"/>
                    <w:rPr>
                      <w:color w:val="FF0000"/>
                      <w:kern w:val="36"/>
                      <w:sz w:val="21"/>
                      <w:szCs w:val="21"/>
                      <w:highlight w:val="none"/>
                    </w:rPr>
                  </w:pPr>
                  <w:r>
                    <w:rPr>
                      <w:rFonts w:hint="eastAsia"/>
                      <w:sz w:val="21"/>
                      <w:szCs w:val="21"/>
                    </w:rPr>
                    <w:t>锥形下料器</w:t>
                  </w:r>
                  <w:r>
                    <w:rPr>
                      <w:rFonts w:hint="eastAsia"/>
                      <w:sz w:val="21"/>
                      <w:szCs w:val="21"/>
                      <w:lang w:val="en-US" w:eastAsia="zh-CN"/>
                    </w:rPr>
                    <w:t>设置三面一档式集气罩</w:t>
                  </w:r>
                  <w:r>
                    <w:rPr>
                      <w:rFonts w:hint="eastAsia"/>
                      <w:sz w:val="21"/>
                      <w:szCs w:val="21"/>
                    </w:rPr>
                    <w:t>粉尘</w:t>
                  </w:r>
                  <w:r>
                    <w:rPr>
                      <w:rFonts w:hint="eastAsia"/>
                      <w:sz w:val="21"/>
                      <w:szCs w:val="21"/>
                      <w:lang w:val="en-US" w:eastAsia="zh-CN"/>
                    </w:rPr>
                    <w:t>收集后经管道</w:t>
                  </w:r>
                  <w:r>
                    <w:rPr>
                      <w:rFonts w:hint="eastAsia"/>
                      <w:sz w:val="21"/>
                      <w:szCs w:val="21"/>
                    </w:rPr>
                    <w:t>引至</w:t>
                  </w:r>
                  <w:r>
                    <w:rPr>
                      <w:rFonts w:hint="eastAsia"/>
                      <w:sz w:val="21"/>
                      <w:szCs w:val="21"/>
                      <w:lang w:val="en-US" w:eastAsia="zh-CN"/>
                    </w:rPr>
                    <w:t>脉冲</w:t>
                  </w:r>
                  <w:r>
                    <w:rPr>
                      <w:rFonts w:hint="eastAsia"/>
                      <w:color w:val="000000"/>
                      <w:sz w:val="21"/>
                      <w:szCs w:val="21"/>
                    </w:rPr>
                    <w:t>袋式除尘器（</w:t>
                  </w:r>
                  <w:r>
                    <w:rPr>
                      <w:rFonts w:hint="eastAsia"/>
                      <w:color w:val="000000"/>
                      <w:sz w:val="21"/>
                      <w:szCs w:val="21"/>
                      <w:lang w:val="en-US" w:eastAsia="zh-CN"/>
                    </w:rPr>
                    <w:t>TA010</w:t>
                  </w:r>
                  <w:r>
                    <w:rPr>
                      <w:rFonts w:hint="eastAsia"/>
                      <w:color w:val="000000"/>
                      <w:sz w:val="21"/>
                      <w:szCs w:val="21"/>
                    </w:rPr>
                    <w:t>除尘器）治理后通过</w:t>
                  </w:r>
                  <w:r>
                    <w:rPr>
                      <w:color w:val="000000"/>
                      <w:sz w:val="21"/>
                      <w:szCs w:val="21"/>
                    </w:rPr>
                    <w:t>15m</w:t>
                  </w:r>
                  <w:r>
                    <w:rPr>
                      <w:rFonts w:hint="eastAsia"/>
                      <w:color w:val="000000"/>
                      <w:sz w:val="21"/>
                      <w:szCs w:val="21"/>
                      <w:lang w:val="en-US" w:eastAsia="zh-CN"/>
                    </w:rPr>
                    <w:t>高</w:t>
                  </w:r>
                  <w:r>
                    <w:rPr>
                      <w:rFonts w:hint="eastAsia"/>
                      <w:color w:val="000000"/>
                      <w:sz w:val="21"/>
                      <w:szCs w:val="21"/>
                    </w:rPr>
                    <w:t>排气筒</w:t>
                  </w:r>
                  <w:r>
                    <w:rPr>
                      <w:rFonts w:hint="eastAsia"/>
                      <w:color w:val="000000"/>
                      <w:sz w:val="21"/>
                      <w:szCs w:val="21"/>
                      <w:lang w:eastAsia="zh-CN"/>
                    </w:rPr>
                    <w:t>（</w:t>
                  </w:r>
                  <w:r>
                    <w:rPr>
                      <w:rFonts w:hint="eastAsia"/>
                      <w:color w:val="000000"/>
                      <w:sz w:val="21"/>
                      <w:szCs w:val="21"/>
                      <w:lang w:val="en-US" w:eastAsia="zh-CN"/>
                    </w:rPr>
                    <w:t>DA002</w:t>
                  </w:r>
                  <w:r>
                    <w:rPr>
                      <w:rFonts w:hint="eastAsia"/>
                      <w:color w:val="000000"/>
                      <w:sz w:val="21"/>
                      <w:szCs w:val="21"/>
                      <w:lang w:eastAsia="zh-CN"/>
                    </w:rPr>
                    <w:t>）</w:t>
                  </w:r>
                  <w:r>
                    <w:rPr>
                      <w:rFonts w:hint="eastAsia" w:hAnsi="宋体"/>
                      <w:sz w:val="21"/>
                      <w:szCs w:val="21"/>
                    </w:rPr>
                    <w:t>排放。</w:t>
                  </w:r>
                </w:p>
              </w:tc>
              <w:tc>
                <w:tcPr>
                  <w:tcW w:w="1477" w:type="dxa"/>
                  <w:vMerge w:val="continue"/>
                  <w:tcBorders>
                    <w:left w:val="single" w:color="auto" w:sz="4" w:space="0"/>
                    <w:right w:val="nil"/>
                  </w:tcBorders>
                  <w:vAlign w:val="center"/>
                </w:tcPr>
                <w:p>
                  <w:pPr>
                    <w:adjustRightInd w:val="0"/>
                    <w:snapToGrid w:val="0"/>
                    <w:jc w:val="center"/>
                    <w:rPr>
                      <w:kern w:val="36"/>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84" w:type="dxa"/>
                  <w:vMerge w:val="continue"/>
                  <w:tcBorders>
                    <w:left w:val="nil"/>
                    <w:right w:val="single" w:color="auto" w:sz="4" w:space="0"/>
                  </w:tcBorders>
                  <w:vAlign w:val="center"/>
                </w:tcPr>
                <w:p>
                  <w:pPr>
                    <w:adjustRightInd w:val="0"/>
                    <w:snapToGrid w:val="0"/>
                    <w:jc w:val="center"/>
                    <w:rPr>
                      <w:kern w:val="36"/>
                      <w:sz w:val="21"/>
                      <w:szCs w:val="21"/>
                    </w:rPr>
                  </w:pPr>
                </w:p>
              </w:tc>
              <w:tc>
                <w:tcPr>
                  <w:tcW w:w="1172" w:type="dxa"/>
                  <w:vMerge w:val="continue"/>
                  <w:tcBorders>
                    <w:left w:val="single" w:color="auto" w:sz="4" w:space="0"/>
                    <w:right w:val="single" w:color="auto" w:sz="4" w:space="0"/>
                  </w:tcBorders>
                  <w:vAlign w:val="center"/>
                </w:tcPr>
                <w:p>
                  <w:pPr>
                    <w:adjustRightInd w:val="0"/>
                    <w:snapToGrid w:val="0"/>
                    <w:jc w:val="center"/>
                    <w:rPr>
                      <w:kern w:val="36"/>
                      <w:sz w:val="21"/>
                      <w:szCs w:val="21"/>
                    </w:rPr>
                  </w:pPr>
                </w:p>
              </w:tc>
              <w:tc>
                <w:tcPr>
                  <w:tcW w:w="570" w:type="dxa"/>
                  <w:vMerge w:val="continue"/>
                  <w:tcBorders>
                    <w:left w:val="single" w:color="auto" w:sz="4" w:space="0"/>
                    <w:right w:val="single" w:color="auto" w:sz="4" w:space="0"/>
                  </w:tcBorders>
                  <w:vAlign w:val="center"/>
                </w:tcPr>
                <w:p>
                  <w:pPr>
                    <w:adjustRightInd w:val="0"/>
                    <w:snapToGrid w:val="0"/>
                    <w:jc w:val="center"/>
                    <w:rPr>
                      <w:kern w:val="36"/>
                      <w:sz w:val="21"/>
                      <w:szCs w:val="21"/>
                    </w:rPr>
                  </w:pPr>
                </w:p>
              </w:tc>
              <w:tc>
                <w:tcPr>
                  <w:tcW w:w="678" w:type="dxa"/>
                  <w:tcBorders>
                    <w:left w:val="single" w:color="auto" w:sz="4" w:space="0"/>
                    <w:right w:val="single" w:color="auto" w:sz="4" w:space="0"/>
                  </w:tcBorders>
                  <w:vAlign w:val="center"/>
                </w:tcPr>
                <w:p>
                  <w:pPr>
                    <w:jc w:val="center"/>
                    <w:rPr>
                      <w:kern w:val="36"/>
                      <w:sz w:val="21"/>
                      <w:szCs w:val="21"/>
                      <w:highlight w:val="none"/>
                    </w:rPr>
                  </w:pPr>
                  <w:r>
                    <w:rPr>
                      <w:rFonts w:hint="eastAsia"/>
                      <w:sz w:val="21"/>
                      <w:szCs w:val="21"/>
                    </w:rPr>
                    <w:t>搅拌系统粉尘</w:t>
                  </w:r>
                </w:p>
              </w:tc>
              <w:tc>
                <w:tcPr>
                  <w:tcW w:w="3243" w:type="dxa"/>
                  <w:tcBorders>
                    <w:top w:val="single" w:color="auto" w:sz="4" w:space="0"/>
                    <w:left w:val="single" w:color="auto" w:sz="4" w:space="0"/>
                    <w:right w:val="single" w:color="auto" w:sz="4" w:space="0"/>
                  </w:tcBorders>
                  <w:vAlign w:val="center"/>
                </w:tcPr>
                <w:p>
                  <w:pPr>
                    <w:adjustRightInd w:val="0"/>
                    <w:snapToGrid w:val="0"/>
                    <w:jc w:val="center"/>
                    <w:rPr>
                      <w:color w:val="FF0000"/>
                      <w:kern w:val="36"/>
                      <w:sz w:val="21"/>
                      <w:szCs w:val="21"/>
                      <w:highlight w:val="none"/>
                    </w:rPr>
                  </w:pPr>
                  <w:r>
                    <w:rPr>
                      <w:rFonts w:hint="eastAsia"/>
                      <w:color w:val="000000"/>
                      <w:sz w:val="21"/>
                      <w:szCs w:val="21"/>
                      <w:lang w:val="en-US" w:eastAsia="zh-CN"/>
                    </w:rPr>
                    <w:t>搅拌工序在</w:t>
                  </w:r>
                  <w:r>
                    <w:rPr>
                      <w:rFonts w:hint="eastAsia"/>
                      <w:color w:val="000000"/>
                      <w:sz w:val="21"/>
                      <w:szCs w:val="21"/>
                    </w:rPr>
                    <w:t>密闭搅拌楼</w:t>
                  </w:r>
                  <w:r>
                    <w:rPr>
                      <w:rFonts w:hint="eastAsia"/>
                      <w:color w:val="000000"/>
                      <w:sz w:val="21"/>
                      <w:szCs w:val="21"/>
                      <w:lang w:val="en-US" w:eastAsia="zh-CN"/>
                    </w:rPr>
                    <w:t>中进行</w:t>
                  </w:r>
                  <w:r>
                    <w:rPr>
                      <w:rFonts w:hint="eastAsia"/>
                      <w:color w:val="000000"/>
                      <w:sz w:val="21"/>
                      <w:szCs w:val="21"/>
                    </w:rPr>
                    <w:t>，搅拌楼顶部设置密闭负压管道</w:t>
                  </w:r>
                  <w:r>
                    <w:rPr>
                      <w:rFonts w:hint="eastAsia"/>
                      <w:color w:val="000000"/>
                      <w:sz w:val="21"/>
                      <w:szCs w:val="21"/>
                      <w:lang w:val="en-US" w:eastAsia="zh-CN"/>
                    </w:rPr>
                    <w:t>收集进料</w:t>
                  </w:r>
                  <w:r>
                    <w:rPr>
                      <w:rFonts w:hint="eastAsia"/>
                      <w:color w:val="000000"/>
                      <w:sz w:val="21"/>
                      <w:szCs w:val="21"/>
                    </w:rPr>
                    <w:t>废气，收集后废气引至</w:t>
                  </w:r>
                  <w:r>
                    <w:rPr>
                      <w:rFonts w:hint="eastAsia"/>
                      <w:color w:val="000000"/>
                      <w:sz w:val="21"/>
                      <w:szCs w:val="21"/>
                      <w:lang w:val="en-US" w:eastAsia="zh-CN"/>
                    </w:rPr>
                    <w:t>脉冲</w:t>
                  </w:r>
                  <w:r>
                    <w:rPr>
                      <w:rFonts w:hint="eastAsia"/>
                      <w:color w:val="000000"/>
                      <w:sz w:val="21"/>
                      <w:szCs w:val="21"/>
                    </w:rPr>
                    <w:t>袋式除尘器</w:t>
                  </w:r>
                  <w:r>
                    <w:rPr>
                      <w:rFonts w:hint="eastAsia"/>
                      <w:color w:val="000000"/>
                      <w:sz w:val="21"/>
                      <w:szCs w:val="21"/>
                      <w:lang w:eastAsia="zh-CN"/>
                    </w:rPr>
                    <w:t>（</w:t>
                  </w:r>
                  <w:r>
                    <w:rPr>
                      <w:rFonts w:hint="eastAsia"/>
                      <w:color w:val="000000"/>
                      <w:sz w:val="21"/>
                      <w:szCs w:val="21"/>
                      <w:lang w:val="en-US" w:eastAsia="zh-CN"/>
                    </w:rPr>
                    <w:t>TA011</w:t>
                  </w:r>
                  <w:r>
                    <w:rPr>
                      <w:rFonts w:hint="eastAsia"/>
                      <w:color w:val="000000"/>
                      <w:sz w:val="21"/>
                      <w:szCs w:val="21"/>
                      <w:lang w:eastAsia="zh-CN"/>
                    </w:rPr>
                    <w:t>）</w:t>
                  </w:r>
                  <w:r>
                    <w:rPr>
                      <w:rFonts w:hint="eastAsia"/>
                      <w:color w:val="000000"/>
                      <w:sz w:val="21"/>
                      <w:szCs w:val="21"/>
                    </w:rPr>
                    <w:t>处理，处理后</w:t>
                  </w:r>
                  <w:r>
                    <w:rPr>
                      <w:rFonts w:hint="eastAsia"/>
                      <w:color w:val="000000"/>
                      <w:sz w:val="21"/>
                      <w:szCs w:val="21"/>
                      <w:lang w:val="en-US" w:eastAsia="zh-CN"/>
                    </w:rPr>
                    <w:t>尾气</w:t>
                  </w:r>
                  <w:r>
                    <w:rPr>
                      <w:rFonts w:hint="eastAsia"/>
                      <w:color w:val="000000"/>
                      <w:sz w:val="21"/>
                      <w:szCs w:val="21"/>
                    </w:rPr>
                    <w:t>经15m高排气筒</w:t>
                  </w:r>
                  <w:r>
                    <w:rPr>
                      <w:rFonts w:hint="eastAsia"/>
                      <w:color w:val="000000"/>
                      <w:sz w:val="21"/>
                      <w:szCs w:val="21"/>
                      <w:lang w:eastAsia="zh-CN"/>
                    </w:rPr>
                    <w:t>（</w:t>
                  </w:r>
                  <w:r>
                    <w:rPr>
                      <w:rFonts w:hint="eastAsia"/>
                      <w:color w:val="000000"/>
                      <w:sz w:val="21"/>
                      <w:szCs w:val="21"/>
                      <w:lang w:val="en-US" w:eastAsia="zh-CN"/>
                    </w:rPr>
                    <w:t>DA003</w:t>
                  </w:r>
                  <w:r>
                    <w:rPr>
                      <w:rFonts w:hint="eastAsia"/>
                      <w:color w:val="000000"/>
                      <w:sz w:val="21"/>
                      <w:szCs w:val="21"/>
                      <w:lang w:eastAsia="zh-CN"/>
                    </w:rPr>
                    <w:t>）</w:t>
                  </w:r>
                  <w:r>
                    <w:rPr>
                      <w:rFonts w:hint="eastAsia"/>
                      <w:color w:val="000000"/>
                      <w:sz w:val="21"/>
                      <w:szCs w:val="21"/>
                    </w:rPr>
                    <w:t>排放</w:t>
                  </w:r>
                </w:p>
              </w:tc>
              <w:tc>
                <w:tcPr>
                  <w:tcW w:w="1477" w:type="dxa"/>
                  <w:vMerge w:val="continue"/>
                  <w:tcBorders>
                    <w:left w:val="single" w:color="auto" w:sz="4" w:space="0"/>
                    <w:right w:val="nil"/>
                  </w:tcBorders>
                  <w:vAlign w:val="center"/>
                </w:tcPr>
                <w:p>
                  <w:pPr>
                    <w:adjustRightInd w:val="0"/>
                    <w:snapToGrid w:val="0"/>
                    <w:jc w:val="center"/>
                    <w:rPr>
                      <w:kern w:val="36"/>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 w:type="dxa"/>
                  <w:vMerge w:val="continue"/>
                  <w:tcBorders>
                    <w:left w:val="nil"/>
                    <w:right w:val="single" w:color="auto" w:sz="4" w:space="0"/>
                  </w:tcBorders>
                  <w:vAlign w:val="center"/>
                </w:tcPr>
                <w:p>
                  <w:pPr>
                    <w:widowControl/>
                    <w:jc w:val="left"/>
                    <w:rPr>
                      <w:kern w:val="36"/>
                      <w:sz w:val="21"/>
                      <w:szCs w:val="21"/>
                    </w:rPr>
                  </w:pPr>
                </w:p>
              </w:tc>
              <w:tc>
                <w:tcPr>
                  <w:tcW w:w="1172" w:type="dxa"/>
                  <w:vMerge w:val="continue"/>
                  <w:tcBorders>
                    <w:left w:val="single" w:color="auto" w:sz="4" w:space="0"/>
                    <w:right w:val="single" w:color="auto" w:sz="4" w:space="0"/>
                  </w:tcBorders>
                  <w:vAlign w:val="center"/>
                </w:tcPr>
                <w:p>
                  <w:pPr>
                    <w:widowControl/>
                    <w:jc w:val="left"/>
                    <w:rPr>
                      <w:kern w:val="36"/>
                      <w:sz w:val="21"/>
                      <w:szCs w:val="21"/>
                    </w:rPr>
                  </w:pPr>
                </w:p>
              </w:tc>
              <w:tc>
                <w:tcPr>
                  <w:tcW w:w="570" w:type="dxa"/>
                  <w:vMerge w:val="continue"/>
                  <w:tcBorders>
                    <w:left w:val="single" w:color="auto" w:sz="4" w:space="0"/>
                    <w:bottom w:val="single" w:color="auto" w:sz="4" w:space="0"/>
                    <w:right w:val="single" w:color="auto" w:sz="4" w:space="0"/>
                  </w:tcBorders>
                  <w:vAlign w:val="center"/>
                </w:tcPr>
                <w:p>
                  <w:pPr>
                    <w:widowControl/>
                    <w:jc w:val="left"/>
                    <w:rPr>
                      <w:kern w:val="36"/>
                      <w:sz w:val="21"/>
                      <w:szCs w:val="21"/>
                    </w:rPr>
                  </w:pPr>
                </w:p>
              </w:tc>
              <w:tc>
                <w:tcPr>
                  <w:tcW w:w="678" w:type="dxa"/>
                  <w:tcBorders>
                    <w:left w:val="single" w:color="auto" w:sz="4" w:space="0"/>
                    <w:bottom w:val="single" w:color="auto" w:sz="4" w:space="0"/>
                    <w:right w:val="single" w:color="auto" w:sz="4" w:space="0"/>
                  </w:tcBorders>
                  <w:vAlign w:val="center"/>
                </w:tcPr>
                <w:p>
                  <w:pPr>
                    <w:widowControl/>
                    <w:jc w:val="left"/>
                    <w:rPr>
                      <w:kern w:val="36"/>
                      <w:sz w:val="21"/>
                      <w:szCs w:val="21"/>
                    </w:rPr>
                  </w:pPr>
                  <w:r>
                    <w:rPr>
                      <w:rFonts w:hint="eastAsia"/>
                      <w:kern w:val="36"/>
                      <w:sz w:val="21"/>
                      <w:szCs w:val="21"/>
                    </w:rPr>
                    <w:t>无组织排放治理措施</w:t>
                  </w:r>
                </w:p>
              </w:tc>
              <w:tc>
                <w:tcPr>
                  <w:tcW w:w="3243" w:type="dxa"/>
                  <w:tcBorders>
                    <w:top w:val="single" w:color="auto" w:sz="4" w:space="0"/>
                    <w:left w:val="single" w:color="auto" w:sz="4" w:space="0"/>
                    <w:bottom w:val="single" w:color="auto" w:sz="4" w:space="0"/>
                    <w:right w:val="single" w:color="auto" w:sz="4" w:space="0"/>
                  </w:tcBorders>
                  <w:vAlign w:val="center"/>
                </w:tcPr>
                <w:p>
                  <w:pPr>
                    <w:adjustRightInd w:val="0"/>
                    <w:snapToGrid w:val="0"/>
                    <w:rPr>
                      <w:sz w:val="21"/>
                      <w:szCs w:val="21"/>
                    </w:rPr>
                  </w:pPr>
                  <w:r>
                    <w:rPr>
                      <w:rFonts w:hint="eastAsia"/>
                      <w:kern w:val="36"/>
                      <w:sz w:val="21"/>
                      <w:szCs w:val="21"/>
                    </w:rPr>
                    <w:t>原料仓库内设置喷雾装置；厂区门口安装车辆自动冲洗装置；厂区道路硬化、未硬化的全部绿化，不允许有裸露土地，定期洒水保湿；物料输送环节需使用密闭皮带输送，原料库必须全密闭且车辆出入口加装自动感应门，无车辆出入时保持关闭状态。除尘器卸灰区密闭，防止除尘灰落在地面，减少无组织排放。</w:t>
                  </w:r>
                </w:p>
              </w:tc>
              <w:tc>
                <w:tcPr>
                  <w:tcW w:w="1477" w:type="dxa"/>
                  <w:vMerge w:val="continue"/>
                  <w:tcBorders>
                    <w:left w:val="single" w:color="auto" w:sz="4" w:space="0"/>
                    <w:bottom w:val="single" w:color="auto" w:sz="4" w:space="0"/>
                    <w:right w:val="nil"/>
                  </w:tcBorders>
                  <w:vAlign w:val="center"/>
                </w:tcPr>
                <w:p>
                  <w:pPr>
                    <w:widowControl/>
                    <w:jc w:val="left"/>
                    <w:rPr>
                      <w:kern w:val="36"/>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 w:type="dxa"/>
                  <w:vMerge w:val="continue"/>
                  <w:tcBorders>
                    <w:left w:val="nil"/>
                    <w:right w:val="single" w:color="auto" w:sz="4" w:space="0"/>
                  </w:tcBorders>
                  <w:vAlign w:val="center"/>
                </w:tcPr>
                <w:p>
                  <w:pPr>
                    <w:widowControl/>
                    <w:jc w:val="left"/>
                    <w:rPr>
                      <w:kern w:val="36"/>
                      <w:sz w:val="21"/>
                      <w:szCs w:val="21"/>
                    </w:rPr>
                  </w:pPr>
                </w:p>
              </w:tc>
              <w:tc>
                <w:tcPr>
                  <w:tcW w:w="1172" w:type="dxa"/>
                  <w:vMerge w:val="continue"/>
                  <w:tcBorders>
                    <w:left w:val="single" w:color="auto" w:sz="4" w:space="0"/>
                    <w:right w:val="single" w:color="auto" w:sz="4" w:space="0"/>
                  </w:tcBorders>
                  <w:vAlign w:val="center"/>
                </w:tcPr>
                <w:p>
                  <w:pPr>
                    <w:widowControl/>
                    <w:jc w:val="left"/>
                    <w:rPr>
                      <w:kern w:val="36"/>
                      <w:sz w:val="21"/>
                      <w:szCs w:val="21"/>
                    </w:rPr>
                  </w:pPr>
                </w:p>
              </w:tc>
              <w:tc>
                <w:tcPr>
                  <w:tcW w:w="1248" w:type="dxa"/>
                  <w:gridSpan w:val="2"/>
                  <w:vMerge w:val="restart"/>
                  <w:tcBorders>
                    <w:top w:val="single" w:color="auto" w:sz="4" w:space="0"/>
                    <w:left w:val="single" w:color="auto" w:sz="4" w:space="0"/>
                    <w:right w:val="single" w:color="auto" w:sz="4" w:space="0"/>
                  </w:tcBorders>
                  <w:vAlign w:val="center"/>
                </w:tcPr>
                <w:p>
                  <w:pPr>
                    <w:adjustRightInd w:val="0"/>
                    <w:snapToGrid w:val="0"/>
                    <w:jc w:val="center"/>
                    <w:rPr>
                      <w:kern w:val="36"/>
                      <w:sz w:val="21"/>
                      <w:szCs w:val="21"/>
                    </w:rPr>
                  </w:pPr>
                  <w:r>
                    <w:rPr>
                      <w:rFonts w:hint="eastAsia"/>
                      <w:kern w:val="36"/>
                      <w:sz w:val="21"/>
                      <w:szCs w:val="21"/>
                    </w:rPr>
                    <w:t>废水</w:t>
                  </w:r>
                </w:p>
              </w:tc>
              <w:tc>
                <w:tcPr>
                  <w:tcW w:w="32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36"/>
                      <w:sz w:val="21"/>
                      <w:szCs w:val="21"/>
                    </w:rPr>
                  </w:pPr>
                  <w:r>
                    <w:rPr>
                      <w:rFonts w:hint="eastAsia"/>
                      <w:kern w:val="36"/>
                      <w:sz w:val="21"/>
                      <w:szCs w:val="21"/>
                    </w:rPr>
                    <w:t>化粪池</w:t>
                  </w:r>
                  <w:r>
                    <w:rPr>
                      <w:kern w:val="36"/>
                      <w:sz w:val="21"/>
                      <w:szCs w:val="21"/>
                    </w:rPr>
                    <w:t>1</w:t>
                  </w:r>
                  <w:r>
                    <w:rPr>
                      <w:rFonts w:hint="eastAsia"/>
                      <w:kern w:val="36"/>
                      <w:sz w:val="21"/>
                      <w:szCs w:val="21"/>
                    </w:rPr>
                    <w:t>座</w:t>
                  </w:r>
                </w:p>
              </w:tc>
              <w:tc>
                <w:tcPr>
                  <w:tcW w:w="1477" w:type="dxa"/>
                  <w:tcBorders>
                    <w:top w:val="single" w:color="auto" w:sz="4" w:space="0"/>
                    <w:left w:val="single" w:color="auto" w:sz="4" w:space="0"/>
                    <w:bottom w:val="single" w:color="auto" w:sz="4" w:space="0"/>
                    <w:right w:val="nil"/>
                  </w:tcBorders>
                  <w:vAlign w:val="center"/>
                </w:tcPr>
                <w:p>
                  <w:pPr>
                    <w:adjustRightInd w:val="0"/>
                    <w:snapToGrid w:val="0"/>
                    <w:jc w:val="center"/>
                    <w:rPr>
                      <w:kern w:val="36"/>
                      <w:sz w:val="21"/>
                      <w:szCs w:val="21"/>
                    </w:rPr>
                  </w:pPr>
                  <w:r>
                    <w:rPr>
                      <w:rFonts w:hint="eastAsia"/>
                      <w:kern w:val="36"/>
                      <w:sz w:val="21"/>
                      <w:szCs w:val="21"/>
                    </w:rPr>
                    <w:t>利用现有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 w:type="dxa"/>
                  <w:vMerge w:val="continue"/>
                  <w:tcBorders>
                    <w:left w:val="nil"/>
                    <w:right w:val="single" w:color="auto" w:sz="4" w:space="0"/>
                  </w:tcBorders>
                  <w:vAlign w:val="center"/>
                </w:tcPr>
                <w:p>
                  <w:pPr>
                    <w:widowControl/>
                    <w:jc w:val="left"/>
                    <w:rPr>
                      <w:kern w:val="36"/>
                      <w:sz w:val="21"/>
                      <w:szCs w:val="21"/>
                    </w:rPr>
                  </w:pPr>
                </w:p>
              </w:tc>
              <w:tc>
                <w:tcPr>
                  <w:tcW w:w="1172" w:type="dxa"/>
                  <w:vMerge w:val="continue"/>
                  <w:tcBorders>
                    <w:left w:val="single" w:color="auto" w:sz="4" w:space="0"/>
                    <w:right w:val="single" w:color="auto" w:sz="4" w:space="0"/>
                  </w:tcBorders>
                  <w:vAlign w:val="center"/>
                </w:tcPr>
                <w:p>
                  <w:pPr>
                    <w:widowControl/>
                    <w:jc w:val="left"/>
                    <w:rPr>
                      <w:kern w:val="36"/>
                      <w:sz w:val="21"/>
                      <w:szCs w:val="21"/>
                    </w:rPr>
                  </w:pPr>
                </w:p>
              </w:tc>
              <w:tc>
                <w:tcPr>
                  <w:tcW w:w="1248" w:type="dxa"/>
                  <w:gridSpan w:val="2"/>
                  <w:vMerge w:val="continue"/>
                  <w:tcBorders>
                    <w:left w:val="single" w:color="auto" w:sz="4" w:space="0"/>
                    <w:bottom w:val="single" w:color="auto" w:sz="4" w:space="0"/>
                    <w:right w:val="single" w:color="auto" w:sz="4" w:space="0"/>
                  </w:tcBorders>
                  <w:vAlign w:val="center"/>
                </w:tcPr>
                <w:p>
                  <w:pPr>
                    <w:widowControl/>
                    <w:jc w:val="left"/>
                    <w:rPr>
                      <w:kern w:val="36"/>
                      <w:sz w:val="21"/>
                      <w:szCs w:val="21"/>
                    </w:rPr>
                  </w:pPr>
                </w:p>
              </w:tc>
              <w:tc>
                <w:tcPr>
                  <w:tcW w:w="3243" w:type="dxa"/>
                  <w:tcBorders>
                    <w:top w:val="single" w:color="auto" w:sz="4" w:space="0"/>
                    <w:left w:val="single" w:color="auto" w:sz="4" w:space="0"/>
                    <w:bottom w:val="single" w:color="auto" w:sz="4" w:space="0"/>
                    <w:right w:val="single" w:color="auto" w:sz="4" w:space="0"/>
                  </w:tcBorders>
                  <w:vAlign w:val="center"/>
                </w:tcPr>
                <w:p>
                  <w:pPr>
                    <w:adjustRightInd w:val="0"/>
                    <w:snapToGrid w:val="0"/>
                    <w:rPr>
                      <w:kern w:val="36"/>
                      <w:sz w:val="21"/>
                      <w:szCs w:val="21"/>
                    </w:rPr>
                  </w:pPr>
                  <w:r>
                    <w:rPr>
                      <w:rFonts w:hint="eastAsia"/>
                      <w:kern w:val="36"/>
                      <w:sz w:val="21"/>
                      <w:szCs w:val="21"/>
                    </w:rPr>
                    <w:t xml:space="preserve">  沉淀池</w:t>
                  </w:r>
                  <w:r>
                    <w:rPr>
                      <w:kern w:val="36"/>
                      <w:sz w:val="21"/>
                      <w:szCs w:val="21"/>
                    </w:rPr>
                    <w:t>1</w:t>
                  </w:r>
                  <w:r>
                    <w:rPr>
                      <w:rFonts w:hint="eastAsia"/>
                      <w:kern w:val="36"/>
                      <w:sz w:val="21"/>
                      <w:szCs w:val="21"/>
                    </w:rPr>
                    <w:t>座，容积不小于5</w:t>
                  </w:r>
                  <w:r>
                    <w:rPr>
                      <w:kern w:val="36"/>
                      <w:sz w:val="21"/>
                      <w:szCs w:val="21"/>
                    </w:rPr>
                    <w:t>m</w:t>
                  </w:r>
                  <w:r>
                    <w:rPr>
                      <w:rFonts w:hint="eastAsia"/>
                      <w:kern w:val="36"/>
                      <w:sz w:val="21"/>
                      <w:szCs w:val="21"/>
                      <w:vertAlign w:val="superscript"/>
                    </w:rPr>
                    <w:t>3</w:t>
                  </w:r>
                  <w:r>
                    <w:rPr>
                      <w:rFonts w:hint="eastAsia"/>
                      <w:kern w:val="36"/>
                      <w:sz w:val="21"/>
                      <w:szCs w:val="21"/>
                    </w:rPr>
                    <w:t>。</w:t>
                  </w:r>
                </w:p>
              </w:tc>
              <w:tc>
                <w:tcPr>
                  <w:tcW w:w="1477" w:type="dxa"/>
                  <w:tcBorders>
                    <w:top w:val="single" w:color="auto" w:sz="4" w:space="0"/>
                    <w:left w:val="single" w:color="auto" w:sz="4" w:space="0"/>
                    <w:bottom w:val="single" w:color="auto" w:sz="4" w:space="0"/>
                    <w:right w:val="nil"/>
                  </w:tcBorders>
                  <w:vAlign w:val="center"/>
                </w:tcPr>
                <w:p>
                  <w:pPr>
                    <w:widowControl/>
                    <w:jc w:val="left"/>
                    <w:rPr>
                      <w:kern w:val="36"/>
                      <w:sz w:val="21"/>
                      <w:szCs w:val="21"/>
                    </w:rPr>
                  </w:pPr>
                  <w:r>
                    <w:rPr>
                      <w:rFonts w:hint="eastAsia"/>
                      <w:kern w:val="36"/>
                      <w:sz w:val="21"/>
                      <w:szCs w:val="21"/>
                    </w:rPr>
                    <w:t xml:space="preserve">    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 w:type="dxa"/>
                  <w:vMerge w:val="continue"/>
                  <w:tcBorders>
                    <w:left w:val="nil"/>
                    <w:right w:val="single" w:color="auto" w:sz="4" w:space="0"/>
                  </w:tcBorders>
                  <w:vAlign w:val="center"/>
                </w:tcPr>
                <w:p>
                  <w:pPr>
                    <w:widowControl/>
                    <w:jc w:val="left"/>
                    <w:rPr>
                      <w:kern w:val="36"/>
                      <w:sz w:val="21"/>
                      <w:szCs w:val="21"/>
                    </w:rPr>
                  </w:pPr>
                </w:p>
              </w:tc>
              <w:tc>
                <w:tcPr>
                  <w:tcW w:w="1172" w:type="dxa"/>
                  <w:vMerge w:val="continue"/>
                  <w:tcBorders>
                    <w:left w:val="single" w:color="auto" w:sz="4" w:space="0"/>
                    <w:right w:val="single" w:color="auto" w:sz="4" w:space="0"/>
                  </w:tcBorders>
                  <w:vAlign w:val="center"/>
                </w:tcPr>
                <w:p>
                  <w:pPr>
                    <w:widowControl/>
                    <w:jc w:val="left"/>
                    <w:rPr>
                      <w:kern w:val="36"/>
                      <w:sz w:val="21"/>
                      <w:szCs w:val="21"/>
                    </w:rPr>
                  </w:pPr>
                </w:p>
              </w:tc>
              <w:tc>
                <w:tcPr>
                  <w:tcW w:w="124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36"/>
                      <w:sz w:val="21"/>
                      <w:szCs w:val="21"/>
                    </w:rPr>
                  </w:pPr>
                  <w:r>
                    <w:rPr>
                      <w:rFonts w:hint="eastAsia"/>
                      <w:kern w:val="36"/>
                      <w:sz w:val="21"/>
                      <w:szCs w:val="21"/>
                    </w:rPr>
                    <w:t>固废</w:t>
                  </w:r>
                </w:p>
              </w:tc>
              <w:tc>
                <w:tcPr>
                  <w:tcW w:w="32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36"/>
                      <w:sz w:val="21"/>
                      <w:szCs w:val="21"/>
                    </w:rPr>
                  </w:pPr>
                  <w:r>
                    <w:rPr>
                      <w:rFonts w:hint="eastAsia"/>
                      <w:kern w:val="36"/>
                      <w:sz w:val="21"/>
                      <w:szCs w:val="21"/>
                    </w:rPr>
                    <w:t>一般固废暂存间</w:t>
                  </w:r>
                  <w:r>
                    <w:rPr>
                      <w:kern w:val="36"/>
                      <w:sz w:val="21"/>
                      <w:szCs w:val="21"/>
                    </w:rPr>
                    <w:t>1</w:t>
                  </w:r>
                  <w:r>
                    <w:rPr>
                      <w:rFonts w:hint="eastAsia"/>
                      <w:kern w:val="36"/>
                      <w:sz w:val="21"/>
                      <w:szCs w:val="21"/>
                    </w:rPr>
                    <w:t>座，面积不小于</w:t>
                  </w:r>
                  <w:r>
                    <w:rPr>
                      <w:rFonts w:hint="eastAsia"/>
                      <w:kern w:val="36"/>
                      <w:sz w:val="21"/>
                      <w:szCs w:val="21"/>
                      <w:lang w:val="en-US" w:eastAsia="zh-CN"/>
                    </w:rPr>
                    <w:t>20</w:t>
                  </w:r>
                  <w:r>
                    <w:rPr>
                      <w:kern w:val="36"/>
                      <w:sz w:val="21"/>
                      <w:szCs w:val="21"/>
                    </w:rPr>
                    <w:t>m</w:t>
                  </w:r>
                  <w:r>
                    <w:rPr>
                      <w:kern w:val="36"/>
                      <w:sz w:val="21"/>
                      <w:szCs w:val="21"/>
                      <w:vertAlign w:val="superscript"/>
                    </w:rPr>
                    <w:t>2</w:t>
                  </w:r>
                  <w:r>
                    <w:rPr>
                      <w:rFonts w:hint="eastAsia"/>
                      <w:kern w:val="36"/>
                      <w:sz w:val="21"/>
                      <w:szCs w:val="21"/>
                    </w:rPr>
                    <w:t>。</w:t>
                  </w:r>
                </w:p>
              </w:tc>
              <w:tc>
                <w:tcPr>
                  <w:tcW w:w="1477" w:type="dxa"/>
                  <w:tcBorders>
                    <w:top w:val="single" w:color="auto" w:sz="4" w:space="0"/>
                    <w:left w:val="single" w:color="auto" w:sz="4" w:space="0"/>
                    <w:bottom w:val="single" w:color="auto" w:sz="4" w:space="0"/>
                    <w:right w:val="nil"/>
                  </w:tcBorders>
                  <w:vAlign w:val="center"/>
                </w:tcPr>
                <w:p>
                  <w:pPr>
                    <w:adjustRightInd w:val="0"/>
                    <w:snapToGrid w:val="0"/>
                    <w:jc w:val="center"/>
                    <w:rPr>
                      <w:kern w:val="36"/>
                      <w:sz w:val="21"/>
                      <w:szCs w:val="21"/>
                    </w:rPr>
                  </w:pPr>
                  <w:r>
                    <w:rPr>
                      <w:rFonts w:hint="eastAsia"/>
                      <w:kern w:val="36"/>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4" w:type="dxa"/>
                  <w:vMerge w:val="continue"/>
                  <w:tcBorders>
                    <w:left w:val="nil"/>
                    <w:bottom w:val="single" w:color="auto" w:sz="8" w:space="0"/>
                    <w:right w:val="single" w:color="auto" w:sz="4" w:space="0"/>
                  </w:tcBorders>
                  <w:vAlign w:val="center"/>
                </w:tcPr>
                <w:p>
                  <w:pPr>
                    <w:widowControl/>
                    <w:jc w:val="left"/>
                    <w:rPr>
                      <w:kern w:val="36"/>
                      <w:sz w:val="21"/>
                      <w:szCs w:val="21"/>
                    </w:rPr>
                  </w:pPr>
                </w:p>
              </w:tc>
              <w:tc>
                <w:tcPr>
                  <w:tcW w:w="1172" w:type="dxa"/>
                  <w:vMerge w:val="continue"/>
                  <w:tcBorders>
                    <w:left w:val="single" w:color="auto" w:sz="4" w:space="0"/>
                    <w:bottom w:val="single" w:color="auto" w:sz="8" w:space="0"/>
                    <w:right w:val="single" w:color="auto" w:sz="4" w:space="0"/>
                  </w:tcBorders>
                  <w:vAlign w:val="center"/>
                </w:tcPr>
                <w:p>
                  <w:pPr>
                    <w:widowControl/>
                    <w:jc w:val="left"/>
                    <w:rPr>
                      <w:kern w:val="36"/>
                      <w:sz w:val="21"/>
                      <w:szCs w:val="21"/>
                    </w:rPr>
                  </w:pPr>
                </w:p>
              </w:tc>
              <w:tc>
                <w:tcPr>
                  <w:tcW w:w="1248" w:type="dxa"/>
                  <w:gridSpan w:val="2"/>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kern w:val="36"/>
                      <w:sz w:val="21"/>
                      <w:szCs w:val="21"/>
                    </w:rPr>
                  </w:pPr>
                  <w:r>
                    <w:rPr>
                      <w:rFonts w:hint="eastAsia"/>
                      <w:kern w:val="36"/>
                      <w:sz w:val="21"/>
                      <w:szCs w:val="21"/>
                    </w:rPr>
                    <w:t>噪声</w:t>
                  </w:r>
                </w:p>
              </w:tc>
              <w:tc>
                <w:tcPr>
                  <w:tcW w:w="3243"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kern w:val="36"/>
                      <w:sz w:val="21"/>
                      <w:szCs w:val="21"/>
                    </w:rPr>
                  </w:pPr>
                  <w:r>
                    <w:rPr>
                      <w:rFonts w:hint="eastAsia"/>
                      <w:kern w:val="36"/>
                      <w:sz w:val="21"/>
                      <w:szCs w:val="21"/>
                    </w:rPr>
                    <w:t>密闭隔音、距离衰减</w:t>
                  </w:r>
                </w:p>
              </w:tc>
              <w:tc>
                <w:tcPr>
                  <w:tcW w:w="1477" w:type="dxa"/>
                  <w:tcBorders>
                    <w:top w:val="single" w:color="auto" w:sz="4" w:space="0"/>
                    <w:left w:val="single" w:color="auto" w:sz="4" w:space="0"/>
                    <w:bottom w:val="single" w:color="auto" w:sz="8" w:space="0"/>
                    <w:right w:val="nil"/>
                  </w:tcBorders>
                  <w:vAlign w:val="center"/>
                </w:tcPr>
                <w:p>
                  <w:pPr>
                    <w:adjustRightInd w:val="0"/>
                    <w:snapToGrid w:val="0"/>
                    <w:jc w:val="center"/>
                    <w:rPr>
                      <w:kern w:val="36"/>
                      <w:sz w:val="21"/>
                      <w:szCs w:val="21"/>
                    </w:rPr>
                  </w:pPr>
                  <w:r>
                    <w:rPr>
                      <w:rFonts w:hint="eastAsia"/>
                      <w:kern w:val="36"/>
                      <w:sz w:val="21"/>
                      <w:szCs w:val="21"/>
                    </w:rPr>
                    <w:t>新建</w:t>
                  </w:r>
                </w:p>
              </w:tc>
            </w:tr>
          </w:tbl>
          <w:p>
            <w:pPr>
              <w:spacing w:line="480" w:lineRule="exact"/>
              <w:ind w:firstLine="482" w:firstLineChars="200"/>
              <w:rPr>
                <w:b/>
                <w:sz w:val="24"/>
                <w:szCs w:val="24"/>
                <w:lang w:val="pt-BR"/>
              </w:rPr>
            </w:pPr>
            <w:r>
              <w:rPr>
                <w:rFonts w:hint="eastAsia"/>
                <w:b/>
                <w:sz w:val="24"/>
                <w:szCs w:val="24"/>
              </w:rPr>
              <w:t>3、原辅材料</w:t>
            </w:r>
          </w:p>
          <w:p>
            <w:pPr>
              <w:spacing w:line="440" w:lineRule="exact"/>
              <w:ind w:firstLine="480" w:firstLineChars="200"/>
              <w:jc w:val="left"/>
              <w:rPr>
                <w:sz w:val="24"/>
                <w:lang w:val="pt-BR"/>
              </w:rPr>
            </w:pPr>
            <w:r>
              <w:rPr>
                <w:rFonts w:hint="eastAsia"/>
                <w:sz w:val="24"/>
                <w:lang w:val="pt-BR"/>
              </w:rPr>
              <w:t>本项目生产所用的主要原辅材料见</w:t>
            </w:r>
            <w:r>
              <w:rPr>
                <w:rFonts w:hint="eastAsia"/>
                <w:sz w:val="24"/>
              </w:rPr>
              <w:t>下表</w:t>
            </w:r>
            <w:r>
              <w:rPr>
                <w:rFonts w:hint="eastAsia"/>
                <w:sz w:val="24"/>
                <w:lang w:val="pt-BR"/>
              </w:rPr>
              <w:t>：</w:t>
            </w:r>
          </w:p>
          <w:p>
            <w:pPr>
              <w:spacing w:line="440" w:lineRule="exact"/>
              <w:ind w:firstLine="480" w:firstLineChars="200"/>
              <w:jc w:val="left"/>
              <w:rPr>
                <w:color w:val="333333"/>
                <w:sz w:val="24"/>
                <w:szCs w:val="20"/>
                <w:lang w:val="pt-BR"/>
              </w:rPr>
            </w:pPr>
            <w:r>
              <w:rPr>
                <w:rFonts w:hint="eastAsia" w:eastAsia="黑体"/>
                <w:sz w:val="24"/>
                <w:szCs w:val="24"/>
                <w:lang w:val="pt-BR"/>
              </w:rPr>
              <w:t>表</w:t>
            </w:r>
            <w:r>
              <w:rPr>
                <w:rFonts w:hint="eastAsia" w:eastAsia="黑体"/>
                <w:sz w:val="24"/>
                <w:szCs w:val="24"/>
                <w:lang w:val="en-US" w:eastAsia="zh-CN"/>
              </w:rPr>
              <w:t>2-3</w:t>
            </w:r>
            <w:r>
              <w:rPr>
                <w:rFonts w:hint="eastAsia" w:eastAsia="黑体"/>
                <w:sz w:val="24"/>
                <w:szCs w:val="24"/>
                <w:lang w:val="pt-BR"/>
              </w:rPr>
              <w:t xml:space="preserve">              主要原辅材料一览表</w:t>
            </w:r>
          </w:p>
          <w:tbl>
            <w:tblPr>
              <w:tblStyle w:val="24"/>
              <w:tblW w:w="49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68"/>
              <w:gridCol w:w="1394"/>
              <w:gridCol w:w="1949"/>
              <w:gridCol w:w="2024"/>
              <w:gridCol w:w="1685"/>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9" w:type="dxa"/>
                  <w:tcBorders>
                    <w:top w:val="single" w:color="000000" w:sz="8" w:space="0"/>
                    <w:left w:val="nil"/>
                    <w:bottom w:val="single" w:color="auto" w:sz="8" w:space="0"/>
                    <w:right w:val="single" w:color="000000" w:sz="4" w:space="0"/>
                  </w:tcBorders>
                  <w:vAlign w:val="center"/>
                </w:tcPr>
                <w:p>
                  <w:pPr>
                    <w:jc w:val="center"/>
                    <w:rPr>
                      <w:b/>
                      <w:kern w:val="36"/>
                      <w:sz w:val="21"/>
                      <w:szCs w:val="21"/>
                    </w:rPr>
                  </w:pPr>
                  <w:r>
                    <w:rPr>
                      <w:rFonts w:hint="eastAsia"/>
                      <w:b/>
                      <w:kern w:val="36"/>
                      <w:sz w:val="21"/>
                      <w:szCs w:val="21"/>
                    </w:rPr>
                    <w:t>序号</w:t>
                  </w:r>
                </w:p>
              </w:tc>
              <w:tc>
                <w:tcPr>
                  <w:tcW w:w="1419" w:type="dxa"/>
                  <w:tcBorders>
                    <w:top w:val="single" w:color="000000" w:sz="8" w:space="0"/>
                    <w:left w:val="single" w:color="000000" w:sz="4" w:space="0"/>
                    <w:bottom w:val="single" w:color="auto" w:sz="8" w:space="0"/>
                    <w:right w:val="single" w:color="auto" w:sz="4" w:space="0"/>
                  </w:tcBorders>
                  <w:vAlign w:val="center"/>
                </w:tcPr>
                <w:p>
                  <w:pPr>
                    <w:jc w:val="center"/>
                    <w:rPr>
                      <w:b/>
                      <w:kern w:val="36"/>
                      <w:sz w:val="21"/>
                      <w:szCs w:val="21"/>
                    </w:rPr>
                  </w:pPr>
                  <w:r>
                    <w:rPr>
                      <w:rFonts w:hint="eastAsia"/>
                      <w:b/>
                      <w:kern w:val="36"/>
                      <w:sz w:val="21"/>
                      <w:szCs w:val="21"/>
                    </w:rPr>
                    <w:t>名称</w:t>
                  </w:r>
                </w:p>
              </w:tc>
              <w:tc>
                <w:tcPr>
                  <w:tcW w:w="1984" w:type="dxa"/>
                  <w:tcBorders>
                    <w:top w:val="single" w:color="000000" w:sz="8" w:space="0"/>
                    <w:left w:val="single" w:color="auto" w:sz="4" w:space="0"/>
                    <w:bottom w:val="single" w:color="auto" w:sz="8" w:space="0"/>
                    <w:right w:val="single" w:color="000000" w:sz="4" w:space="0"/>
                  </w:tcBorders>
                  <w:vAlign w:val="center"/>
                </w:tcPr>
                <w:p>
                  <w:pPr>
                    <w:jc w:val="center"/>
                    <w:rPr>
                      <w:b/>
                      <w:kern w:val="36"/>
                      <w:sz w:val="21"/>
                      <w:szCs w:val="21"/>
                    </w:rPr>
                  </w:pPr>
                  <w:r>
                    <w:rPr>
                      <w:rFonts w:hint="eastAsia"/>
                      <w:b/>
                      <w:kern w:val="36"/>
                      <w:sz w:val="21"/>
                      <w:szCs w:val="21"/>
                    </w:rPr>
                    <w:t>材料名称</w:t>
                  </w:r>
                </w:p>
              </w:tc>
              <w:tc>
                <w:tcPr>
                  <w:tcW w:w="2060" w:type="dxa"/>
                  <w:tcBorders>
                    <w:top w:val="single" w:color="000000" w:sz="8" w:space="0"/>
                    <w:left w:val="single" w:color="000000" w:sz="4" w:space="0"/>
                    <w:bottom w:val="single" w:color="auto" w:sz="8" w:space="0"/>
                    <w:right w:val="single" w:color="000000" w:sz="4" w:space="0"/>
                  </w:tcBorders>
                  <w:vAlign w:val="center"/>
                </w:tcPr>
                <w:p>
                  <w:pPr>
                    <w:jc w:val="center"/>
                    <w:rPr>
                      <w:b/>
                      <w:kern w:val="36"/>
                      <w:sz w:val="21"/>
                      <w:szCs w:val="21"/>
                    </w:rPr>
                  </w:pPr>
                  <w:r>
                    <w:rPr>
                      <w:rFonts w:hint="eastAsia"/>
                      <w:b/>
                      <w:kern w:val="36"/>
                      <w:sz w:val="21"/>
                      <w:szCs w:val="21"/>
                    </w:rPr>
                    <w:t>年使用量（</w:t>
                  </w:r>
                  <w:r>
                    <w:rPr>
                      <w:b/>
                      <w:kern w:val="36"/>
                      <w:sz w:val="21"/>
                      <w:szCs w:val="21"/>
                    </w:rPr>
                    <w:t>t</w:t>
                  </w:r>
                  <w:r>
                    <w:rPr>
                      <w:rFonts w:hint="eastAsia"/>
                      <w:b/>
                      <w:kern w:val="36"/>
                      <w:sz w:val="21"/>
                      <w:szCs w:val="21"/>
                    </w:rPr>
                    <w:t>）</w:t>
                  </w:r>
                </w:p>
              </w:tc>
              <w:tc>
                <w:tcPr>
                  <w:tcW w:w="1715" w:type="dxa"/>
                  <w:tcBorders>
                    <w:top w:val="single" w:color="000000" w:sz="8" w:space="0"/>
                    <w:left w:val="single" w:color="000000" w:sz="4" w:space="0"/>
                    <w:bottom w:val="single" w:color="auto" w:sz="8" w:space="0"/>
                    <w:right w:val="nil"/>
                  </w:tcBorders>
                  <w:vAlign w:val="center"/>
                </w:tcPr>
                <w:p>
                  <w:pPr>
                    <w:jc w:val="center"/>
                    <w:rPr>
                      <w:b/>
                      <w:kern w:val="36"/>
                      <w:sz w:val="21"/>
                      <w:szCs w:val="21"/>
                    </w:rPr>
                  </w:pPr>
                  <w:r>
                    <w:rPr>
                      <w:rFonts w:hint="eastAsia"/>
                      <w:b/>
                      <w:kern w:val="36"/>
                      <w:sz w:val="21"/>
                      <w:szCs w:val="21"/>
                    </w:rPr>
                    <w:t>备注</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9" w:type="dxa"/>
                  <w:tcBorders>
                    <w:top w:val="single" w:color="auto" w:sz="8" w:space="0"/>
                    <w:left w:val="nil"/>
                    <w:bottom w:val="single" w:color="000000" w:sz="4" w:space="0"/>
                    <w:right w:val="single" w:color="000000" w:sz="4" w:space="0"/>
                  </w:tcBorders>
                  <w:vAlign w:val="center"/>
                </w:tcPr>
                <w:p>
                  <w:pPr>
                    <w:jc w:val="center"/>
                    <w:rPr>
                      <w:kern w:val="36"/>
                      <w:sz w:val="21"/>
                      <w:szCs w:val="21"/>
                    </w:rPr>
                  </w:pPr>
                  <w:r>
                    <w:rPr>
                      <w:kern w:val="36"/>
                      <w:sz w:val="21"/>
                      <w:szCs w:val="21"/>
                    </w:rPr>
                    <w:t>1</w:t>
                  </w:r>
                </w:p>
              </w:tc>
              <w:tc>
                <w:tcPr>
                  <w:tcW w:w="1419" w:type="dxa"/>
                  <w:vMerge w:val="restart"/>
                  <w:tcBorders>
                    <w:top w:val="single" w:color="auto" w:sz="8" w:space="0"/>
                    <w:left w:val="single" w:color="000000" w:sz="4" w:space="0"/>
                    <w:right w:val="single" w:color="auto" w:sz="4" w:space="0"/>
                  </w:tcBorders>
                  <w:vAlign w:val="center"/>
                </w:tcPr>
                <w:p>
                  <w:pPr>
                    <w:tabs>
                      <w:tab w:val="left" w:pos="6840"/>
                    </w:tabs>
                    <w:jc w:val="center"/>
                    <w:outlineLvl w:val="0"/>
                    <w:rPr>
                      <w:sz w:val="21"/>
                      <w:szCs w:val="21"/>
                    </w:rPr>
                  </w:pPr>
                  <w:r>
                    <w:rPr>
                      <w:rFonts w:hint="eastAsia"/>
                      <w:sz w:val="21"/>
                      <w:szCs w:val="21"/>
                    </w:rPr>
                    <w:t>原料</w:t>
                  </w:r>
                </w:p>
              </w:tc>
              <w:tc>
                <w:tcPr>
                  <w:tcW w:w="1984" w:type="dxa"/>
                  <w:tcBorders>
                    <w:top w:val="single" w:color="auto" w:sz="8" w:space="0"/>
                    <w:left w:val="single" w:color="auto" w:sz="4" w:space="0"/>
                    <w:bottom w:val="single" w:color="000000" w:sz="4" w:space="0"/>
                    <w:right w:val="single" w:color="000000" w:sz="4" w:space="0"/>
                  </w:tcBorders>
                  <w:vAlign w:val="center"/>
                </w:tcPr>
                <w:p>
                  <w:pPr>
                    <w:tabs>
                      <w:tab w:val="left" w:pos="6840"/>
                    </w:tabs>
                    <w:jc w:val="center"/>
                    <w:outlineLvl w:val="0"/>
                    <w:rPr>
                      <w:sz w:val="21"/>
                      <w:szCs w:val="21"/>
                    </w:rPr>
                  </w:pPr>
                  <w:r>
                    <w:rPr>
                      <w:rFonts w:hint="eastAsia"/>
                      <w:sz w:val="21"/>
                      <w:szCs w:val="21"/>
                    </w:rPr>
                    <w:t>石子</w:t>
                  </w:r>
                </w:p>
              </w:tc>
              <w:tc>
                <w:tcPr>
                  <w:tcW w:w="2060" w:type="dxa"/>
                  <w:tcBorders>
                    <w:top w:val="single" w:color="auto" w:sz="8" w:space="0"/>
                    <w:left w:val="single" w:color="000000" w:sz="4" w:space="0"/>
                    <w:bottom w:val="single" w:color="000000" w:sz="4" w:space="0"/>
                    <w:right w:val="single" w:color="000000" w:sz="4" w:space="0"/>
                  </w:tcBorders>
                  <w:vAlign w:val="center"/>
                </w:tcPr>
                <w:p>
                  <w:pPr>
                    <w:tabs>
                      <w:tab w:val="left" w:pos="6840"/>
                    </w:tabs>
                    <w:jc w:val="center"/>
                    <w:outlineLvl w:val="0"/>
                    <w:rPr>
                      <w:sz w:val="21"/>
                      <w:szCs w:val="21"/>
                    </w:rPr>
                  </w:pPr>
                  <w:r>
                    <w:rPr>
                      <w:rFonts w:hint="eastAsia"/>
                      <w:sz w:val="21"/>
                      <w:szCs w:val="21"/>
                    </w:rPr>
                    <w:t>60万</w:t>
                  </w:r>
                </w:p>
              </w:tc>
              <w:tc>
                <w:tcPr>
                  <w:tcW w:w="1715" w:type="dxa"/>
                  <w:tcBorders>
                    <w:top w:val="single" w:color="auto" w:sz="8" w:space="0"/>
                    <w:left w:val="single" w:color="000000" w:sz="4" w:space="0"/>
                    <w:bottom w:val="single" w:color="000000" w:sz="4" w:space="0"/>
                    <w:right w:val="nil"/>
                  </w:tcBorders>
                  <w:vAlign w:val="center"/>
                </w:tcPr>
                <w:p>
                  <w:pPr>
                    <w:tabs>
                      <w:tab w:val="left" w:pos="6840"/>
                    </w:tabs>
                    <w:jc w:val="center"/>
                    <w:outlineLvl w:val="0"/>
                    <w:rPr>
                      <w:sz w:val="21"/>
                      <w:szCs w:val="21"/>
                    </w:rPr>
                  </w:pPr>
                  <w:r>
                    <w:rPr>
                      <w:rFonts w:hint="eastAsia"/>
                      <w:sz w:val="21"/>
                      <w:szCs w:val="21"/>
                    </w:rPr>
                    <w:t>原料库储存</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9" w:type="dxa"/>
                  <w:tcBorders>
                    <w:top w:val="single" w:color="auto" w:sz="4" w:space="0"/>
                    <w:left w:val="nil"/>
                    <w:bottom w:val="single" w:color="000000" w:sz="4" w:space="0"/>
                    <w:right w:val="single" w:color="000000" w:sz="4" w:space="0"/>
                  </w:tcBorders>
                  <w:vAlign w:val="center"/>
                </w:tcPr>
                <w:p>
                  <w:pPr>
                    <w:jc w:val="center"/>
                    <w:rPr>
                      <w:kern w:val="36"/>
                      <w:sz w:val="21"/>
                      <w:szCs w:val="21"/>
                    </w:rPr>
                  </w:pPr>
                  <w:r>
                    <w:rPr>
                      <w:kern w:val="36"/>
                      <w:sz w:val="21"/>
                      <w:szCs w:val="21"/>
                    </w:rPr>
                    <w:t>2</w:t>
                  </w:r>
                </w:p>
              </w:tc>
              <w:tc>
                <w:tcPr>
                  <w:tcW w:w="1419" w:type="dxa"/>
                  <w:vMerge w:val="continue"/>
                  <w:tcBorders>
                    <w:left w:val="single" w:color="000000" w:sz="4" w:space="0"/>
                    <w:right w:val="single" w:color="auto" w:sz="4" w:space="0"/>
                  </w:tcBorders>
                  <w:vAlign w:val="center"/>
                </w:tcPr>
                <w:p>
                  <w:pPr>
                    <w:widowControl/>
                    <w:jc w:val="left"/>
                    <w:rPr>
                      <w:sz w:val="21"/>
                      <w:szCs w:val="21"/>
                    </w:rPr>
                  </w:pPr>
                </w:p>
              </w:tc>
              <w:tc>
                <w:tcPr>
                  <w:tcW w:w="1984" w:type="dxa"/>
                  <w:tcBorders>
                    <w:top w:val="single" w:color="000000" w:sz="4" w:space="0"/>
                    <w:left w:val="single" w:color="auto" w:sz="4" w:space="0"/>
                    <w:bottom w:val="single" w:color="000000" w:sz="4" w:space="0"/>
                    <w:right w:val="single" w:color="000000" w:sz="4" w:space="0"/>
                  </w:tcBorders>
                  <w:vAlign w:val="center"/>
                </w:tcPr>
                <w:p>
                  <w:pPr>
                    <w:tabs>
                      <w:tab w:val="left" w:pos="6840"/>
                    </w:tabs>
                    <w:jc w:val="center"/>
                    <w:outlineLvl w:val="0"/>
                    <w:rPr>
                      <w:sz w:val="21"/>
                      <w:szCs w:val="21"/>
                    </w:rPr>
                  </w:pPr>
                  <w:r>
                    <w:rPr>
                      <w:rFonts w:hint="eastAsia"/>
                      <w:sz w:val="21"/>
                      <w:szCs w:val="21"/>
                    </w:rPr>
                    <w:t>砂子</w:t>
                  </w:r>
                </w:p>
              </w:tc>
              <w:tc>
                <w:tcPr>
                  <w:tcW w:w="2060" w:type="dxa"/>
                  <w:tcBorders>
                    <w:top w:val="single" w:color="000000" w:sz="4" w:space="0"/>
                    <w:left w:val="single" w:color="000000" w:sz="4" w:space="0"/>
                    <w:bottom w:val="single" w:color="000000" w:sz="4" w:space="0"/>
                    <w:right w:val="single" w:color="000000" w:sz="4" w:space="0"/>
                  </w:tcBorders>
                  <w:vAlign w:val="center"/>
                </w:tcPr>
                <w:p>
                  <w:pPr>
                    <w:tabs>
                      <w:tab w:val="left" w:pos="6840"/>
                    </w:tabs>
                    <w:jc w:val="center"/>
                    <w:outlineLvl w:val="0"/>
                    <w:rPr>
                      <w:b/>
                      <w:sz w:val="21"/>
                      <w:szCs w:val="21"/>
                    </w:rPr>
                  </w:pPr>
                  <w:r>
                    <w:rPr>
                      <w:rFonts w:hint="eastAsia"/>
                      <w:sz w:val="21"/>
                      <w:szCs w:val="21"/>
                    </w:rPr>
                    <w:t>55万</w:t>
                  </w:r>
                </w:p>
              </w:tc>
              <w:tc>
                <w:tcPr>
                  <w:tcW w:w="1715" w:type="dxa"/>
                  <w:tcBorders>
                    <w:top w:val="single" w:color="000000" w:sz="4" w:space="0"/>
                    <w:left w:val="single" w:color="000000" w:sz="4" w:space="0"/>
                    <w:bottom w:val="single" w:color="000000" w:sz="4" w:space="0"/>
                    <w:right w:val="nil"/>
                  </w:tcBorders>
                  <w:vAlign w:val="center"/>
                </w:tcPr>
                <w:p>
                  <w:pPr>
                    <w:tabs>
                      <w:tab w:val="left" w:pos="6840"/>
                    </w:tabs>
                    <w:jc w:val="center"/>
                    <w:outlineLvl w:val="0"/>
                    <w:rPr>
                      <w:sz w:val="21"/>
                      <w:szCs w:val="21"/>
                    </w:rPr>
                  </w:pPr>
                  <w:r>
                    <w:rPr>
                      <w:rFonts w:hint="eastAsia"/>
                      <w:sz w:val="21"/>
                      <w:szCs w:val="21"/>
                    </w:rPr>
                    <w:t>原料库储存</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9" w:type="dxa"/>
                  <w:tcBorders>
                    <w:top w:val="single" w:color="auto" w:sz="4" w:space="0"/>
                    <w:left w:val="nil"/>
                    <w:bottom w:val="single" w:color="auto" w:sz="4" w:space="0"/>
                    <w:right w:val="single" w:color="000000" w:sz="4" w:space="0"/>
                  </w:tcBorders>
                  <w:vAlign w:val="center"/>
                </w:tcPr>
                <w:p>
                  <w:pPr>
                    <w:jc w:val="center"/>
                    <w:rPr>
                      <w:kern w:val="36"/>
                      <w:sz w:val="21"/>
                      <w:szCs w:val="21"/>
                    </w:rPr>
                  </w:pPr>
                  <w:r>
                    <w:rPr>
                      <w:kern w:val="36"/>
                      <w:sz w:val="21"/>
                      <w:szCs w:val="21"/>
                    </w:rPr>
                    <w:t>3</w:t>
                  </w:r>
                </w:p>
              </w:tc>
              <w:tc>
                <w:tcPr>
                  <w:tcW w:w="1419" w:type="dxa"/>
                  <w:vMerge w:val="continue"/>
                  <w:tcBorders>
                    <w:left w:val="single" w:color="000000" w:sz="4" w:space="0"/>
                    <w:right w:val="single" w:color="auto" w:sz="4" w:space="0"/>
                  </w:tcBorders>
                  <w:vAlign w:val="center"/>
                </w:tcPr>
                <w:p>
                  <w:pPr>
                    <w:widowControl/>
                    <w:jc w:val="left"/>
                    <w:rPr>
                      <w:sz w:val="21"/>
                      <w:szCs w:val="21"/>
                    </w:rPr>
                  </w:pPr>
                </w:p>
              </w:tc>
              <w:tc>
                <w:tcPr>
                  <w:tcW w:w="1984" w:type="dxa"/>
                  <w:tcBorders>
                    <w:top w:val="single" w:color="000000" w:sz="4" w:space="0"/>
                    <w:left w:val="single" w:color="auto" w:sz="4" w:space="0"/>
                    <w:bottom w:val="single" w:color="000000" w:sz="4" w:space="0"/>
                    <w:right w:val="single" w:color="000000" w:sz="4" w:space="0"/>
                  </w:tcBorders>
                  <w:vAlign w:val="center"/>
                </w:tcPr>
                <w:p>
                  <w:pPr>
                    <w:tabs>
                      <w:tab w:val="left" w:pos="6840"/>
                    </w:tabs>
                    <w:jc w:val="center"/>
                    <w:outlineLvl w:val="0"/>
                    <w:rPr>
                      <w:sz w:val="21"/>
                      <w:szCs w:val="21"/>
                    </w:rPr>
                  </w:pPr>
                  <w:r>
                    <w:rPr>
                      <w:rFonts w:hint="eastAsia"/>
                      <w:sz w:val="21"/>
                      <w:szCs w:val="21"/>
                    </w:rPr>
                    <w:t>水泥</w:t>
                  </w:r>
                </w:p>
              </w:tc>
              <w:tc>
                <w:tcPr>
                  <w:tcW w:w="2060" w:type="dxa"/>
                  <w:tcBorders>
                    <w:top w:val="single" w:color="000000" w:sz="4" w:space="0"/>
                    <w:left w:val="single" w:color="000000" w:sz="4" w:space="0"/>
                    <w:bottom w:val="single" w:color="000000" w:sz="4" w:space="0"/>
                    <w:right w:val="single" w:color="000000" w:sz="4" w:space="0"/>
                  </w:tcBorders>
                  <w:vAlign w:val="center"/>
                </w:tcPr>
                <w:p>
                  <w:pPr>
                    <w:tabs>
                      <w:tab w:val="left" w:pos="6840"/>
                    </w:tabs>
                    <w:jc w:val="center"/>
                    <w:outlineLvl w:val="0"/>
                    <w:rPr>
                      <w:sz w:val="21"/>
                      <w:szCs w:val="21"/>
                    </w:rPr>
                  </w:pPr>
                  <w:r>
                    <w:rPr>
                      <w:rFonts w:hint="eastAsia"/>
                      <w:sz w:val="21"/>
                      <w:szCs w:val="21"/>
                    </w:rPr>
                    <w:t>18万</w:t>
                  </w:r>
                </w:p>
              </w:tc>
              <w:tc>
                <w:tcPr>
                  <w:tcW w:w="1715" w:type="dxa"/>
                  <w:tcBorders>
                    <w:top w:val="single" w:color="000000" w:sz="4" w:space="0"/>
                    <w:left w:val="single" w:color="000000" w:sz="4" w:space="0"/>
                    <w:bottom w:val="single" w:color="000000" w:sz="4" w:space="0"/>
                    <w:right w:val="nil"/>
                  </w:tcBorders>
                  <w:vAlign w:val="center"/>
                </w:tcPr>
                <w:p>
                  <w:pPr>
                    <w:tabs>
                      <w:tab w:val="left" w:pos="6840"/>
                    </w:tabs>
                    <w:jc w:val="center"/>
                    <w:outlineLvl w:val="0"/>
                    <w:rPr>
                      <w:sz w:val="21"/>
                      <w:szCs w:val="21"/>
                    </w:rPr>
                  </w:pPr>
                  <w:r>
                    <w:rPr>
                      <w:rFonts w:hint="eastAsia"/>
                      <w:sz w:val="21"/>
                      <w:szCs w:val="21"/>
                    </w:rPr>
                    <w:t>筒仓储存</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9" w:type="dxa"/>
                  <w:tcBorders>
                    <w:top w:val="single" w:color="auto" w:sz="4" w:space="0"/>
                    <w:left w:val="nil"/>
                    <w:bottom w:val="single" w:color="auto" w:sz="4" w:space="0"/>
                    <w:right w:val="single" w:color="000000" w:sz="4" w:space="0"/>
                  </w:tcBorders>
                  <w:vAlign w:val="center"/>
                </w:tcPr>
                <w:p>
                  <w:pPr>
                    <w:jc w:val="center"/>
                    <w:rPr>
                      <w:kern w:val="36"/>
                      <w:sz w:val="21"/>
                      <w:szCs w:val="21"/>
                    </w:rPr>
                  </w:pPr>
                  <w:r>
                    <w:rPr>
                      <w:kern w:val="36"/>
                      <w:sz w:val="21"/>
                      <w:szCs w:val="21"/>
                    </w:rPr>
                    <w:t>4</w:t>
                  </w:r>
                </w:p>
              </w:tc>
              <w:tc>
                <w:tcPr>
                  <w:tcW w:w="1419" w:type="dxa"/>
                  <w:vMerge w:val="continue"/>
                  <w:tcBorders>
                    <w:left w:val="single" w:color="000000" w:sz="4" w:space="0"/>
                    <w:right w:val="single" w:color="auto" w:sz="4" w:space="0"/>
                  </w:tcBorders>
                  <w:vAlign w:val="center"/>
                </w:tcPr>
                <w:p>
                  <w:pPr>
                    <w:widowControl/>
                    <w:jc w:val="left"/>
                    <w:rPr>
                      <w:sz w:val="21"/>
                      <w:szCs w:val="21"/>
                    </w:rPr>
                  </w:pPr>
                </w:p>
              </w:tc>
              <w:tc>
                <w:tcPr>
                  <w:tcW w:w="1984" w:type="dxa"/>
                  <w:tcBorders>
                    <w:top w:val="single" w:color="000000" w:sz="4" w:space="0"/>
                    <w:left w:val="single" w:color="auto" w:sz="4" w:space="0"/>
                    <w:bottom w:val="single" w:color="000000" w:sz="4" w:space="0"/>
                    <w:right w:val="single" w:color="000000" w:sz="4" w:space="0"/>
                  </w:tcBorders>
                  <w:vAlign w:val="center"/>
                </w:tcPr>
                <w:p>
                  <w:pPr>
                    <w:tabs>
                      <w:tab w:val="left" w:pos="6840"/>
                    </w:tabs>
                    <w:snapToGrid w:val="0"/>
                    <w:jc w:val="center"/>
                    <w:outlineLvl w:val="0"/>
                    <w:rPr>
                      <w:sz w:val="21"/>
                      <w:szCs w:val="21"/>
                    </w:rPr>
                  </w:pPr>
                  <w:r>
                    <w:rPr>
                      <w:rFonts w:hint="eastAsia"/>
                      <w:sz w:val="21"/>
                      <w:szCs w:val="21"/>
                    </w:rPr>
                    <w:t>粉煤灰</w:t>
                  </w:r>
                </w:p>
              </w:tc>
              <w:tc>
                <w:tcPr>
                  <w:tcW w:w="2060" w:type="dxa"/>
                  <w:tcBorders>
                    <w:top w:val="single" w:color="000000" w:sz="4" w:space="0"/>
                    <w:left w:val="single" w:color="000000" w:sz="4" w:space="0"/>
                    <w:bottom w:val="single" w:color="000000" w:sz="4" w:space="0"/>
                    <w:right w:val="single" w:color="000000" w:sz="4" w:space="0"/>
                  </w:tcBorders>
                  <w:vAlign w:val="center"/>
                </w:tcPr>
                <w:p>
                  <w:pPr>
                    <w:tabs>
                      <w:tab w:val="left" w:pos="6840"/>
                    </w:tabs>
                    <w:snapToGrid w:val="0"/>
                    <w:jc w:val="center"/>
                    <w:outlineLvl w:val="0"/>
                    <w:rPr>
                      <w:sz w:val="21"/>
                      <w:szCs w:val="21"/>
                    </w:rPr>
                  </w:pPr>
                  <w:r>
                    <w:rPr>
                      <w:rFonts w:hint="eastAsia"/>
                      <w:sz w:val="21"/>
                      <w:szCs w:val="21"/>
                    </w:rPr>
                    <w:t>5万</w:t>
                  </w:r>
                </w:p>
              </w:tc>
              <w:tc>
                <w:tcPr>
                  <w:tcW w:w="1715" w:type="dxa"/>
                  <w:tcBorders>
                    <w:top w:val="single" w:color="000000" w:sz="4" w:space="0"/>
                    <w:left w:val="single" w:color="000000" w:sz="4" w:space="0"/>
                    <w:bottom w:val="single" w:color="000000" w:sz="4" w:space="0"/>
                    <w:right w:val="nil"/>
                  </w:tcBorders>
                  <w:vAlign w:val="center"/>
                </w:tcPr>
                <w:p>
                  <w:pPr>
                    <w:tabs>
                      <w:tab w:val="left" w:pos="6840"/>
                    </w:tabs>
                    <w:snapToGrid w:val="0"/>
                    <w:jc w:val="center"/>
                    <w:outlineLvl w:val="0"/>
                    <w:rPr>
                      <w:sz w:val="21"/>
                      <w:szCs w:val="21"/>
                    </w:rPr>
                  </w:pPr>
                  <w:r>
                    <w:rPr>
                      <w:rFonts w:hint="eastAsia"/>
                      <w:sz w:val="21"/>
                      <w:szCs w:val="21"/>
                    </w:rPr>
                    <w:t>筒仓储存</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9" w:type="dxa"/>
                  <w:tcBorders>
                    <w:top w:val="single" w:color="auto" w:sz="4" w:space="0"/>
                    <w:left w:val="nil"/>
                    <w:bottom w:val="single" w:color="auto" w:sz="4" w:space="0"/>
                    <w:right w:val="single" w:color="000000" w:sz="4" w:space="0"/>
                  </w:tcBorders>
                  <w:vAlign w:val="center"/>
                </w:tcPr>
                <w:p>
                  <w:pPr>
                    <w:jc w:val="center"/>
                    <w:rPr>
                      <w:kern w:val="36"/>
                      <w:sz w:val="21"/>
                      <w:szCs w:val="21"/>
                    </w:rPr>
                  </w:pPr>
                  <w:r>
                    <w:rPr>
                      <w:kern w:val="36"/>
                      <w:sz w:val="21"/>
                      <w:szCs w:val="21"/>
                    </w:rPr>
                    <w:t>5</w:t>
                  </w:r>
                </w:p>
              </w:tc>
              <w:tc>
                <w:tcPr>
                  <w:tcW w:w="1419" w:type="dxa"/>
                  <w:vMerge w:val="continue"/>
                  <w:tcBorders>
                    <w:left w:val="single" w:color="000000" w:sz="4" w:space="0"/>
                    <w:right w:val="single" w:color="auto" w:sz="4" w:space="0"/>
                  </w:tcBorders>
                  <w:vAlign w:val="center"/>
                </w:tcPr>
                <w:p>
                  <w:pPr>
                    <w:widowControl/>
                    <w:jc w:val="left"/>
                    <w:rPr>
                      <w:sz w:val="21"/>
                      <w:szCs w:val="21"/>
                    </w:rPr>
                  </w:pPr>
                </w:p>
              </w:tc>
              <w:tc>
                <w:tcPr>
                  <w:tcW w:w="1984" w:type="dxa"/>
                  <w:tcBorders>
                    <w:top w:val="single" w:color="000000" w:sz="4" w:space="0"/>
                    <w:left w:val="single" w:color="auto" w:sz="4" w:space="0"/>
                    <w:bottom w:val="single" w:color="000000" w:sz="4" w:space="0"/>
                    <w:right w:val="single" w:color="000000" w:sz="4" w:space="0"/>
                  </w:tcBorders>
                  <w:vAlign w:val="center"/>
                </w:tcPr>
                <w:p>
                  <w:pPr>
                    <w:tabs>
                      <w:tab w:val="left" w:pos="6840"/>
                    </w:tabs>
                    <w:snapToGrid w:val="0"/>
                    <w:jc w:val="center"/>
                    <w:outlineLvl w:val="0"/>
                    <w:rPr>
                      <w:sz w:val="21"/>
                      <w:szCs w:val="21"/>
                    </w:rPr>
                  </w:pPr>
                  <w:r>
                    <w:rPr>
                      <w:rFonts w:hint="eastAsia"/>
                      <w:sz w:val="21"/>
                      <w:szCs w:val="21"/>
                    </w:rPr>
                    <w:t>矿粉</w:t>
                  </w:r>
                </w:p>
              </w:tc>
              <w:tc>
                <w:tcPr>
                  <w:tcW w:w="2060" w:type="dxa"/>
                  <w:tcBorders>
                    <w:top w:val="single" w:color="000000" w:sz="4" w:space="0"/>
                    <w:left w:val="single" w:color="000000" w:sz="4" w:space="0"/>
                    <w:bottom w:val="single" w:color="000000" w:sz="4" w:space="0"/>
                    <w:right w:val="single" w:color="000000" w:sz="4" w:space="0"/>
                  </w:tcBorders>
                  <w:vAlign w:val="center"/>
                </w:tcPr>
                <w:p>
                  <w:pPr>
                    <w:tabs>
                      <w:tab w:val="left" w:pos="6840"/>
                    </w:tabs>
                    <w:snapToGrid w:val="0"/>
                    <w:jc w:val="center"/>
                    <w:outlineLvl w:val="0"/>
                    <w:rPr>
                      <w:sz w:val="21"/>
                      <w:szCs w:val="21"/>
                    </w:rPr>
                  </w:pPr>
                  <w:r>
                    <w:rPr>
                      <w:rFonts w:hint="eastAsia"/>
                      <w:sz w:val="21"/>
                      <w:szCs w:val="21"/>
                    </w:rPr>
                    <w:t>5万</w:t>
                  </w:r>
                </w:p>
              </w:tc>
              <w:tc>
                <w:tcPr>
                  <w:tcW w:w="1715" w:type="dxa"/>
                  <w:tcBorders>
                    <w:top w:val="single" w:color="000000" w:sz="4" w:space="0"/>
                    <w:left w:val="single" w:color="000000" w:sz="4" w:space="0"/>
                    <w:bottom w:val="single" w:color="000000" w:sz="4" w:space="0"/>
                    <w:right w:val="nil"/>
                  </w:tcBorders>
                  <w:vAlign w:val="center"/>
                </w:tcPr>
                <w:p>
                  <w:pPr>
                    <w:tabs>
                      <w:tab w:val="left" w:pos="6840"/>
                    </w:tabs>
                    <w:snapToGrid w:val="0"/>
                    <w:jc w:val="center"/>
                    <w:outlineLvl w:val="0"/>
                    <w:rPr>
                      <w:sz w:val="21"/>
                      <w:szCs w:val="21"/>
                    </w:rPr>
                  </w:pPr>
                  <w:r>
                    <w:rPr>
                      <w:rFonts w:hint="eastAsia"/>
                      <w:sz w:val="21"/>
                      <w:szCs w:val="21"/>
                    </w:rPr>
                    <w:t>筒仓储存</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9" w:type="dxa"/>
                  <w:tcBorders>
                    <w:top w:val="single" w:color="auto" w:sz="4" w:space="0"/>
                    <w:left w:val="nil"/>
                    <w:bottom w:val="single" w:color="auto" w:sz="4" w:space="0"/>
                    <w:right w:val="single" w:color="000000" w:sz="4" w:space="0"/>
                  </w:tcBorders>
                  <w:vAlign w:val="center"/>
                </w:tcPr>
                <w:p>
                  <w:pPr>
                    <w:jc w:val="center"/>
                    <w:rPr>
                      <w:kern w:val="36"/>
                      <w:sz w:val="21"/>
                      <w:szCs w:val="21"/>
                    </w:rPr>
                  </w:pPr>
                  <w:r>
                    <w:rPr>
                      <w:kern w:val="36"/>
                      <w:sz w:val="21"/>
                      <w:szCs w:val="21"/>
                    </w:rPr>
                    <w:t>6</w:t>
                  </w:r>
                </w:p>
              </w:tc>
              <w:tc>
                <w:tcPr>
                  <w:tcW w:w="1419" w:type="dxa"/>
                  <w:vMerge w:val="continue"/>
                  <w:tcBorders>
                    <w:left w:val="single" w:color="000000" w:sz="4" w:space="0"/>
                    <w:right w:val="single" w:color="auto" w:sz="4" w:space="0"/>
                  </w:tcBorders>
                  <w:vAlign w:val="center"/>
                </w:tcPr>
                <w:p>
                  <w:pPr>
                    <w:widowControl/>
                    <w:jc w:val="left"/>
                    <w:rPr>
                      <w:sz w:val="21"/>
                      <w:szCs w:val="21"/>
                    </w:rPr>
                  </w:pPr>
                </w:p>
              </w:tc>
              <w:tc>
                <w:tcPr>
                  <w:tcW w:w="1984" w:type="dxa"/>
                  <w:tcBorders>
                    <w:top w:val="single" w:color="000000" w:sz="4" w:space="0"/>
                    <w:left w:val="single" w:color="auto" w:sz="4" w:space="0"/>
                    <w:bottom w:val="single" w:color="000000" w:sz="4" w:space="0"/>
                    <w:right w:val="single" w:color="000000" w:sz="4" w:space="0"/>
                  </w:tcBorders>
                  <w:vAlign w:val="center"/>
                </w:tcPr>
                <w:p>
                  <w:pPr>
                    <w:tabs>
                      <w:tab w:val="left" w:pos="6840"/>
                    </w:tabs>
                    <w:snapToGrid w:val="0"/>
                    <w:jc w:val="center"/>
                    <w:outlineLvl w:val="0"/>
                    <w:rPr>
                      <w:sz w:val="21"/>
                      <w:szCs w:val="21"/>
                    </w:rPr>
                  </w:pPr>
                  <w:r>
                    <w:rPr>
                      <w:rFonts w:hint="eastAsia"/>
                      <w:sz w:val="21"/>
                      <w:szCs w:val="21"/>
                    </w:rPr>
                    <w:t>外加剂</w:t>
                  </w:r>
                </w:p>
              </w:tc>
              <w:tc>
                <w:tcPr>
                  <w:tcW w:w="2060" w:type="dxa"/>
                  <w:tcBorders>
                    <w:top w:val="single" w:color="000000" w:sz="4" w:space="0"/>
                    <w:left w:val="single" w:color="000000" w:sz="4" w:space="0"/>
                    <w:bottom w:val="single" w:color="000000" w:sz="4" w:space="0"/>
                    <w:right w:val="single" w:color="000000" w:sz="4" w:space="0"/>
                  </w:tcBorders>
                  <w:vAlign w:val="center"/>
                </w:tcPr>
                <w:p>
                  <w:pPr>
                    <w:tabs>
                      <w:tab w:val="left" w:pos="6840"/>
                    </w:tabs>
                    <w:snapToGrid w:val="0"/>
                    <w:jc w:val="center"/>
                    <w:outlineLvl w:val="0"/>
                    <w:rPr>
                      <w:sz w:val="21"/>
                      <w:szCs w:val="21"/>
                    </w:rPr>
                  </w:pPr>
                  <w:r>
                    <w:rPr>
                      <w:rFonts w:hint="eastAsia"/>
                      <w:sz w:val="21"/>
                      <w:szCs w:val="21"/>
                    </w:rPr>
                    <w:t>0.7万</w:t>
                  </w:r>
                </w:p>
              </w:tc>
              <w:tc>
                <w:tcPr>
                  <w:tcW w:w="1715" w:type="dxa"/>
                  <w:tcBorders>
                    <w:top w:val="single" w:color="000000" w:sz="4" w:space="0"/>
                    <w:left w:val="single" w:color="000000" w:sz="4" w:space="0"/>
                    <w:bottom w:val="single" w:color="000000" w:sz="4" w:space="0"/>
                    <w:right w:val="nil"/>
                  </w:tcBorders>
                  <w:vAlign w:val="center"/>
                </w:tcPr>
                <w:p>
                  <w:pPr>
                    <w:tabs>
                      <w:tab w:val="left" w:pos="6840"/>
                    </w:tabs>
                    <w:snapToGrid w:val="0"/>
                    <w:jc w:val="center"/>
                    <w:outlineLvl w:val="0"/>
                    <w:rPr>
                      <w:sz w:val="21"/>
                      <w:szCs w:val="21"/>
                    </w:rPr>
                  </w:pPr>
                  <w:r>
                    <w:rPr>
                      <w:rFonts w:hint="eastAsia"/>
                      <w:sz w:val="21"/>
                      <w:szCs w:val="21"/>
                    </w:rPr>
                    <w:t>筒仓储存</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89" w:type="dxa"/>
                  <w:tcBorders>
                    <w:top w:val="single" w:color="auto" w:sz="4" w:space="0"/>
                    <w:left w:val="nil"/>
                    <w:bottom w:val="single" w:color="auto" w:sz="8" w:space="0"/>
                    <w:right w:val="single" w:color="000000" w:sz="4" w:space="0"/>
                  </w:tcBorders>
                  <w:vAlign w:val="center"/>
                </w:tcPr>
                <w:p>
                  <w:pPr>
                    <w:jc w:val="center"/>
                    <w:rPr>
                      <w:kern w:val="36"/>
                      <w:sz w:val="21"/>
                      <w:szCs w:val="21"/>
                    </w:rPr>
                  </w:pPr>
                  <w:r>
                    <w:rPr>
                      <w:rFonts w:hint="eastAsia"/>
                      <w:kern w:val="36"/>
                      <w:sz w:val="21"/>
                      <w:szCs w:val="21"/>
                    </w:rPr>
                    <w:t>7</w:t>
                  </w:r>
                </w:p>
              </w:tc>
              <w:tc>
                <w:tcPr>
                  <w:tcW w:w="1419" w:type="dxa"/>
                  <w:vMerge w:val="continue"/>
                  <w:tcBorders>
                    <w:left w:val="single" w:color="000000" w:sz="4" w:space="0"/>
                    <w:bottom w:val="single" w:color="000000" w:sz="8" w:space="0"/>
                    <w:right w:val="single" w:color="auto" w:sz="4" w:space="0"/>
                  </w:tcBorders>
                  <w:vAlign w:val="center"/>
                </w:tcPr>
                <w:p>
                  <w:pPr>
                    <w:widowControl/>
                    <w:jc w:val="left"/>
                    <w:rPr>
                      <w:sz w:val="21"/>
                      <w:szCs w:val="21"/>
                    </w:rPr>
                  </w:pPr>
                </w:p>
              </w:tc>
              <w:tc>
                <w:tcPr>
                  <w:tcW w:w="1984" w:type="dxa"/>
                  <w:tcBorders>
                    <w:top w:val="single" w:color="000000" w:sz="4" w:space="0"/>
                    <w:left w:val="single" w:color="auto" w:sz="4" w:space="0"/>
                    <w:bottom w:val="single" w:color="auto" w:sz="8" w:space="0"/>
                    <w:right w:val="single" w:color="000000" w:sz="4" w:space="0"/>
                  </w:tcBorders>
                  <w:vAlign w:val="center"/>
                </w:tcPr>
                <w:p>
                  <w:pPr>
                    <w:tabs>
                      <w:tab w:val="left" w:pos="6840"/>
                    </w:tabs>
                    <w:snapToGrid w:val="0"/>
                    <w:jc w:val="center"/>
                    <w:outlineLvl w:val="0"/>
                    <w:rPr>
                      <w:sz w:val="21"/>
                      <w:szCs w:val="21"/>
                    </w:rPr>
                  </w:pPr>
                  <w:r>
                    <w:rPr>
                      <w:rFonts w:hint="eastAsia"/>
                      <w:sz w:val="21"/>
                      <w:szCs w:val="21"/>
                    </w:rPr>
                    <w:t>水</w:t>
                  </w:r>
                </w:p>
              </w:tc>
              <w:tc>
                <w:tcPr>
                  <w:tcW w:w="2060" w:type="dxa"/>
                  <w:tcBorders>
                    <w:top w:val="single" w:color="000000" w:sz="4" w:space="0"/>
                    <w:left w:val="single" w:color="000000" w:sz="4" w:space="0"/>
                    <w:bottom w:val="single" w:color="auto" w:sz="8" w:space="0"/>
                    <w:right w:val="single" w:color="000000" w:sz="4" w:space="0"/>
                  </w:tcBorders>
                  <w:vAlign w:val="center"/>
                </w:tcPr>
                <w:p>
                  <w:pPr>
                    <w:tabs>
                      <w:tab w:val="left" w:pos="6840"/>
                    </w:tabs>
                    <w:snapToGrid w:val="0"/>
                    <w:jc w:val="center"/>
                    <w:outlineLvl w:val="0"/>
                    <w:rPr>
                      <w:sz w:val="21"/>
                      <w:szCs w:val="21"/>
                    </w:rPr>
                  </w:pPr>
                  <w:r>
                    <w:rPr>
                      <w:rFonts w:hint="eastAsia"/>
                      <w:sz w:val="21"/>
                      <w:szCs w:val="21"/>
                      <w:lang w:val="en-US" w:eastAsia="zh-CN"/>
                    </w:rPr>
                    <w:t>7.2</w:t>
                  </w:r>
                  <w:r>
                    <w:rPr>
                      <w:rFonts w:hint="eastAsia"/>
                      <w:sz w:val="21"/>
                      <w:szCs w:val="21"/>
                    </w:rPr>
                    <w:t>万</w:t>
                  </w:r>
                </w:p>
              </w:tc>
              <w:tc>
                <w:tcPr>
                  <w:tcW w:w="1715" w:type="dxa"/>
                  <w:tcBorders>
                    <w:top w:val="single" w:color="000000" w:sz="4" w:space="0"/>
                    <w:left w:val="single" w:color="000000" w:sz="4" w:space="0"/>
                    <w:bottom w:val="single" w:color="auto" w:sz="8" w:space="0"/>
                    <w:right w:val="nil"/>
                  </w:tcBorders>
                  <w:vAlign w:val="center"/>
                </w:tcPr>
                <w:p>
                  <w:pPr>
                    <w:tabs>
                      <w:tab w:val="left" w:pos="6840"/>
                    </w:tabs>
                    <w:snapToGrid w:val="0"/>
                    <w:jc w:val="center"/>
                    <w:outlineLvl w:val="0"/>
                    <w:rPr>
                      <w:sz w:val="21"/>
                      <w:szCs w:val="21"/>
                    </w:rPr>
                  </w:pPr>
                  <w:r>
                    <w:rPr>
                      <w:rFonts w:hint="eastAsia"/>
                      <w:sz w:val="21"/>
                      <w:szCs w:val="21"/>
                    </w:rPr>
                    <w:t>/</w:t>
                  </w:r>
                </w:p>
              </w:tc>
            </w:tr>
          </w:tbl>
          <w:p>
            <w:pPr>
              <w:adjustRightInd w:val="0"/>
              <w:snapToGrid w:val="0"/>
              <w:spacing w:line="440" w:lineRule="exact"/>
              <w:ind w:firstLine="480" w:firstLineChars="200"/>
              <w:rPr>
                <w:color w:val="000000"/>
                <w:sz w:val="24"/>
              </w:rPr>
            </w:pPr>
            <w:r>
              <w:rPr>
                <w:rFonts w:hint="eastAsia"/>
                <w:color w:val="000000"/>
                <w:sz w:val="24"/>
              </w:rPr>
              <w:t xml:space="preserve"> 外加剂：本项目外加剂主要为聚羧酸减水剂，聚羧酸减水剂是一种高性能减水剂，是砂浆生产运用中的一种砂浆分散剂，羧酸减水剂是由聚乙烯醇单甲醚和甲基丙烯酸先酯化再和甲基丙烯酸缩合而成的大分子链化合物，聚羧酸作为高分子化合物，往往呈树脂状，有很好的强度、韧性、化学稳定性，可作为多种用途的材料，无毒无害。</w:t>
            </w:r>
          </w:p>
          <w:p>
            <w:pPr>
              <w:spacing w:line="480" w:lineRule="exact"/>
              <w:ind w:firstLine="482" w:firstLineChars="200"/>
              <w:rPr>
                <w:b/>
                <w:sz w:val="24"/>
                <w:szCs w:val="24"/>
              </w:rPr>
            </w:pPr>
            <w:r>
              <w:rPr>
                <w:rFonts w:hint="eastAsia"/>
                <w:b/>
                <w:sz w:val="24"/>
                <w:szCs w:val="24"/>
              </w:rPr>
              <w:t>4、主要生产设备</w:t>
            </w:r>
          </w:p>
          <w:p>
            <w:pPr>
              <w:spacing w:line="480" w:lineRule="exact"/>
              <w:ind w:firstLine="480" w:firstLineChars="200"/>
              <w:jc w:val="left"/>
              <w:rPr>
                <w:sz w:val="24"/>
                <w:szCs w:val="24"/>
              </w:rPr>
            </w:pPr>
            <w:r>
              <w:rPr>
                <w:rFonts w:hint="eastAsia"/>
                <w:sz w:val="24"/>
                <w:szCs w:val="24"/>
              </w:rPr>
              <w:t>项目主要生产设备，详见</w:t>
            </w:r>
            <w:r>
              <w:rPr>
                <w:rFonts w:hint="eastAsia"/>
                <w:sz w:val="24"/>
                <w:szCs w:val="24"/>
                <w:lang w:val="en-US" w:eastAsia="zh-CN"/>
              </w:rPr>
              <w:t>下</w:t>
            </w:r>
            <w:r>
              <w:rPr>
                <w:rFonts w:hint="eastAsia"/>
                <w:sz w:val="24"/>
                <w:szCs w:val="24"/>
              </w:rPr>
              <w:t>表。</w:t>
            </w:r>
          </w:p>
          <w:p>
            <w:pPr>
              <w:spacing w:line="480" w:lineRule="exact"/>
              <w:ind w:firstLine="480" w:firstLineChars="200"/>
              <w:jc w:val="left"/>
              <w:rPr>
                <w:rFonts w:eastAsia="黑体"/>
                <w:sz w:val="24"/>
                <w:szCs w:val="24"/>
                <w:lang w:val="pt-BR"/>
              </w:rPr>
            </w:pPr>
            <w:r>
              <w:rPr>
                <w:rFonts w:hint="eastAsia" w:eastAsia="黑体"/>
                <w:sz w:val="24"/>
                <w:szCs w:val="24"/>
                <w:lang w:val="pt-BR"/>
              </w:rPr>
              <w:t>表</w:t>
            </w:r>
            <w:r>
              <w:rPr>
                <w:rFonts w:hint="eastAsia" w:eastAsia="黑体"/>
                <w:sz w:val="24"/>
                <w:szCs w:val="24"/>
                <w:lang w:val="en-US" w:eastAsia="zh-CN"/>
              </w:rPr>
              <w:t>2-4</w:t>
            </w:r>
            <w:r>
              <w:rPr>
                <w:rFonts w:hint="eastAsia" w:eastAsia="黑体"/>
                <w:sz w:val="24"/>
                <w:szCs w:val="24"/>
              </w:rPr>
              <w:t xml:space="preserve">            </w:t>
            </w:r>
            <w:r>
              <w:rPr>
                <w:rFonts w:hint="eastAsia" w:eastAsia="黑体"/>
                <w:sz w:val="24"/>
                <w:szCs w:val="24"/>
                <w:lang w:val="pt-BR"/>
              </w:rPr>
              <w:t>主要生产设备一览表</w:t>
            </w:r>
          </w:p>
          <w:tbl>
            <w:tblPr>
              <w:tblStyle w:val="24"/>
              <w:tblW w:w="48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218"/>
              <w:gridCol w:w="1571"/>
              <w:gridCol w:w="1163"/>
              <w:gridCol w:w="249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eastAsia="黑体"/>
                      <w:sz w:val="21"/>
                      <w:szCs w:val="21"/>
                    </w:rPr>
                  </w:pPr>
                  <w:r>
                    <w:rPr>
                      <w:rFonts w:hint="eastAsia" w:eastAsia="黑体"/>
                      <w:sz w:val="21"/>
                      <w:szCs w:val="21"/>
                    </w:rPr>
                    <w:t>序号</w:t>
                  </w:r>
                </w:p>
              </w:tc>
              <w:tc>
                <w:tcPr>
                  <w:tcW w:w="2218" w:type="dxa"/>
                  <w:tcBorders>
                    <w:tl2br w:val="nil"/>
                    <w:tr2bl w:val="nil"/>
                  </w:tcBorders>
                  <w:vAlign w:val="center"/>
                </w:tcPr>
                <w:p>
                  <w:pPr>
                    <w:jc w:val="center"/>
                    <w:rPr>
                      <w:rFonts w:eastAsia="黑体"/>
                      <w:sz w:val="21"/>
                      <w:szCs w:val="21"/>
                    </w:rPr>
                  </w:pPr>
                  <w:r>
                    <w:rPr>
                      <w:rFonts w:hint="eastAsia" w:eastAsia="黑体"/>
                      <w:sz w:val="21"/>
                      <w:szCs w:val="21"/>
                    </w:rPr>
                    <w:t>名称</w:t>
                  </w:r>
                </w:p>
              </w:tc>
              <w:tc>
                <w:tcPr>
                  <w:tcW w:w="1571" w:type="dxa"/>
                  <w:tcBorders>
                    <w:tl2br w:val="nil"/>
                    <w:tr2bl w:val="nil"/>
                  </w:tcBorders>
                  <w:vAlign w:val="center"/>
                </w:tcPr>
                <w:p>
                  <w:pPr>
                    <w:jc w:val="center"/>
                    <w:rPr>
                      <w:rFonts w:eastAsia="黑体"/>
                      <w:sz w:val="21"/>
                      <w:szCs w:val="21"/>
                    </w:rPr>
                  </w:pPr>
                  <w:r>
                    <w:rPr>
                      <w:rFonts w:hint="eastAsia" w:eastAsia="黑体"/>
                      <w:sz w:val="21"/>
                      <w:szCs w:val="21"/>
                    </w:rPr>
                    <w:t>规格</w:t>
                  </w:r>
                </w:p>
              </w:tc>
              <w:tc>
                <w:tcPr>
                  <w:tcW w:w="1163" w:type="dxa"/>
                  <w:tcBorders>
                    <w:tl2br w:val="nil"/>
                    <w:tr2bl w:val="nil"/>
                  </w:tcBorders>
                  <w:vAlign w:val="center"/>
                </w:tcPr>
                <w:p>
                  <w:pPr>
                    <w:jc w:val="center"/>
                    <w:rPr>
                      <w:rFonts w:hint="eastAsia" w:eastAsia="黑体"/>
                      <w:sz w:val="21"/>
                      <w:szCs w:val="21"/>
                    </w:rPr>
                  </w:pPr>
                  <w:r>
                    <w:rPr>
                      <w:rFonts w:hint="eastAsia" w:eastAsia="黑体"/>
                      <w:sz w:val="21"/>
                      <w:szCs w:val="21"/>
                    </w:rPr>
                    <w:t>数量</w:t>
                  </w:r>
                </w:p>
                <w:p>
                  <w:pPr>
                    <w:jc w:val="center"/>
                    <w:rPr>
                      <w:rFonts w:eastAsia="黑体"/>
                      <w:sz w:val="21"/>
                      <w:szCs w:val="21"/>
                    </w:rPr>
                  </w:pPr>
                  <w:r>
                    <w:rPr>
                      <w:rFonts w:hint="eastAsia" w:eastAsia="黑体"/>
                      <w:sz w:val="21"/>
                      <w:szCs w:val="21"/>
                    </w:rPr>
                    <w:t>（台</w:t>
                  </w:r>
                  <w:r>
                    <w:rPr>
                      <w:rFonts w:eastAsia="黑体"/>
                      <w:sz w:val="21"/>
                      <w:szCs w:val="21"/>
                    </w:rPr>
                    <w:t>/</w:t>
                  </w:r>
                  <w:r>
                    <w:rPr>
                      <w:rFonts w:hint="eastAsia" w:eastAsia="黑体"/>
                      <w:sz w:val="21"/>
                      <w:szCs w:val="21"/>
                    </w:rPr>
                    <w:t>套）</w:t>
                  </w:r>
                </w:p>
              </w:tc>
              <w:tc>
                <w:tcPr>
                  <w:tcW w:w="2494" w:type="dxa"/>
                  <w:tcBorders>
                    <w:tl2br w:val="nil"/>
                    <w:tr2bl w:val="nil"/>
                  </w:tcBorders>
                  <w:vAlign w:val="center"/>
                </w:tcPr>
                <w:p>
                  <w:pPr>
                    <w:jc w:val="center"/>
                    <w:rPr>
                      <w:rFonts w:hint="default" w:eastAsia="黑体"/>
                      <w:sz w:val="21"/>
                      <w:szCs w:val="21"/>
                      <w:lang w:val="en-US" w:eastAsia="zh-CN"/>
                    </w:rPr>
                  </w:pPr>
                  <w:r>
                    <w:rPr>
                      <w:rFonts w:hint="eastAsia" w:eastAsia="黑体"/>
                      <w:sz w:val="21"/>
                      <w:szCs w:val="21"/>
                      <w:lang w:val="en-US" w:eastAsia="zh-CN"/>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sz w:val="21"/>
                      <w:szCs w:val="21"/>
                    </w:rPr>
                  </w:pPr>
                  <w:r>
                    <w:rPr>
                      <w:sz w:val="21"/>
                      <w:szCs w:val="21"/>
                    </w:rPr>
                    <w:t>1</w:t>
                  </w:r>
                </w:p>
              </w:tc>
              <w:tc>
                <w:tcPr>
                  <w:tcW w:w="2218" w:type="dxa"/>
                  <w:tcBorders>
                    <w:tl2br w:val="nil"/>
                    <w:tr2bl w:val="nil"/>
                  </w:tcBorders>
                  <w:vAlign w:val="center"/>
                </w:tcPr>
                <w:p>
                  <w:pPr>
                    <w:jc w:val="center"/>
                    <w:rPr>
                      <w:sz w:val="21"/>
                      <w:szCs w:val="21"/>
                    </w:rPr>
                  </w:pPr>
                  <w:r>
                    <w:rPr>
                      <w:rFonts w:hint="eastAsia"/>
                      <w:sz w:val="21"/>
                      <w:szCs w:val="21"/>
                    </w:rPr>
                    <w:t xml:space="preserve"> 拌合机（搅拌机）</w:t>
                  </w:r>
                </w:p>
              </w:tc>
              <w:tc>
                <w:tcPr>
                  <w:tcW w:w="1571" w:type="dxa"/>
                  <w:tcBorders>
                    <w:tl2br w:val="nil"/>
                    <w:tr2bl w:val="nil"/>
                  </w:tcBorders>
                  <w:vAlign w:val="center"/>
                </w:tcPr>
                <w:p>
                  <w:pPr>
                    <w:jc w:val="center"/>
                    <w:rPr>
                      <w:sz w:val="21"/>
                      <w:szCs w:val="21"/>
                    </w:rPr>
                  </w:pPr>
                  <w:r>
                    <w:rPr>
                      <w:rFonts w:hint="eastAsia"/>
                      <w:sz w:val="21"/>
                      <w:szCs w:val="21"/>
                    </w:rPr>
                    <w:t>JS3000</w:t>
                  </w:r>
                </w:p>
              </w:tc>
              <w:tc>
                <w:tcPr>
                  <w:tcW w:w="1163" w:type="dxa"/>
                  <w:tcBorders>
                    <w:tl2br w:val="nil"/>
                    <w:tr2bl w:val="nil"/>
                  </w:tcBorders>
                  <w:vAlign w:val="center"/>
                </w:tcPr>
                <w:p>
                  <w:pPr>
                    <w:jc w:val="center"/>
                    <w:rPr>
                      <w:sz w:val="21"/>
                      <w:szCs w:val="21"/>
                    </w:rPr>
                  </w:pPr>
                  <w:r>
                    <w:rPr>
                      <w:sz w:val="21"/>
                      <w:szCs w:val="21"/>
                    </w:rPr>
                    <w:t>2</w:t>
                  </w:r>
                </w:p>
              </w:tc>
              <w:tc>
                <w:tcPr>
                  <w:tcW w:w="2494"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搅拌工序装置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w:t>
                  </w:r>
                </w:p>
              </w:tc>
              <w:tc>
                <w:tcPr>
                  <w:tcW w:w="2218" w:type="dxa"/>
                  <w:tcBorders>
                    <w:tl2br w:val="nil"/>
                    <w:tr2bl w:val="nil"/>
                  </w:tcBorders>
                  <w:vAlign w:val="center"/>
                </w:tcPr>
                <w:p>
                  <w:pPr>
                    <w:jc w:val="center"/>
                    <w:rPr>
                      <w:rFonts w:hint="eastAsia"/>
                      <w:sz w:val="21"/>
                      <w:szCs w:val="21"/>
                    </w:rPr>
                  </w:pPr>
                  <w:r>
                    <w:rPr>
                      <w:rFonts w:hint="eastAsia"/>
                      <w:sz w:val="21"/>
                      <w:szCs w:val="21"/>
                    </w:rPr>
                    <w:t>配料机</w:t>
                  </w:r>
                </w:p>
              </w:tc>
              <w:tc>
                <w:tcPr>
                  <w:tcW w:w="1571" w:type="dxa"/>
                  <w:tcBorders>
                    <w:tl2br w:val="nil"/>
                    <w:tr2bl w:val="nil"/>
                  </w:tcBorders>
                  <w:vAlign w:val="center"/>
                </w:tcPr>
                <w:p>
                  <w:pPr>
                    <w:jc w:val="center"/>
                    <w:rPr>
                      <w:rFonts w:hint="eastAsia"/>
                      <w:sz w:val="21"/>
                      <w:szCs w:val="21"/>
                    </w:rPr>
                  </w:pPr>
                  <w:r>
                    <w:rPr>
                      <w:sz w:val="21"/>
                      <w:szCs w:val="21"/>
                    </w:rPr>
                    <w:t>/</w:t>
                  </w:r>
                </w:p>
              </w:tc>
              <w:tc>
                <w:tcPr>
                  <w:tcW w:w="1163" w:type="dxa"/>
                  <w:tcBorders>
                    <w:tl2br w:val="nil"/>
                    <w:tr2bl w:val="nil"/>
                  </w:tcBorders>
                  <w:vAlign w:val="center"/>
                </w:tcPr>
                <w:p>
                  <w:pPr>
                    <w:jc w:val="center"/>
                    <w:rPr>
                      <w:sz w:val="21"/>
                      <w:szCs w:val="21"/>
                    </w:rPr>
                  </w:pPr>
                  <w:r>
                    <w:rPr>
                      <w:sz w:val="21"/>
                      <w:szCs w:val="21"/>
                    </w:rPr>
                    <w:t>2</w:t>
                  </w:r>
                </w:p>
              </w:tc>
              <w:tc>
                <w:tcPr>
                  <w:tcW w:w="2494" w:type="dxa"/>
                  <w:tcBorders>
                    <w:tl2br w:val="nil"/>
                    <w:tr2bl w:val="nil"/>
                  </w:tcBorders>
                  <w:vAlign w:val="center"/>
                </w:tcPr>
                <w:p>
                  <w:pPr>
                    <w:jc w:val="center"/>
                    <w:rPr>
                      <w:rFonts w:hint="eastAsia"/>
                      <w:sz w:val="21"/>
                      <w:szCs w:val="21"/>
                      <w:lang w:val="en-US" w:eastAsia="zh-CN"/>
                    </w:rPr>
                  </w:pPr>
                  <w:r>
                    <w:rPr>
                      <w:rFonts w:hint="eastAsia"/>
                      <w:sz w:val="21"/>
                      <w:szCs w:val="21"/>
                      <w:lang w:val="en-US" w:eastAsia="zh-CN"/>
                    </w:rPr>
                    <w:t>配料工序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w:t>
                  </w:r>
                </w:p>
              </w:tc>
              <w:tc>
                <w:tcPr>
                  <w:tcW w:w="2218"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骨料仓</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8</w:t>
                  </w:r>
                </w:p>
              </w:tc>
              <w:tc>
                <w:tcPr>
                  <w:tcW w:w="2494" w:type="dxa"/>
                  <w:vMerge w:val="restart"/>
                  <w:tcBorders>
                    <w:tl2br w:val="nil"/>
                    <w:tr2bl w:val="nil"/>
                  </w:tcBorders>
                  <w:vAlign w:val="center"/>
                </w:tcPr>
                <w:p>
                  <w:pPr>
                    <w:jc w:val="center"/>
                    <w:rPr>
                      <w:sz w:val="21"/>
                      <w:szCs w:val="21"/>
                    </w:rPr>
                  </w:pPr>
                  <w:r>
                    <w:rPr>
                      <w:rFonts w:hint="eastAsia"/>
                      <w:sz w:val="21"/>
                      <w:szCs w:val="21"/>
                    </w:rPr>
                    <w:t>骨料称量装置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弧门</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24</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773"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称量斗</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8</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6</w:t>
                  </w:r>
                </w:p>
              </w:tc>
              <w:tc>
                <w:tcPr>
                  <w:tcW w:w="2218"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气缸</w:t>
                  </w:r>
                </w:p>
              </w:tc>
              <w:tc>
                <w:tcPr>
                  <w:tcW w:w="1571" w:type="dxa"/>
                  <w:tcBorders>
                    <w:tl2br w:val="nil"/>
                    <w:tr2bl w:val="nil"/>
                  </w:tcBorders>
                  <w:vAlign w:val="center"/>
                </w:tcPr>
                <w:p>
                  <w:pPr>
                    <w:jc w:val="center"/>
                    <w:rPr>
                      <w:rFonts w:hint="eastAsia"/>
                      <w:sz w:val="21"/>
                      <w:szCs w:val="21"/>
                    </w:rPr>
                  </w:pPr>
                </w:p>
              </w:tc>
              <w:tc>
                <w:tcPr>
                  <w:tcW w:w="1163"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24</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773"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7</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传感器悬挂装置</w:t>
                  </w:r>
                </w:p>
              </w:tc>
              <w:tc>
                <w:tcPr>
                  <w:tcW w:w="1571"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拉式传感器</w:t>
                  </w:r>
                </w:p>
              </w:tc>
              <w:tc>
                <w:tcPr>
                  <w:tcW w:w="1163"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24</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773"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8</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计量斗及支架</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restart"/>
                  <w:tcBorders>
                    <w:tl2br w:val="nil"/>
                    <w:tr2bl w:val="nil"/>
                  </w:tcBorders>
                  <w:vAlign w:val="center"/>
                </w:tcPr>
                <w:p>
                  <w:pPr>
                    <w:jc w:val="center"/>
                    <w:rPr>
                      <w:sz w:val="21"/>
                      <w:szCs w:val="21"/>
                    </w:rPr>
                  </w:pPr>
                  <w:r>
                    <w:rPr>
                      <w:rFonts w:hint="eastAsia"/>
                      <w:sz w:val="21"/>
                      <w:szCs w:val="21"/>
                    </w:rPr>
                    <w:t>水泥称量装置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773"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9</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气动蝶阀</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773"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10</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传感器悬挂装置</w:t>
                  </w:r>
                </w:p>
              </w:tc>
              <w:tc>
                <w:tcPr>
                  <w:tcW w:w="1571" w:type="dxa"/>
                  <w:tcBorders>
                    <w:tl2br w:val="nil"/>
                    <w:tr2bl w:val="nil"/>
                  </w:tcBorders>
                  <w:vAlign w:val="center"/>
                </w:tcPr>
                <w:p>
                  <w:pPr>
                    <w:jc w:val="center"/>
                    <w:rPr>
                      <w:rFonts w:hint="eastAsia"/>
                      <w:sz w:val="21"/>
                      <w:szCs w:val="21"/>
                    </w:rPr>
                  </w:pPr>
                  <w:r>
                    <w:rPr>
                      <w:rFonts w:hint="eastAsia"/>
                      <w:sz w:val="21"/>
                      <w:szCs w:val="21"/>
                      <w:lang w:val="en-US" w:eastAsia="zh-CN"/>
                    </w:rPr>
                    <w:t>拉式传感器</w:t>
                  </w:r>
                </w:p>
              </w:tc>
              <w:tc>
                <w:tcPr>
                  <w:tcW w:w="1163"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6</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11</w:t>
                  </w:r>
                </w:p>
              </w:tc>
              <w:tc>
                <w:tcPr>
                  <w:tcW w:w="2218"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振动器</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计量斗及支架</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restart"/>
                  <w:tcBorders>
                    <w:tl2br w:val="nil"/>
                    <w:tr2bl w:val="nil"/>
                  </w:tcBorders>
                  <w:vAlign w:val="center"/>
                </w:tcPr>
                <w:p>
                  <w:pPr>
                    <w:jc w:val="center"/>
                    <w:rPr>
                      <w:sz w:val="21"/>
                      <w:szCs w:val="21"/>
                    </w:rPr>
                  </w:pPr>
                  <w:r>
                    <w:rPr>
                      <w:rFonts w:hint="eastAsia"/>
                      <w:sz w:val="21"/>
                      <w:szCs w:val="21"/>
                    </w:rPr>
                    <w:t>粉煤灰、矿粉称装置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13</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气动蝶阀</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14</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传感器悬挂装置</w:t>
                  </w:r>
                </w:p>
              </w:tc>
              <w:tc>
                <w:tcPr>
                  <w:tcW w:w="1571" w:type="dxa"/>
                  <w:tcBorders>
                    <w:tl2br w:val="nil"/>
                    <w:tr2bl w:val="nil"/>
                  </w:tcBorders>
                  <w:vAlign w:val="center"/>
                </w:tcPr>
                <w:p>
                  <w:pPr>
                    <w:jc w:val="center"/>
                    <w:rPr>
                      <w:rFonts w:hint="eastAsia"/>
                      <w:sz w:val="21"/>
                      <w:szCs w:val="21"/>
                    </w:rPr>
                  </w:pPr>
                  <w:r>
                    <w:rPr>
                      <w:rFonts w:hint="eastAsia"/>
                      <w:sz w:val="21"/>
                      <w:szCs w:val="21"/>
                      <w:lang w:val="en-US" w:eastAsia="zh-CN"/>
                    </w:rPr>
                    <w:t>拉式传感器</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6</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15</w:t>
                  </w:r>
                </w:p>
              </w:tc>
              <w:tc>
                <w:tcPr>
                  <w:tcW w:w="2218"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振动器</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16</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计量斗及支架</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restart"/>
                  <w:tcBorders>
                    <w:tl2br w:val="nil"/>
                    <w:tr2bl w:val="nil"/>
                  </w:tcBorders>
                  <w:vAlign w:val="center"/>
                </w:tcPr>
                <w:p>
                  <w:pPr>
                    <w:jc w:val="center"/>
                    <w:rPr>
                      <w:sz w:val="21"/>
                      <w:szCs w:val="21"/>
                    </w:rPr>
                  </w:pPr>
                  <w:r>
                    <w:rPr>
                      <w:rFonts w:hint="eastAsia"/>
                      <w:sz w:val="21"/>
                      <w:szCs w:val="21"/>
                    </w:rPr>
                    <w:t>水称量装置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17</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泄水蝶阀</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18</w:t>
                  </w:r>
                </w:p>
              </w:tc>
              <w:tc>
                <w:tcPr>
                  <w:tcW w:w="2218"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水泵</w:t>
                  </w:r>
                </w:p>
              </w:tc>
              <w:tc>
                <w:tcPr>
                  <w:tcW w:w="1571"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19</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上水管阀</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20</w:t>
                  </w:r>
                </w:p>
              </w:tc>
              <w:tc>
                <w:tcPr>
                  <w:tcW w:w="2218"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传感器悬挂装置</w:t>
                  </w:r>
                </w:p>
              </w:tc>
              <w:tc>
                <w:tcPr>
                  <w:tcW w:w="1571" w:type="dxa"/>
                  <w:tcBorders>
                    <w:tl2br w:val="nil"/>
                    <w:tr2bl w:val="nil"/>
                  </w:tcBorders>
                  <w:vAlign w:val="center"/>
                </w:tcPr>
                <w:p>
                  <w:pPr>
                    <w:jc w:val="center"/>
                    <w:rPr>
                      <w:sz w:val="21"/>
                      <w:szCs w:val="21"/>
                    </w:rPr>
                  </w:pPr>
                  <w:r>
                    <w:rPr>
                      <w:rFonts w:hint="eastAsia"/>
                      <w:sz w:val="21"/>
                      <w:szCs w:val="21"/>
                      <w:lang w:val="en-US" w:eastAsia="zh-CN"/>
                    </w:rPr>
                    <w:t>拉式传感器</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6</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21</w:t>
                  </w:r>
                </w:p>
              </w:tc>
              <w:tc>
                <w:tcPr>
                  <w:tcW w:w="2218"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计量斗</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restart"/>
                  <w:tcBorders>
                    <w:tl2br w:val="nil"/>
                    <w:tr2bl w:val="nil"/>
                  </w:tcBorders>
                  <w:vAlign w:val="center"/>
                </w:tcPr>
                <w:p>
                  <w:pPr>
                    <w:jc w:val="center"/>
                    <w:rPr>
                      <w:sz w:val="21"/>
                      <w:szCs w:val="21"/>
                    </w:rPr>
                  </w:pPr>
                  <w:r>
                    <w:rPr>
                      <w:rFonts w:hint="eastAsia"/>
                      <w:sz w:val="21"/>
                      <w:szCs w:val="21"/>
                    </w:rPr>
                    <w:t>外加剂</w:t>
                  </w:r>
                  <w:r>
                    <w:rPr>
                      <w:rFonts w:hint="eastAsia"/>
                      <w:sz w:val="21"/>
                      <w:szCs w:val="21"/>
                      <w:lang w:val="en-US" w:eastAsia="zh-CN"/>
                    </w:rPr>
                    <w:t>称重</w:t>
                  </w:r>
                  <w:r>
                    <w:rPr>
                      <w:rFonts w:hint="eastAsia"/>
                      <w:sz w:val="21"/>
                      <w:szCs w:val="21"/>
                    </w:rPr>
                    <w:t>装置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22</w:t>
                  </w:r>
                </w:p>
              </w:tc>
              <w:tc>
                <w:tcPr>
                  <w:tcW w:w="2218"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卸料球阀</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23</w:t>
                  </w:r>
                </w:p>
              </w:tc>
              <w:tc>
                <w:tcPr>
                  <w:tcW w:w="2218"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耐腐蚀泵</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4</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24</w:t>
                  </w:r>
                </w:p>
              </w:tc>
              <w:tc>
                <w:tcPr>
                  <w:tcW w:w="2218"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上外加剂管阀</w:t>
                  </w:r>
                </w:p>
              </w:tc>
              <w:tc>
                <w:tcPr>
                  <w:tcW w:w="1571"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4</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25</w:t>
                  </w:r>
                </w:p>
              </w:tc>
              <w:tc>
                <w:tcPr>
                  <w:tcW w:w="2218"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传感器悬挂装置</w:t>
                  </w:r>
                </w:p>
              </w:tc>
              <w:tc>
                <w:tcPr>
                  <w:tcW w:w="1571" w:type="dxa"/>
                  <w:tcBorders>
                    <w:tl2br w:val="nil"/>
                    <w:tr2bl w:val="nil"/>
                  </w:tcBorders>
                  <w:vAlign w:val="center"/>
                </w:tcPr>
                <w:p>
                  <w:pPr>
                    <w:jc w:val="center"/>
                    <w:rPr>
                      <w:sz w:val="21"/>
                      <w:szCs w:val="21"/>
                    </w:rPr>
                  </w:pPr>
                  <w:r>
                    <w:rPr>
                      <w:rFonts w:hint="eastAsia"/>
                      <w:sz w:val="21"/>
                      <w:szCs w:val="21"/>
                      <w:lang w:val="en-US" w:eastAsia="zh-CN"/>
                    </w:rPr>
                    <w:t>拉式传感器</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vMerge w:val="continue"/>
                  <w:tcBorders>
                    <w:tl2br w:val="nil"/>
                    <w:tr2bl w:val="nil"/>
                  </w:tcBorders>
                  <w:vAlign w:val="center"/>
                </w:tcPr>
                <w:p>
                  <w:pPr>
                    <w:jc w:val="center"/>
                    <w:rPr>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26</w:t>
                  </w:r>
                </w:p>
              </w:tc>
              <w:tc>
                <w:tcPr>
                  <w:tcW w:w="2218"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主除尘器</w:t>
                  </w:r>
                </w:p>
              </w:tc>
              <w:tc>
                <w:tcPr>
                  <w:tcW w:w="1571"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脉冲反吹（滤袋）</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2</w:t>
                  </w:r>
                </w:p>
              </w:tc>
              <w:tc>
                <w:tcPr>
                  <w:tcW w:w="2494" w:type="dxa"/>
                  <w:tcBorders>
                    <w:tl2br w:val="nil"/>
                    <w:tr2bl w:val="nil"/>
                  </w:tcBorders>
                  <w:vAlign w:val="center"/>
                </w:tcPr>
                <w:p>
                  <w:pPr>
                    <w:ind w:firstLine="630" w:firstLineChars="300"/>
                    <w:jc w:val="both"/>
                    <w:rPr>
                      <w:rFonts w:hint="default" w:eastAsia="宋体"/>
                      <w:sz w:val="21"/>
                      <w:szCs w:val="21"/>
                      <w:lang w:val="en-US" w:eastAsia="zh-CN"/>
                    </w:rPr>
                  </w:pPr>
                  <w:r>
                    <w:rPr>
                      <w:rFonts w:hint="eastAsia"/>
                      <w:sz w:val="21"/>
                      <w:szCs w:val="21"/>
                      <w:lang w:val="en-US" w:eastAsia="zh-CN"/>
                    </w:rPr>
                    <w:t>站内除尘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27</w:t>
                  </w:r>
                </w:p>
              </w:tc>
              <w:tc>
                <w:tcPr>
                  <w:tcW w:w="2218"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粉料仓</w:t>
                  </w:r>
                </w:p>
              </w:tc>
              <w:tc>
                <w:tcPr>
                  <w:tcW w:w="1571" w:type="dxa"/>
                  <w:tcBorders>
                    <w:tl2br w:val="nil"/>
                    <w:tr2bl w:val="nil"/>
                  </w:tcBorders>
                  <w:vAlign w:val="center"/>
                </w:tcPr>
                <w:p>
                  <w:pPr>
                    <w:jc w:val="center"/>
                    <w:rPr>
                      <w:rFonts w:hint="default" w:eastAsia="宋体"/>
                      <w:sz w:val="21"/>
                      <w:szCs w:val="21"/>
                      <w:lang w:val="en-US" w:eastAsia="zh-CN"/>
                    </w:rPr>
                  </w:pPr>
                  <w:r>
                    <w:rPr>
                      <w:rFonts w:hint="eastAsia"/>
                      <w:sz w:val="21"/>
                      <w:szCs w:val="21"/>
                      <w:lang w:val="en-US" w:eastAsia="zh-CN"/>
                    </w:rPr>
                    <w:t>300t</w:t>
                  </w:r>
                </w:p>
              </w:tc>
              <w:tc>
                <w:tcPr>
                  <w:tcW w:w="1163" w:type="dxa"/>
                  <w:tcBorders>
                    <w:tl2br w:val="nil"/>
                    <w:tr2bl w:val="nil"/>
                  </w:tcBorders>
                  <w:vAlign w:val="center"/>
                </w:tcPr>
                <w:p>
                  <w:pPr>
                    <w:jc w:val="center"/>
                    <w:rPr>
                      <w:rFonts w:hint="eastAsia" w:eastAsia="宋体"/>
                      <w:sz w:val="21"/>
                      <w:szCs w:val="21"/>
                      <w:lang w:val="en-US" w:eastAsia="zh-CN"/>
                    </w:rPr>
                  </w:pPr>
                  <w:r>
                    <w:rPr>
                      <w:rFonts w:hint="eastAsia"/>
                      <w:sz w:val="21"/>
                      <w:szCs w:val="21"/>
                      <w:lang w:val="en-US" w:eastAsia="zh-CN"/>
                    </w:rPr>
                    <w:t>8</w:t>
                  </w:r>
                </w:p>
              </w:tc>
              <w:tc>
                <w:tcPr>
                  <w:tcW w:w="2494" w:type="dxa"/>
                  <w:tcBorders>
                    <w:tl2br w:val="nil"/>
                    <w:tr2bl w:val="nil"/>
                  </w:tcBorders>
                  <w:vAlign w:val="center"/>
                </w:tcPr>
                <w:p>
                  <w:pPr>
                    <w:jc w:val="center"/>
                    <w:rPr>
                      <w:sz w:val="21"/>
                      <w:szCs w:val="21"/>
                    </w:rPr>
                  </w:pPr>
                  <w:r>
                    <w:rPr>
                      <w:rFonts w:hint="eastAsia"/>
                      <w:sz w:val="21"/>
                      <w:szCs w:val="21"/>
                      <w:lang w:val="en-US" w:eastAsia="zh-CN"/>
                    </w:rPr>
                    <w:t>粉料仓</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28</w:t>
                  </w:r>
                </w:p>
              </w:tc>
              <w:tc>
                <w:tcPr>
                  <w:tcW w:w="2218"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仓顶除尘器</w:t>
                  </w:r>
                </w:p>
              </w:tc>
              <w:tc>
                <w:tcPr>
                  <w:tcW w:w="1571"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1163"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w:t>
                  </w:r>
                </w:p>
              </w:tc>
              <w:tc>
                <w:tcPr>
                  <w:tcW w:w="2494" w:type="dxa"/>
                  <w:tcBorders>
                    <w:tl2br w:val="nil"/>
                    <w:tr2bl w:val="nil"/>
                  </w:tcBorders>
                  <w:vAlign w:val="center"/>
                </w:tcPr>
                <w:p>
                  <w:pPr>
                    <w:jc w:val="center"/>
                    <w:rPr>
                      <w:rFonts w:hint="default"/>
                      <w:sz w:val="21"/>
                      <w:szCs w:val="21"/>
                      <w:lang w:val="en-US" w:eastAsia="zh-CN"/>
                    </w:rPr>
                  </w:pPr>
                  <w:r>
                    <w:rPr>
                      <w:rFonts w:hint="eastAsia"/>
                      <w:sz w:val="21"/>
                      <w:szCs w:val="21"/>
                      <w:lang w:val="en-US" w:eastAsia="zh-CN"/>
                    </w:rPr>
                    <w:t>分仓除尘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3" w:type="dxa"/>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29</w:t>
                  </w:r>
                </w:p>
              </w:tc>
              <w:tc>
                <w:tcPr>
                  <w:tcW w:w="2218" w:type="dxa"/>
                  <w:tcBorders>
                    <w:tl2br w:val="nil"/>
                    <w:tr2bl w:val="nil"/>
                  </w:tcBorders>
                  <w:vAlign w:val="center"/>
                </w:tcPr>
                <w:p>
                  <w:pPr>
                    <w:jc w:val="center"/>
                    <w:rPr>
                      <w:sz w:val="21"/>
                      <w:szCs w:val="21"/>
                    </w:rPr>
                  </w:pPr>
                  <w:r>
                    <w:rPr>
                      <w:rFonts w:hint="eastAsia"/>
                      <w:sz w:val="21"/>
                      <w:szCs w:val="21"/>
                    </w:rPr>
                    <w:t>外加剂罐</w:t>
                  </w:r>
                </w:p>
              </w:tc>
              <w:tc>
                <w:tcPr>
                  <w:tcW w:w="1571" w:type="dxa"/>
                  <w:tcBorders>
                    <w:tl2br w:val="nil"/>
                    <w:tr2bl w:val="nil"/>
                  </w:tcBorders>
                  <w:vAlign w:val="center"/>
                </w:tcPr>
                <w:p>
                  <w:pPr>
                    <w:jc w:val="center"/>
                    <w:rPr>
                      <w:sz w:val="21"/>
                      <w:szCs w:val="21"/>
                    </w:rPr>
                  </w:pPr>
                  <w:r>
                    <w:rPr>
                      <w:rFonts w:hint="eastAsia"/>
                      <w:sz w:val="21"/>
                      <w:szCs w:val="21"/>
                    </w:rPr>
                    <w:t>1</w:t>
                  </w:r>
                  <w:r>
                    <w:rPr>
                      <w:sz w:val="21"/>
                      <w:szCs w:val="21"/>
                    </w:rPr>
                    <w:t>0t</w:t>
                  </w:r>
                </w:p>
              </w:tc>
              <w:tc>
                <w:tcPr>
                  <w:tcW w:w="1163" w:type="dxa"/>
                  <w:tcBorders>
                    <w:tl2br w:val="nil"/>
                    <w:tr2bl w:val="nil"/>
                  </w:tcBorders>
                  <w:vAlign w:val="center"/>
                </w:tcPr>
                <w:p>
                  <w:pPr>
                    <w:jc w:val="center"/>
                    <w:rPr>
                      <w:sz w:val="21"/>
                      <w:szCs w:val="21"/>
                    </w:rPr>
                  </w:pPr>
                  <w:r>
                    <w:rPr>
                      <w:sz w:val="21"/>
                      <w:szCs w:val="21"/>
                    </w:rPr>
                    <w:t>2</w:t>
                  </w:r>
                </w:p>
              </w:tc>
              <w:tc>
                <w:tcPr>
                  <w:tcW w:w="2494" w:type="dxa"/>
                  <w:tcBorders>
                    <w:tl2br w:val="nil"/>
                    <w:tr2bl w:val="nil"/>
                  </w:tcBorders>
                  <w:vAlign w:val="center"/>
                </w:tcPr>
                <w:p>
                  <w:pPr>
                    <w:jc w:val="center"/>
                    <w:rPr>
                      <w:sz w:val="21"/>
                      <w:szCs w:val="21"/>
                    </w:rPr>
                  </w:pPr>
                  <w:r>
                    <w:rPr>
                      <w:rFonts w:hint="eastAsia"/>
                      <w:sz w:val="21"/>
                      <w:szCs w:val="21"/>
                    </w:rPr>
                    <w:t>外加剂罐</w:t>
                  </w:r>
                </w:p>
              </w:tc>
            </w:tr>
          </w:tbl>
          <w:p>
            <w:pPr>
              <w:spacing w:line="460" w:lineRule="exact"/>
              <w:ind w:left="717" w:leftChars="170" w:hanging="241" w:hangingChars="100"/>
              <w:rPr>
                <w:rFonts w:hint="eastAsia" w:eastAsia="宋体"/>
                <w:b/>
                <w:sz w:val="24"/>
                <w:szCs w:val="24"/>
                <w:lang w:eastAsia="zh-CN"/>
              </w:rPr>
            </w:pPr>
            <w:r>
              <w:rPr>
                <w:rFonts w:hint="eastAsia"/>
                <w:b/>
                <w:sz w:val="24"/>
                <w:szCs w:val="24"/>
              </w:rPr>
              <w:t>5、项目水平衡图</w:t>
            </w:r>
          </w:p>
          <w:p>
            <w:pPr>
              <w:spacing w:line="460" w:lineRule="exact"/>
              <w:ind w:left="716" w:leftChars="170" w:hanging="240" w:hangingChars="100"/>
              <w:rPr>
                <w:sz w:val="24"/>
              </w:rPr>
            </w:pPr>
            <w:r>
              <w:rPr>
                <w:rFonts w:hint="eastAsia"/>
                <w:sz w:val="24"/>
              </w:rPr>
              <w:t>本项目营运期用排水情况如下：</w:t>
            </w:r>
          </w:p>
          <w:p>
            <w:pPr>
              <w:spacing w:line="460" w:lineRule="exact"/>
              <w:ind w:firstLine="480" w:firstLineChars="200"/>
              <w:rPr>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原料添加用水</w:t>
            </w:r>
          </w:p>
          <w:p>
            <w:pPr>
              <w:spacing w:line="460" w:lineRule="exact"/>
              <w:ind w:firstLine="480" w:firstLineChars="200"/>
              <w:rPr>
                <w:sz w:val="24"/>
              </w:rPr>
            </w:pPr>
            <w:r>
              <w:rPr>
                <w:rFonts w:hint="eastAsia"/>
                <w:sz w:val="24"/>
              </w:rPr>
              <w:t>混凝土搅拌过程需加入拌料水，本项目拌料水加入量约为</w:t>
            </w:r>
            <w:r>
              <w:rPr>
                <w:rFonts w:hint="eastAsia"/>
                <w:sz w:val="24"/>
                <w:lang w:val="en-US" w:eastAsia="zh-CN"/>
              </w:rPr>
              <w:t>7.38</w:t>
            </w:r>
            <w:r>
              <w:rPr>
                <w:rFonts w:hint="eastAsia"/>
                <w:sz w:val="24"/>
              </w:rPr>
              <w:t>万</w:t>
            </w:r>
            <w:r>
              <w:rPr>
                <w:sz w:val="24"/>
              </w:rPr>
              <w:t>t/a</w:t>
            </w:r>
            <w:r>
              <w:rPr>
                <w:rFonts w:hint="eastAsia"/>
                <w:sz w:val="24"/>
              </w:rPr>
              <w:t>（</w:t>
            </w:r>
            <w:r>
              <w:rPr>
                <w:rFonts w:hint="eastAsia"/>
                <w:sz w:val="24"/>
                <w:lang w:val="en-US" w:eastAsia="zh-CN"/>
              </w:rPr>
              <w:t>246</w:t>
            </w:r>
            <w:r>
              <w:rPr>
                <w:rFonts w:hint="eastAsia"/>
                <w:sz w:val="24"/>
              </w:rPr>
              <w:t>t/d），此部分拌料水进入产品，不外排。</w:t>
            </w:r>
          </w:p>
          <w:p>
            <w:pPr>
              <w:spacing w:line="440" w:lineRule="exact"/>
              <w:ind w:firstLine="480" w:firstLineChars="200"/>
              <w:rPr>
                <w:sz w:val="24"/>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rPr>
              <w:t>设备清洗废水</w:t>
            </w:r>
          </w:p>
          <w:p>
            <w:pPr>
              <w:spacing w:line="420" w:lineRule="exact"/>
              <w:ind w:firstLine="480" w:firstLineChars="200"/>
              <w:jc w:val="left"/>
              <w:rPr>
                <w:bCs/>
                <w:sz w:val="24"/>
              </w:rPr>
            </w:pPr>
            <w:r>
              <w:rPr>
                <w:rFonts w:hint="eastAsia"/>
                <w:sz w:val="24"/>
              </w:rPr>
              <w:t>搅拌机为主要生产设备，在暂停生产时必须冲洗干净以防止机内混凝土结块。按搅拌机平均每</w:t>
            </w:r>
            <w:r>
              <w:rPr>
                <w:sz w:val="24"/>
              </w:rPr>
              <w:t>1</w:t>
            </w:r>
            <w:r>
              <w:rPr>
                <w:rFonts w:hint="eastAsia"/>
                <w:sz w:val="24"/>
              </w:rPr>
              <w:t>天冲洗</w:t>
            </w:r>
            <w:r>
              <w:rPr>
                <w:sz w:val="24"/>
              </w:rPr>
              <w:t>1</w:t>
            </w:r>
            <w:r>
              <w:rPr>
                <w:rFonts w:hint="eastAsia"/>
                <w:sz w:val="24"/>
              </w:rPr>
              <w:t>次，</w:t>
            </w:r>
            <w:r>
              <w:rPr>
                <w:rFonts w:hint="eastAsia"/>
                <w:bCs/>
                <w:sz w:val="24"/>
              </w:rPr>
              <w:t>单台搅拌机单次冲洗用水量为1m</w:t>
            </w:r>
            <w:r>
              <w:rPr>
                <w:rFonts w:hint="eastAsia"/>
                <w:bCs/>
                <w:sz w:val="24"/>
                <w:vertAlign w:val="superscript"/>
              </w:rPr>
              <w:t>3</w:t>
            </w:r>
            <w:r>
              <w:rPr>
                <w:rFonts w:hint="eastAsia"/>
                <w:bCs/>
                <w:sz w:val="24"/>
              </w:rPr>
              <w:t>，本项目搅拌机共2台，则本项目设备冲洗废水产生量为2t/d（600t/a），该部分废水经砂石分离机分离后排入厂区沉淀池处理，处理后回用于生产不外排。</w:t>
            </w:r>
          </w:p>
          <w:p>
            <w:pPr>
              <w:spacing w:line="420" w:lineRule="exact"/>
              <w:ind w:firstLine="480" w:firstLineChars="200"/>
              <w:jc w:val="left"/>
              <w:rPr>
                <w:bCs/>
                <w:sz w:val="24"/>
              </w:rPr>
            </w:pPr>
            <w:r>
              <w:rPr>
                <w:rFonts w:hint="eastAsia"/>
                <w:bCs/>
                <w:sz w:val="24"/>
                <w:lang w:eastAsia="zh-CN"/>
              </w:rPr>
              <w:t>（</w:t>
            </w:r>
            <w:r>
              <w:rPr>
                <w:rFonts w:hint="eastAsia"/>
                <w:bCs/>
                <w:sz w:val="24"/>
                <w:lang w:val="en-US" w:eastAsia="zh-CN"/>
              </w:rPr>
              <w:t>3</w:t>
            </w:r>
            <w:r>
              <w:rPr>
                <w:rFonts w:hint="eastAsia"/>
                <w:bCs/>
                <w:sz w:val="24"/>
                <w:lang w:eastAsia="zh-CN"/>
              </w:rPr>
              <w:t>）</w:t>
            </w:r>
            <w:r>
              <w:rPr>
                <w:rFonts w:hint="eastAsia"/>
                <w:bCs/>
                <w:sz w:val="24"/>
              </w:rPr>
              <w:t>车辆冲洗废水</w:t>
            </w:r>
          </w:p>
          <w:p>
            <w:pPr>
              <w:spacing w:line="420" w:lineRule="exact"/>
              <w:ind w:firstLine="480" w:firstLineChars="200"/>
              <w:jc w:val="left"/>
              <w:rPr>
                <w:bCs/>
                <w:sz w:val="24"/>
              </w:rPr>
            </w:pPr>
            <w:r>
              <w:rPr>
                <w:rFonts w:hint="eastAsia"/>
                <w:bCs/>
                <w:sz w:val="24"/>
                <w:lang w:val="en-US" w:eastAsia="zh-CN"/>
              </w:rPr>
              <w:t>项目</w:t>
            </w:r>
            <w:r>
              <w:rPr>
                <w:bCs/>
                <w:sz w:val="24"/>
              </w:rPr>
              <w:t>原材料及成品的运进驶出会使车辆轮胎不同程度的沾染灰尘，为防止运货车辆带尘出厂，评价提出在厂区出</w:t>
            </w:r>
            <w:r>
              <w:rPr>
                <w:rFonts w:hint="eastAsia"/>
                <w:bCs/>
                <w:sz w:val="24"/>
              </w:rPr>
              <w:t>入</w:t>
            </w:r>
            <w:r>
              <w:rPr>
                <w:bCs/>
                <w:sz w:val="24"/>
              </w:rPr>
              <w:t>口处</w:t>
            </w:r>
            <w:r>
              <w:rPr>
                <w:rFonts w:hint="eastAsia"/>
                <w:bCs/>
                <w:sz w:val="24"/>
              </w:rPr>
              <w:t>安装车辆自动冲洗装置</w:t>
            </w:r>
            <w:r>
              <w:rPr>
                <w:bCs/>
                <w:sz w:val="24"/>
              </w:rPr>
              <w:t>对出厂车辆轮胎进行冲洗，项目营运期出厂车辆约为</w:t>
            </w:r>
            <w:r>
              <w:rPr>
                <w:rFonts w:hint="eastAsia"/>
                <w:bCs/>
                <w:sz w:val="24"/>
              </w:rPr>
              <w:t>200</w:t>
            </w:r>
            <w:r>
              <w:rPr>
                <w:bCs/>
                <w:sz w:val="24"/>
              </w:rPr>
              <w:t>辆次/日，消耗量按每驶出一辆车20L水计，则</w:t>
            </w:r>
            <w:r>
              <w:rPr>
                <w:rFonts w:hint="eastAsia"/>
                <w:bCs/>
                <w:sz w:val="24"/>
              </w:rPr>
              <w:t>该部分</w:t>
            </w:r>
            <w:r>
              <w:rPr>
                <w:bCs/>
                <w:sz w:val="24"/>
              </w:rPr>
              <w:t>清洗池新鲜水补充量约为</w:t>
            </w:r>
            <w:r>
              <w:rPr>
                <w:rFonts w:hint="eastAsia"/>
                <w:bCs/>
                <w:sz w:val="24"/>
                <w:lang w:val="en-US" w:eastAsia="zh-CN"/>
              </w:rPr>
              <w:t>9</w:t>
            </w:r>
            <w:r>
              <w:rPr>
                <w:rFonts w:hint="eastAsia"/>
                <w:bCs/>
                <w:sz w:val="24"/>
              </w:rPr>
              <w:t>00</w:t>
            </w:r>
            <w:r>
              <w:rPr>
                <w:bCs/>
                <w:sz w:val="24"/>
              </w:rPr>
              <w:t>t/a</w:t>
            </w:r>
            <w:r>
              <w:rPr>
                <w:rFonts w:hint="eastAsia"/>
                <w:bCs/>
                <w:sz w:val="24"/>
                <w:lang w:eastAsia="zh-CN"/>
              </w:rPr>
              <w:t>（</w:t>
            </w:r>
            <w:r>
              <w:rPr>
                <w:rFonts w:hint="eastAsia"/>
                <w:bCs/>
                <w:sz w:val="24"/>
                <w:lang w:val="en-US" w:eastAsia="zh-CN"/>
              </w:rPr>
              <w:t>3t/d</w:t>
            </w:r>
            <w:r>
              <w:rPr>
                <w:rFonts w:hint="eastAsia"/>
                <w:bCs/>
                <w:sz w:val="24"/>
                <w:lang w:eastAsia="zh-CN"/>
              </w:rPr>
              <w:t>）</w:t>
            </w:r>
            <w:r>
              <w:rPr>
                <w:bCs/>
                <w:sz w:val="24"/>
              </w:rPr>
              <w:t>。评价提出：厂区内建设沉淀池一座，车辆冲洗废水排入沉淀池</w:t>
            </w:r>
            <w:r>
              <w:rPr>
                <w:rFonts w:hint="eastAsia"/>
                <w:bCs/>
                <w:sz w:val="24"/>
              </w:rPr>
              <w:t>（10</w:t>
            </w:r>
            <w:r>
              <w:rPr>
                <w:bCs/>
                <w:sz w:val="24"/>
              </w:rPr>
              <w:t>m</w:t>
            </w:r>
            <w:r>
              <w:rPr>
                <w:rFonts w:hint="eastAsia"/>
                <w:bCs/>
                <w:sz w:val="24"/>
                <w:vertAlign w:val="superscript"/>
              </w:rPr>
              <w:t>3</w:t>
            </w:r>
            <w:r>
              <w:rPr>
                <w:rFonts w:hint="eastAsia"/>
                <w:bCs/>
                <w:sz w:val="24"/>
              </w:rPr>
              <w:t>）</w:t>
            </w:r>
            <w:r>
              <w:rPr>
                <w:bCs/>
                <w:sz w:val="24"/>
              </w:rPr>
              <w:t>，经过沉淀池处理，沉淀池上清液循环使用，不外排。</w:t>
            </w:r>
          </w:p>
          <w:p>
            <w:pPr>
              <w:spacing w:line="420" w:lineRule="exact"/>
              <w:ind w:firstLine="480" w:firstLineChars="200"/>
              <w:jc w:val="left"/>
              <w:rPr>
                <w:bCs/>
                <w:sz w:val="24"/>
              </w:rPr>
            </w:pPr>
            <w:r>
              <w:rPr>
                <w:rFonts w:hint="eastAsia"/>
                <w:bCs/>
                <w:sz w:val="24"/>
                <w:lang w:eastAsia="zh-CN"/>
              </w:rPr>
              <w:t>（</w:t>
            </w:r>
            <w:r>
              <w:rPr>
                <w:rFonts w:hint="eastAsia"/>
                <w:bCs/>
                <w:sz w:val="24"/>
                <w:lang w:val="en-US" w:eastAsia="zh-CN"/>
              </w:rPr>
              <w:t>4</w:t>
            </w:r>
            <w:r>
              <w:rPr>
                <w:rFonts w:hint="eastAsia"/>
                <w:bCs/>
                <w:sz w:val="24"/>
                <w:lang w:eastAsia="zh-CN"/>
              </w:rPr>
              <w:t>）</w:t>
            </w:r>
            <w:r>
              <w:rPr>
                <w:bCs/>
                <w:sz w:val="24"/>
              </w:rPr>
              <w:t>喷雾洒水装置用水</w:t>
            </w:r>
          </w:p>
          <w:p>
            <w:pPr>
              <w:spacing w:line="420" w:lineRule="exact"/>
              <w:ind w:firstLine="480" w:firstLineChars="200"/>
              <w:jc w:val="left"/>
              <w:rPr>
                <w:rFonts w:hint="eastAsia" w:eastAsia="宋体"/>
                <w:bCs/>
                <w:sz w:val="24"/>
                <w:lang w:eastAsia="zh-CN"/>
              </w:rPr>
            </w:pPr>
            <w:r>
              <w:rPr>
                <w:bCs/>
                <w:sz w:val="24"/>
              </w:rPr>
              <w:t>本项目</w:t>
            </w:r>
            <w:r>
              <w:rPr>
                <w:rFonts w:hint="eastAsia"/>
                <w:bCs/>
                <w:sz w:val="24"/>
              </w:rPr>
              <w:t>原料储存库内、</w:t>
            </w:r>
            <w:r>
              <w:rPr>
                <w:bCs/>
                <w:sz w:val="24"/>
              </w:rPr>
              <w:t>车间内设置有喷雾洒水装置，该装置用水量为</w:t>
            </w:r>
            <w:r>
              <w:rPr>
                <w:rFonts w:hint="eastAsia"/>
                <w:bCs/>
                <w:sz w:val="24"/>
              </w:rPr>
              <w:t>5</w:t>
            </w:r>
            <w:r>
              <w:rPr>
                <w:bCs/>
                <w:sz w:val="24"/>
              </w:rPr>
              <w:t>t/d</w:t>
            </w:r>
            <w:r>
              <w:rPr>
                <w:rFonts w:hint="eastAsia"/>
                <w:bCs/>
                <w:sz w:val="24"/>
              </w:rPr>
              <w:t>（1500t/a）</w:t>
            </w:r>
            <w:r>
              <w:rPr>
                <w:bCs/>
                <w:sz w:val="24"/>
              </w:rPr>
              <w:t>，该部分水主要以蒸发形态散失，不外排。</w:t>
            </w:r>
          </w:p>
          <w:p>
            <w:pPr>
              <w:spacing w:line="420" w:lineRule="exact"/>
              <w:ind w:firstLine="480" w:firstLineChars="200"/>
              <w:jc w:val="left"/>
              <w:rPr>
                <w:rFonts w:hint="eastAsia"/>
                <w:bCs/>
                <w:sz w:val="24"/>
                <w:lang w:val="en-US" w:eastAsia="zh-CN"/>
              </w:rPr>
            </w:pPr>
            <w:r>
              <w:rPr>
                <w:rFonts w:hint="eastAsia"/>
                <w:bCs/>
                <w:sz w:val="24"/>
                <w:lang w:val="en-US" w:eastAsia="zh-CN"/>
              </w:rPr>
              <w:t>（5）生活污水</w:t>
            </w:r>
          </w:p>
          <w:p>
            <w:pPr>
              <w:adjustRightInd w:val="0"/>
              <w:spacing w:line="440" w:lineRule="exact"/>
              <w:ind w:firstLine="480" w:firstLineChars="200"/>
              <w:rPr>
                <w:rFonts w:hint="eastAsia"/>
                <w:sz w:val="24"/>
              </w:rPr>
            </w:pPr>
            <w:r>
              <w:rPr>
                <w:rFonts w:hint="eastAsia"/>
                <w:bCs/>
                <w:sz w:val="24"/>
              </w:rPr>
              <w:t>本项目</w:t>
            </w:r>
            <w:r>
              <w:rPr>
                <w:bCs/>
                <w:sz w:val="24"/>
              </w:rPr>
              <w:t>生活污水量为</w:t>
            </w:r>
            <w:r>
              <w:rPr>
                <w:rFonts w:hint="eastAsia"/>
                <w:bCs/>
                <w:sz w:val="24"/>
              </w:rPr>
              <w:t>0.48</w:t>
            </w:r>
            <w:r>
              <w:rPr>
                <w:bCs/>
                <w:sz w:val="24"/>
              </w:rPr>
              <w:t>t/d（</w:t>
            </w:r>
            <w:r>
              <w:rPr>
                <w:rFonts w:hint="eastAsia"/>
                <w:bCs/>
                <w:sz w:val="24"/>
              </w:rPr>
              <w:t>144</w:t>
            </w:r>
            <w:r>
              <w:rPr>
                <w:bCs/>
                <w:sz w:val="24"/>
              </w:rPr>
              <w:t>t/a）</w:t>
            </w:r>
            <w:r>
              <w:rPr>
                <w:rFonts w:hint="eastAsia"/>
                <w:bCs/>
                <w:sz w:val="24"/>
              </w:rPr>
              <w:t>，生活污水水质为：</w:t>
            </w:r>
            <w:r>
              <w:rPr>
                <w:bCs/>
                <w:sz w:val="24"/>
              </w:rPr>
              <w:t>COD</w:t>
            </w:r>
            <w:r>
              <w:rPr>
                <w:rFonts w:hint="eastAsia"/>
                <w:bCs/>
                <w:sz w:val="24"/>
              </w:rPr>
              <w:t>300</w:t>
            </w:r>
            <w:r>
              <w:rPr>
                <w:bCs/>
                <w:sz w:val="24"/>
              </w:rPr>
              <w:t>mg/L、SS</w:t>
            </w:r>
            <w:r>
              <w:rPr>
                <w:rFonts w:hint="eastAsia"/>
                <w:bCs/>
                <w:sz w:val="24"/>
              </w:rPr>
              <w:t>25</w:t>
            </w:r>
            <w:r>
              <w:rPr>
                <w:bCs/>
                <w:sz w:val="24"/>
              </w:rPr>
              <w:t>0mg/L、</w:t>
            </w:r>
            <w:r>
              <w:rPr>
                <w:rFonts w:hint="eastAsia"/>
                <w:bCs/>
                <w:sz w:val="24"/>
              </w:rPr>
              <w:t>NH</w:t>
            </w:r>
            <w:r>
              <w:rPr>
                <w:rFonts w:hint="eastAsia"/>
                <w:bCs/>
                <w:sz w:val="24"/>
                <w:vertAlign w:val="subscript"/>
              </w:rPr>
              <w:t>3</w:t>
            </w:r>
            <w:r>
              <w:rPr>
                <w:rFonts w:hint="eastAsia"/>
                <w:bCs/>
                <w:sz w:val="24"/>
              </w:rPr>
              <w:t>-N</w:t>
            </w:r>
            <w:r>
              <w:rPr>
                <w:bCs/>
                <w:sz w:val="24"/>
              </w:rPr>
              <w:t>2</w:t>
            </w:r>
            <w:r>
              <w:rPr>
                <w:rFonts w:hint="eastAsia"/>
                <w:bCs/>
                <w:sz w:val="24"/>
              </w:rPr>
              <w:t>5</w:t>
            </w:r>
            <w:r>
              <w:rPr>
                <w:bCs/>
                <w:sz w:val="24"/>
              </w:rPr>
              <w:t>mg/L</w:t>
            </w:r>
            <w:r>
              <w:rPr>
                <w:rFonts w:hint="eastAsia"/>
                <w:bCs/>
                <w:sz w:val="24"/>
              </w:rPr>
              <w:t>、TP2</w:t>
            </w:r>
            <w:r>
              <w:rPr>
                <w:bCs/>
                <w:sz w:val="24"/>
              </w:rPr>
              <w:t>mg/L</w:t>
            </w:r>
            <w:r>
              <w:rPr>
                <w:rFonts w:hint="eastAsia"/>
                <w:bCs/>
                <w:sz w:val="24"/>
              </w:rPr>
              <w:t>、TN35</w:t>
            </w:r>
            <w:r>
              <w:rPr>
                <w:bCs/>
                <w:sz w:val="24"/>
              </w:rPr>
              <w:t>mg/L</w:t>
            </w:r>
            <w:r>
              <w:rPr>
                <w:rFonts w:hint="eastAsia"/>
                <w:bCs/>
                <w:sz w:val="24"/>
              </w:rPr>
              <w:t>，</w:t>
            </w:r>
            <w:r>
              <w:rPr>
                <w:rFonts w:hint="eastAsia"/>
                <w:color w:val="000000" w:themeColor="text1"/>
                <w:sz w:val="24"/>
                <w14:textFill>
                  <w14:solidFill>
                    <w14:schemeClr w14:val="tx1"/>
                  </w14:solidFill>
                </w14:textFill>
              </w:rPr>
              <w:t>经化粪池处理后废水水质为</w:t>
            </w:r>
            <w:r>
              <w:rPr>
                <w:color w:val="000000" w:themeColor="text1"/>
                <w:sz w:val="24"/>
                <w14:textFill>
                  <w14:solidFill>
                    <w14:schemeClr w14:val="tx1"/>
                  </w14:solidFill>
                </w14:textFill>
              </w:rPr>
              <w:t>COD</w:t>
            </w:r>
            <w:r>
              <w:rPr>
                <w:rFonts w:hint="eastAsia"/>
                <w:color w:val="000000" w:themeColor="text1"/>
                <w:sz w:val="24"/>
                <w14:textFill>
                  <w14:solidFill>
                    <w14:schemeClr w14:val="tx1"/>
                  </w14:solidFill>
                </w14:textFill>
              </w:rPr>
              <w:t>200</w:t>
            </w:r>
            <w:r>
              <w:rPr>
                <w:color w:val="000000" w:themeColor="text1"/>
                <w:sz w:val="24"/>
                <w14:textFill>
                  <w14:solidFill>
                    <w14:schemeClr w14:val="tx1"/>
                  </w14:solidFill>
                </w14:textFill>
              </w:rPr>
              <w:t>mg/L、SS</w:t>
            </w:r>
            <w:r>
              <w:rPr>
                <w:rFonts w:hint="eastAsia"/>
                <w:color w:val="000000" w:themeColor="text1"/>
                <w:sz w:val="24"/>
                <w14:textFill>
                  <w14:solidFill>
                    <w14:schemeClr w14:val="tx1"/>
                  </w14:solidFill>
                </w14:textFill>
              </w:rPr>
              <w:t>14</w:t>
            </w:r>
            <w:r>
              <w:rPr>
                <w:color w:val="000000" w:themeColor="text1"/>
                <w:sz w:val="24"/>
                <w14:textFill>
                  <w14:solidFill>
                    <w14:schemeClr w14:val="tx1"/>
                  </w14:solidFill>
                </w14:textFill>
              </w:rPr>
              <w:t>0mg/L、</w:t>
            </w:r>
            <w:r>
              <w:rPr>
                <w:rFonts w:hint="eastAsia"/>
                <w:color w:val="000000" w:themeColor="text1"/>
                <w:sz w:val="24"/>
                <w14:textFill>
                  <w14:solidFill>
                    <w14:schemeClr w14:val="tx1"/>
                  </w14:solidFill>
                </w14:textFill>
              </w:rPr>
              <w:t>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、TP2</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、TN35</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。生活污水经化粪池处理后定期清运，不外排。</w:t>
            </w:r>
          </w:p>
          <w:p>
            <w:pPr>
              <w:adjustRightInd w:val="0"/>
              <w:spacing w:line="440" w:lineRule="exact"/>
              <w:ind w:firstLine="480" w:firstLineChars="200"/>
              <w:rPr>
                <w:rFonts w:hint="eastAsia"/>
                <w:sz w:val="24"/>
              </w:rPr>
            </w:pPr>
          </w:p>
          <w:p>
            <w:pPr>
              <w:adjustRightInd w:val="0"/>
              <w:spacing w:line="240" w:lineRule="auto"/>
              <w:ind w:firstLine="480" w:firstLineChars="200"/>
              <w:rPr>
                <w:rFonts w:hint="eastAsia" w:eastAsia="宋体"/>
                <w:sz w:val="24"/>
                <w:lang w:eastAsia="zh-CN"/>
              </w:rPr>
            </w:pPr>
            <w:r>
              <w:rPr>
                <w:rFonts w:hint="eastAsia" w:eastAsia="宋体"/>
                <w:sz w:val="24"/>
                <w:lang w:eastAsia="zh-CN"/>
              </w:rPr>
              <w:br w:type="textWrapping"/>
            </w:r>
            <w:r>
              <w:rPr>
                <w:sz w:val="24"/>
              </w:rPr>
              <mc:AlternateContent>
                <mc:Choice Requires="wpg">
                  <w:drawing>
                    <wp:anchor distT="0" distB="0" distL="114300" distR="114300" simplePos="0" relativeHeight="251665408" behindDoc="0" locked="0" layoutInCell="1" allowOverlap="1">
                      <wp:simplePos x="0" y="0"/>
                      <wp:positionH relativeFrom="column">
                        <wp:posOffset>630555</wp:posOffset>
                      </wp:positionH>
                      <wp:positionV relativeFrom="paragraph">
                        <wp:posOffset>53340</wp:posOffset>
                      </wp:positionV>
                      <wp:extent cx="3946525" cy="3388995"/>
                      <wp:effectExtent l="0" t="0" r="16510" b="1905"/>
                      <wp:wrapNone/>
                      <wp:docPr id="64" name="组合 64"/>
                      <wp:cNvGraphicFramePr/>
                      <a:graphic xmlns:a="http://schemas.openxmlformats.org/drawingml/2006/main">
                        <a:graphicData uri="http://schemas.microsoft.com/office/word/2010/wordprocessingGroup">
                          <wpg:wgp>
                            <wpg:cNvGrpSpPr/>
                            <wpg:grpSpPr>
                              <a:xfrm>
                                <a:off x="0" y="0"/>
                                <a:ext cx="3946525" cy="3388995"/>
                                <a:chOff x="5939" y="481215"/>
                                <a:chExt cx="6215" cy="5337"/>
                              </a:xfrm>
                            </wpg:grpSpPr>
                            <wps:wsp>
                              <wps:cNvPr id="52" name="文本框 169"/>
                              <wps:cNvSpPr txBox="1"/>
                              <wps:spPr>
                                <a:xfrm>
                                  <a:off x="5939" y="483763"/>
                                  <a:ext cx="785" cy="420"/>
                                </a:xfrm>
                                <a:prstGeom prst="rect">
                                  <a:avLst/>
                                </a:prstGeom>
                                <a:noFill/>
                                <a:ln>
                                  <a:noFill/>
                                </a:ln>
                              </wps:spPr>
                              <wps:txbx>
                                <w:txbxContent>
                                  <w:p>
                                    <w:pPr>
                                      <w:rPr>
                                        <w:sz w:val="21"/>
                                        <w:szCs w:val="21"/>
                                      </w:rPr>
                                    </w:pPr>
                                    <w:r>
                                      <w:rPr>
                                        <w:rFonts w:hint="eastAsia"/>
                                        <w:sz w:val="21"/>
                                        <w:szCs w:val="21"/>
                                      </w:rPr>
                                      <w:t>新鲜水</w:t>
                                    </w:r>
                                  </w:p>
                                </w:txbxContent>
                              </wps:txbx>
                              <wps:bodyPr lIns="0" tIns="0" rIns="0" bIns="0" anchor="ctr" anchorCtr="0" upright="1"/>
                            </wps:wsp>
                            <wps:wsp>
                              <wps:cNvPr id="53" name="自选图形 170"/>
                              <wps:cNvCnPr/>
                              <wps:spPr>
                                <a:xfrm>
                                  <a:off x="6701" y="484022"/>
                                  <a:ext cx="898" cy="1"/>
                                </a:xfrm>
                                <a:prstGeom prst="straightConnector1">
                                  <a:avLst/>
                                </a:prstGeom>
                                <a:ln w="9525" cap="flat" cmpd="sng">
                                  <a:solidFill>
                                    <a:srgbClr val="000000"/>
                                  </a:solidFill>
                                  <a:prstDash val="solid"/>
                                  <a:headEnd type="none" w="med" len="med"/>
                                  <a:tailEnd type="triangle" w="med" len="med"/>
                                </a:ln>
                              </wps:spPr>
                              <wps:bodyPr/>
                            </wps:wsp>
                            <wps:wsp>
                              <wps:cNvPr id="54" name="自选图形 171"/>
                              <wps:cNvCnPr/>
                              <wps:spPr>
                                <a:xfrm>
                                  <a:off x="7572" y="481990"/>
                                  <a:ext cx="17" cy="4345"/>
                                </a:xfrm>
                                <a:prstGeom prst="straightConnector1">
                                  <a:avLst/>
                                </a:prstGeom>
                                <a:ln w="9525" cap="flat" cmpd="sng">
                                  <a:solidFill>
                                    <a:srgbClr val="000000"/>
                                  </a:solidFill>
                                  <a:prstDash val="solid"/>
                                  <a:headEnd type="none" w="med" len="med"/>
                                  <a:tailEnd type="none" w="med" len="med"/>
                                </a:ln>
                              </wps:spPr>
                              <wps:bodyPr/>
                            </wps:wsp>
                            <wps:wsp>
                              <wps:cNvPr id="60" name="文本框 177"/>
                              <wps:cNvSpPr txBox="1"/>
                              <wps:spPr>
                                <a:xfrm>
                                  <a:off x="11129" y="483028"/>
                                  <a:ext cx="820" cy="320"/>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沉淀池</w:t>
                                    </w:r>
                                  </w:p>
                                </w:txbxContent>
                              </wps:txbx>
                              <wps:bodyPr lIns="0" tIns="0" rIns="0" bIns="0" anchor="ctr" anchorCtr="0" upright="1"/>
                            </wps:wsp>
                            <wps:wsp>
                              <wps:cNvPr id="72" name="自选图形 189"/>
                              <wps:cNvCnPr/>
                              <wps:spPr>
                                <a:xfrm>
                                  <a:off x="7609" y="484228"/>
                                  <a:ext cx="1030" cy="0"/>
                                </a:xfrm>
                                <a:prstGeom prst="straightConnector1">
                                  <a:avLst/>
                                </a:prstGeom>
                                <a:ln w="9525" cap="flat" cmpd="sng">
                                  <a:solidFill>
                                    <a:srgbClr val="000000"/>
                                  </a:solidFill>
                                  <a:prstDash val="solid"/>
                                  <a:headEnd type="none" w="med" len="med"/>
                                  <a:tailEnd type="triangle" w="med" len="med"/>
                                </a:ln>
                              </wps:spPr>
                              <wps:bodyPr/>
                            </wps:wsp>
                            <wps:wsp>
                              <wps:cNvPr id="73" name="文本框 190"/>
                              <wps:cNvSpPr txBox="1"/>
                              <wps:spPr>
                                <a:xfrm>
                                  <a:off x="8649" y="484112"/>
                                  <a:ext cx="644" cy="335"/>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喷雾</w:t>
                                    </w:r>
                                  </w:p>
                                </w:txbxContent>
                              </wps:txbx>
                              <wps:bodyPr lIns="0" tIns="0" rIns="0" bIns="0" anchor="ctr" anchorCtr="0" upright="1"/>
                            </wps:wsp>
                            <wps:wsp>
                              <wps:cNvPr id="74" name="文本框 191"/>
                              <wps:cNvSpPr txBox="1"/>
                              <wps:spPr>
                                <a:xfrm>
                                  <a:off x="8099" y="483945"/>
                                  <a:ext cx="220" cy="320"/>
                                </a:xfrm>
                                <a:prstGeom prst="rect">
                                  <a:avLst/>
                                </a:prstGeom>
                                <a:noFill/>
                                <a:ln>
                                  <a:noFill/>
                                </a:ln>
                              </wps:spPr>
                              <wps:txbx>
                                <w:txbxContent>
                                  <w:p>
                                    <w:pPr>
                                      <w:rPr>
                                        <w:sz w:val="21"/>
                                        <w:szCs w:val="21"/>
                                      </w:rPr>
                                    </w:pPr>
                                    <w:r>
                                      <w:rPr>
                                        <w:rFonts w:hint="eastAsia"/>
                                        <w:sz w:val="21"/>
                                        <w:szCs w:val="21"/>
                                      </w:rPr>
                                      <w:t>5</w:t>
                                    </w:r>
                                  </w:p>
                                </w:txbxContent>
                              </wps:txbx>
                              <wps:bodyPr lIns="0" tIns="0" rIns="0" bIns="0" anchor="ctr" anchorCtr="0" upright="1"/>
                            </wps:wsp>
                            <wps:wsp>
                              <wps:cNvPr id="75" name="自选图形 192"/>
                              <wps:cNvCnPr/>
                              <wps:spPr>
                                <a:xfrm flipV="1">
                                  <a:off x="9060" y="483883"/>
                                  <a:ext cx="150" cy="250"/>
                                </a:xfrm>
                                <a:prstGeom prst="straightConnector1">
                                  <a:avLst/>
                                </a:prstGeom>
                                <a:ln w="9525" cap="flat" cmpd="sng">
                                  <a:solidFill>
                                    <a:srgbClr val="000000"/>
                                  </a:solidFill>
                                  <a:prstDash val="lgDash"/>
                                  <a:headEnd type="none" w="med" len="med"/>
                                  <a:tailEnd type="triangle" w="med" len="med"/>
                                </a:ln>
                              </wps:spPr>
                              <wps:bodyPr/>
                            </wps:wsp>
                            <wps:wsp>
                              <wps:cNvPr id="76" name="文本框 193"/>
                              <wps:cNvSpPr txBox="1"/>
                              <wps:spPr>
                                <a:xfrm>
                                  <a:off x="9180" y="483663"/>
                                  <a:ext cx="220" cy="320"/>
                                </a:xfrm>
                                <a:prstGeom prst="rect">
                                  <a:avLst/>
                                </a:prstGeom>
                                <a:noFill/>
                                <a:ln>
                                  <a:noFill/>
                                </a:ln>
                              </wps:spPr>
                              <wps:txbx>
                                <w:txbxContent>
                                  <w:p>
                                    <w:pPr>
                                      <w:rPr>
                                        <w:sz w:val="21"/>
                                        <w:szCs w:val="21"/>
                                      </w:rPr>
                                    </w:pPr>
                                    <w:r>
                                      <w:rPr>
                                        <w:rFonts w:hint="eastAsia"/>
                                        <w:sz w:val="21"/>
                                        <w:szCs w:val="21"/>
                                      </w:rPr>
                                      <w:t>5</w:t>
                                    </w:r>
                                  </w:p>
                                </w:txbxContent>
                              </wps:txbx>
                              <wps:bodyPr lIns="0" tIns="0" rIns="0" bIns="0" anchor="ctr" anchorCtr="0" upright="1"/>
                            </wps:wsp>
                            <wps:wsp>
                              <wps:cNvPr id="77" name="自选图形 194"/>
                              <wps:cNvCnPr/>
                              <wps:spPr>
                                <a:xfrm>
                                  <a:off x="7619" y="485069"/>
                                  <a:ext cx="1030" cy="0"/>
                                </a:xfrm>
                                <a:prstGeom prst="straightConnector1">
                                  <a:avLst/>
                                </a:prstGeom>
                                <a:ln w="9525" cap="flat" cmpd="sng">
                                  <a:solidFill>
                                    <a:srgbClr val="000000"/>
                                  </a:solidFill>
                                  <a:prstDash val="solid"/>
                                  <a:headEnd type="none" w="med" len="med"/>
                                  <a:tailEnd type="triangle" w="med" len="med"/>
                                </a:ln>
                              </wps:spPr>
                              <wps:bodyPr/>
                            </wps:wsp>
                            <wps:wsp>
                              <wps:cNvPr id="78" name="文本框 195"/>
                              <wps:cNvSpPr txBox="1"/>
                              <wps:spPr>
                                <a:xfrm>
                                  <a:off x="8670" y="484921"/>
                                  <a:ext cx="1164" cy="335"/>
                                </a:xfrm>
                                <a:prstGeom prst="rect">
                                  <a:avLst/>
                                </a:prstGeom>
                                <a:noFill/>
                                <a:ln w="9525" cap="flat" cmpd="sng">
                                  <a:solidFill>
                                    <a:srgbClr val="000000"/>
                                  </a:solidFill>
                                  <a:prstDash val="solid"/>
                                  <a:miter/>
                                  <a:headEnd type="none" w="med" len="med"/>
                                  <a:tailEnd type="none" w="med" len="med"/>
                                </a:ln>
                              </wps:spPr>
                              <wps:txbx>
                                <w:txbxContent>
                                  <w:p>
                                    <w:pPr>
                                      <w:ind w:firstLine="210" w:firstLineChars="100"/>
                                      <w:rPr>
                                        <w:sz w:val="21"/>
                                        <w:szCs w:val="21"/>
                                      </w:rPr>
                                    </w:pPr>
                                    <w:r>
                                      <w:rPr>
                                        <w:rFonts w:hint="eastAsia"/>
                                        <w:sz w:val="21"/>
                                        <w:szCs w:val="21"/>
                                      </w:rPr>
                                      <w:t>车辆冲洗</w:t>
                                    </w:r>
                                  </w:p>
                                </w:txbxContent>
                              </wps:txbx>
                              <wps:bodyPr lIns="0" tIns="0" rIns="0" bIns="0" anchor="ctr" anchorCtr="0" upright="1"/>
                            </wps:wsp>
                            <wps:wsp>
                              <wps:cNvPr id="79" name="自选图形 196"/>
                              <wps:cNvCnPr>
                                <a:endCxn id="80" idx="1"/>
                              </wps:cNvCnPr>
                              <wps:spPr>
                                <a:xfrm>
                                  <a:off x="9865" y="485106"/>
                                  <a:ext cx="805" cy="2"/>
                                </a:xfrm>
                                <a:prstGeom prst="straightConnector1">
                                  <a:avLst/>
                                </a:prstGeom>
                                <a:ln w="9525" cap="flat" cmpd="sng">
                                  <a:solidFill>
                                    <a:srgbClr val="000000"/>
                                  </a:solidFill>
                                  <a:prstDash val="solid"/>
                                  <a:headEnd type="none" w="med" len="med"/>
                                  <a:tailEnd type="triangle" w="med" len="med"/>
                                </a:ln>
                              </wps:spPr>
                              <wps:bodyPr/>
                            </wps:wsp>
                            <wps:wsp>
                              <wps:cNvPr id="80" name="文本框 197"/>
                              <wps:cNvSpPr txBox="1"/>
                              <wps:spPr>
                                <a:xfrm>
                                  <a:off x="10670" y="484940"/>
                                  <a:ext cx="830" cy="335"/>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沉淀池</w:t>
                                    </w:r>
                                  </w:p>
                                </w:txbxContent>
                              </wps:txbx>
                              <wps:bodyPr lIns="0" tIns="0" rIns="0" bIns="0" anchor="ctr" anchorCtr="0" upright="1"/>
                            </wps:wsp>
                            <wps:wsp>
                              <wps:cNvPr id="84" name="文本框 201"/>
                              <wps:cNvSpPr txBox="1"/>
                              <wps:spPr>
                                <a:xfrm>
                                  <a:off x="8054" y="484804"/>
                                  <a:ext cx="474" cy="30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0.6</w:t>
                                    </w:r>
                                  </w:p>
                                </w:txbxContent>
                              </wps:txbx>
                              <wps:bodyPr lIns="0" tIns="0" rIns="0" bIns="0" anchor="ctr" anchorCtr="0" upright="1"/>
                            </wps:wsp>
                            <wps:wsp>
                              <wps:cNvPr id="85" name="文本框 202"/>
                              <wps:cNvSpPr txBox="1"/>
                              <wps:spPr>
                                <a:xfrm>
                                  <a:off x="10086" y="484798"/>
                                  <a:ext cx="399" cy="30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3.6</w:t>
                                    </w:r>
                                  </w:p>
                                </w:txbxContent>
                              </wps:txbx>
                              <wps:bodyPr lIns="0" tIns="0" rIns="0" bIns="0" anchor="ctr" anchorCtr="0" upright="1"/>
                            </wps:wsp>
                            <wps:wsp>
                              <wps:cNvPr id="87" name="自选图形 204"/>
                              <wps:cNvCnPr/>
                              <wps:spPr>
                                <a:xfrm flipV="1">
                                  <a:off x="8849" y="484674"/>
                                  <a:ext cx="150" cy="250"/>
                                </a:xfrm>
                                <a:prstGeom prst="straightConnector1">
                                  <a:avLst/>
                                </a:prstGeom>
                                <a:ln w="9525" cap="flat" cmpd="sng">
                                  <a:solidFill>
                                    <a:srgbClr val="000000"/>
                                  </a:solidFill>
                                  <a:prstDash val="lgDash"/>
                                  <a:headEnd type="none" w="med" len="med"/>
                                  <a:tailEnd type="triangle" w="med" len="med"/>
                                </a:ln>
                              </wps:spPr>
                              <wps:bodyPr/>
                            </wps:wsp>
                            <wps:wsp>
                              <wps:cNvPr id="88" name="文本框 205"/>
                              <wps:cNvSpPr txBox="1"/>
                              <wps:spPr>
                                <a:xfrm>
                                  <a:off x="9007" y="484456"/>
                                  <a:ext cx="324" cy="30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0.6</w:t>
                                    </w:r>
                                  </w:p>
                                </w:txbxContent>
                              </wps:txbx>
                              <wps:bodyPr lIns="0" tIns="0" rIns="0" bIns="0" anchor="ctr" anchorCtr="0" upright="1"/>
                            </wps:wsp>
                            <wps:wsp>
                              <wps:cNvPr id="89" name="自选图形 206"/>
                              <wps:cNvCnPr/>
                              <wps:spPr>
                                <a:xfrm>
                                  <a:off x="7589" y="486335"/>
                                  <a:ext cx="1030" cy="0"/>
                                </a:xfrm>
                                <a:prstGeom prst="straightConnector1">
                                  <a:avLst/>
                                </a:prstGeom>
                                <a:ln w="9525" cap="flat" cmpd="sng">
                                  <a:solidFill>
                                    <a:srgbClr val="000000"/>
                                  </a:solidFill>
                                  <a:prstDash val="solid"/>
                                  <a:headEnd type="none" w="med" len="med"/>
                                  <a:tailEnd type="triangle" w="med" len="med"/>
                                </a:ln>
                              </wps:spPr>
                              <wps:bodyPr/>
                            </wps:wsp>
                            <wps:wsp>
                              <wps:cNvPr id="90" name="文本框 207"/>
                              <wps:cNvSpPr txBox="1"/>
                              <wps:spPr>
                                <a:xfrm>
                                  <a:off x="8629" y="486205"/>
                                  <a:ext cx="955" cy="320"/>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生活用水</w:t>
                                    </w:r>
                                  </w:p>
                                </w:txbxContent>
                              </wps:txbx>
                              <wps:bodyPr lIns="0" tIns="0" rIns="0" bIns="0" anchor="ctr" anchorCtr="0" upright="1"/>
                            </wps:wsp>
                            <wps:wsp>
                              <wps:cNvPr id="92" name="文本框 209"/>
                              <wps:cNvSpPr txBox="1"/>
                              <wps:spPr>
                                <a:xfrm>
                                  <a:off x="10632" y="486192"/>
                                  <a:ext cx="1000" cy="360"/>
                                </a:xfrm>
                                <a:prstGeom prst="rect">
                                  <a:avLst/>
                                </a:prstGeom>
                                <a:noFill/>
                                <a:ln>
                                  <a:noFill/>
                                </a:ln>
                              </wps:spPr>
                              <wps:txbx>
                                <w:txbxContent>
                                  <w:p>
                                    <w:pPr>
                                      <w:rPr>
                                        <w:sz w:val="21"/>
                                        <w:szCs w:val="21"/>
                                      </w:rPr>
                                    </w:pPr>
                                    <w:r>
                                      <w:rPr>
                                        <w:rFonts w:hint="eastAsia"/>
                                        <w:sz w:val="21"/>
                                        <w:szCs w:val="21"/>
                                      </w:rPr>
                                      <w:t>定期清运</w:t>
                                    </w:r>
                                  </w:p>
                                </w:txbxContent>
                              </wps:txbx>
                              <wps:bodyPr lIns="0" tIns="0" rIns="0" bIns="0" anchor="ctr" anchorCtr="0" upright="1"/>
                            </wps:wsp>
                            <wps:wsp>
                              <wps:cNvPr id="93" name="文本框 210"/>
                              <wps:cNvSpPr txBox="1"/>
                              <wps:spPr>
                                <a:xfrm>
                                  <a:off x="8009" y="486054"/>
                                  <a:ext cx="300" cy="320"/>
                                </a:xfrm>
                                <a:prstGeom prst="rect">
                                  <a:avLst/>
                                </a:prstGeom>
                                <a:noFill/>
                                <a:ln>
                                  <a:noFill/>
                                </a:ln>
                              </wps:spPr>
                              <wps:txbx>
                                <w:txbxContent>
                                  <w:p>
                                    <w:pPr>
                                      <w:rPr>
                                        <w:sz w:val="21"/>
                                        <w:szCs w:val="21"/>
                                      </w:rPr>
                                    </w:pPr>
                                    <w:r>
                                      <w:rPr>
                                        <w:rFonts w:hint="eastAsia"/>
                                        <w:sz w:val="21"/>
                                        <w:szCs w:val="21"/>
                                      </w:rPr>
                                      <w:t>0.6</w:t>
                                    </w:r>
                                  </w:p>
                                </w:txbxContent>
                              </wps:txbx>
                              <wps:bodyPr lIns="0" tIns="0" rIns="0" bIns="0" anchor="ctr" anchorCtr="0" upright="1"/>
                            </wps:wsp>
                            <wps:wsp>
                              <wps:cNvPr id="94" name="文本框 211"/>
                              <wps:cNvSpPr txBox="1"/>
                              <wps:spPr>
                                <a:xfrm>
                                  <a:off x="9729" y="486094"/>
                                  <a:ext cx="390" cy="320"/>
                                </a:xfrm>
                                <a:prstGeom prst="rect">
                                  <a:avLst/>
                                </a:prstGeom>
                                <a:noFill/>
                                <a:ln>
                                  <a:noFill/>
                                </a:ln>
                              </wps:spPr>
                              <wps:txbx>
                                <w:txbxContent>
                                  <w:p>
                                    <w:pPr>
                                      <w:rPr>
                                        <w:sz w:val="21"/>
                                        <w:szCs w:val="21"/>
                                      </w:rPr>
                                    </w:pPr>
                                    <w:r>
                                      <w:rPr>
                                        <w:rFonts w:hint="eastAsia"/>
                                        <w:sz w:val="21"/>
                                        <w:szCs w:val="21"/>
                                      </w:rPr>
                                      <w:t>0.48</w:t>
                                    </w:r>
                                  </w:p>
                                </w:txbxContent>
                              </wps:txbx>
                              <wps:bodyPr lIns="0" tIns="0" rIns="0" bIns="0" anchor="ctr" anchorCtr="0" upright="1"/>
                            </wps:wsp>
                            <wps:wsp>
                              <wps:cNvPr id="95" name="自选图形 212"/>
                              <wps:cNvCnPr/>
                              <wps:spPr>
                                <a:xfrm flipV="1">
                                  <a:off x="9009" y="485949"/>
                                  <a:ext cx="150" cy="250"/>
                                </a:xfrm>
                                <a:prstGeom prst="straightConnector1">
                                  <a:avLst/>
                                </a:prstGeom>
                                <a:ln w="9525" cap="flat" cmpd="sng">
                                  <a:solidFill>
                                    <a:srgbClr val="000000"/>
                                  </a:solidFill>
                                  <a:prstDash val="lgDash"/>
                                  <a:headEnd type="none" w="med" len="med"/>
                                  <a:tailEnd type="triangle" w="med" len="med"/>
                                </a:ln>
                              </wps:spPr>
                              <wps:bodyPr/>
                            </wps:wsp>
                            <wps:wsp>
                              <wps:cNvPr id="96" name="文本框 213"/>
                              <wps:cNvSpPr txBox="1"/>
                              <wps:spPr>
                                <a:xfrm>
                                  <a:off x="9194" y="485759"/>
                                  <a:ext cx="390" cy="320"/>
                                </a:xfrm>
                                <a:prstGeom prst="rect">
                                  <a:avLst/>
                                </a:prstGeom>
                                <a:noFill/>
                                <a:ln>
                                  <a:noFill/>
                                </a:ln>
                              </wps:spPr>
                              <wps:txbx>
                                <w:txbxContent>
                                  <w:p>
                                    <w:pPr>
                                      <w:rPr>
                                        <w:sz w:val="21"/>
                                        <w:szCs w:val="21"/>
                                      </w:rPr>
                                    </w:pPr>
                                    <w:r>
                                      <w:rPr>
                                        <w:rFonts w:hint="eastAsia"/>
                                        <w:sz w:val="21"/>
                                        <w:szCs w:val="21"/>
                                      </w:rPr>
                                      <w:t>0.12</w:t>
                                    </w:r>
                                  </w:p>
                                </w:txbxContent>
                              </wps:txbx>
                              <wps:bodyPr lIns="0" tIns="0" rIns="0" bIns="0" anchor="ctr" anchorCtr="0" upright="1"/>
                            </wps:wsp>
                            <wps:wsp>
                              <wps:cNvPr id="97" name="文本框 214"/>
                              <wps:cNvSpPr txBox="1"/>
                              <wps:spPr>
                                <a:xfrm>
                                  <a:off x="6784" y="483683"/>
                                  <a:ext cx="774" cy="27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252.8</w:t>
                                    </w:r>
                                  </w:p>
                                </w:txbxContent>
                              </wps:txbx>
                              <wps:bodyPr lIns="0" tIns="0" rIns="0" bIns="0" anchor="ctr" anchorCtr="0" upright="1"/>
                            </wps:wsp>
                            <wps:wsp>
                              <wps:cNvPr id="98" name="自选图形 215"/>
                              <wps:cNvCnPr/>
                              <wps:spPr>
                                <a:xfrm>
                                  <a:off x="7609" y="483213"/>
                                  <a:ext cx="380" cy="0"/>
                                </a:xfrm>
                                <a:prstGeom prst="straightConnector1">
                                  <a:avLst/>
                                </a:prstGeom>
                                <a:ln w="9525" cap="flat" cmpd="sng">
                                  <a:solidFill>
                                    <a:srgbClr val="000000"/>
                                  </a:solidFill>
                                  <a:prstDash val="solid"/>
                                  <a:headEnd type="none" w="med" len="med"/>
                                  <a:tailEnd type="triangle" w="med" len="med"/>
                                </a:ln>
                              </wps:spPr>
                              <wps:bodyPr/>
                            </wps:wsp>
                            <wps:wsp>
                              <wps:cNvPr id="99" name="文本框 216"/>
                              <wps:cNvSpPr txBox="1"/>
                              <wps:spPr>
                                <a:xfrm>
                                  <a:off x="7965" y="483060"/>
                                  <a:ext cx="1154" cy="365"/>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设备冲洗水</w:t>
                                    </w:r>
                                  </w:p>
                                </w:txbxContent>
                              </wps:txbx>
                              <wps:bodyPr lIns="0" tIns="0" rIns="0" bIns="0" anchor="ctr" anchorCtr="0" upright="1"/>
                            </wps:wsp>
                            <wps:wsp>
                              <wps:cNvPr id="100" name="自选图形 217"/>
                              <wps:cNvCnPr/>
                              <wps:spPr>
                                <a:xfrm flipV="1">
                                  <a:off x="9128" y="483212"/>
                                  <a:ext cx="423" cy="1"/>
                                </a:xfrm>
                                <a:prstGeom prst="straightConnector1">
                                  <a:avLst/>
                                </a:prstGeom>
                                <a:ln w="9525" cap="flat" cmpd="sng">
                                  <a:solidFill>
                                    <a:srgbClr val="000000"/>
                                  </a:solidFill>
                                  <a:prstDash val="solid"/>
                                  <a:headEnd type="none" w="med" len="med"/>
                                  <a:tailEnd type="triangle" w="med" len="med"/>
                                </a:ln>
                              </wps:spPr>
                              <wps:bodyPr/>
                            </wps:wsp>
                            <wps:wsp>
                              <wps:cNvPr id="101" name="文本框 218"/>
                              <wps:cNvSpPr txBox="1"/>
                              <wps:spPr>
                                <a:xfrm>
                                  <a:off x="9549" y="483039"/>
                                  <a:ext cx="1079" cy="320"/>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砂石分离机</w:t>
                                    </w:r>
                                  </w:p>
                                </w:txbxContent>
                              </wps:txbx>
                              <wps:bodyPr lIns="0" tIns="0" rIns="0" bIns="0" anchor="ctr" anchorCtr="0" upright="1"/>
                            </wps:wsp>
                            <wps:wsp>
                              <wps:cNvPr id="102" name="文本框 219"/>
                              <wps:cNvSpPr txBox="1"/>
                              <wps:spPr>
                                <a:xfrm>
                                  <a:off x="7714" y="482938"/>
                                  <a:ext cx="186" cy="320"/>
                                </a:xfrm>
                                <a:prstGeom prst="rect">
                                  <a:avLst/>
                                </a:prstGeom>
                                <a:noFill/>
                                <a:ln>
                                  <a:noFill/>
                                </a:ln>
                              </wps:spPr>
                              <wps:txbx>
                                <w:txbxContent>
                                  <w:p>
                                    <w:pPr>
                                      <w:rPr>
                                        <w:rFonts w:hint="eastAsia" w:eastAsia="宋体"/>
                                        <w:sz w:val="21"/>
                                        <w:szCs w:val="21"/>
                                        <w:lang w:val="en-US" w:eastAsia="zh-CN"/>
                                      </w:rPr>
                                    </w:pPr>
                                    <w:r>
                                      <w:rPr>
                                        <w:rFonts w:hint="eastAsia"/>
                                        <w:sz w:val="21"/>
                                        <w:szCs w:val="21"/>
                                        <w:lang w:val="en-US" w:eastAsia="zh-CN"/>
                                      </w:rPr>
                                      <w:t>3</w:t>
                                    </w:r>
                                  </w:p>
                                </w:txbxContent>
                              </wps:txbx>
                              <wps:bodyPr lIns="0" tIns="0" rIns="0" bIns="0" anchor="ctr" anchorCtr="0" upright="1"/>
                            </wps:wsp>
                            <wps:wsp>
                              <wps:cNvPr id="103" name="文本框 220"/>
                              <wps:cNvSpPr txBox="1"/>
                              <wps:spPr>
                                <a:xfrm>
                                  <a:off x="9206" y="482832"/>
                                  <a:ext cx="328" cy="33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2.4</w:t>
                                    </w:r>
                                  </w:p>
                                </w:txbxContent>
                              </wps:txbx>
                              <wps:bodyPr lIns="0" tIns="0" rIns="0" bIns="0" anchor="ctr" anchorCtr="0" upright="1"/>
                            </wps:wsp>
                            <wps:wsp>
                              <wps:cNvPr id="114" name="自选图形 174"/>
                              <wps:cNvCnPr/>
                              <wps:spPr>
                                <a:xfrm>
                                  <a:off x="7569" y="482018"/>
                                  <a:ext cx="600" cy="0"/>
                                </a:xfrm>
                                <a:prstGeom prst="straightConnector1">
                                  <a:avLst/>
                                </a:prstGeom>
                                <a:ln w="9525" cap="flat" cmpd="sng">
                                  <a:solidFill>
                                    <a:srgbClr val="000000"/>
                                  </a:solidFill>
                                  <a:prstDash val="solid"/>
                                  <a:headEnd type="none" w="med" len="med"/>
                                  <a:tailEnd type="triangle" w="med" len="med"/>
                                </a:ln>
                              </wps:spPr>
                              <wps:bodyPr/>
                            </wps:wsp>
                            <wps:wsp>
                              <wps:cNvPr id="115" name="文本框 216"/>
                              <wps:cNvSpPr txBox="1"/>
                              <wps:spPr>
                                <a:xfrm>
                                  <a:off x="8169" y="481845"/>
                                  <a:ext cx="1109" cy="395"/>
                                </a:xfrm>
                                <a:prstGeom prst="rect">
                                  <a:avLst/>
                                </a:prstGeom>
                                <a:no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sz w:val="21"/>
                                        <w:szCs w:val="21"/>
                                        <w:lang w:val="en-US" w:eastAsia="zh-CN"/>
                                      </w:rPr>
                                      <w:t>搅拌机拌料</w:t>
                                    </w:r>
                                  </w:p>
                                </w:txbxContent>
                              </wps:txbx>
                              <wps:bodyPr lIns="0" tIns="0" rIns="0" bIns="0" anchor="ctr" anchorCtr="0" upright="1"/>
                            </wps:wsp>
                            <wps:wsp>
                              <wps:cNvPr id="116" name="自选图形 174"/>
                              <wps:cNvCnPr/>
                              <wps:spPr>
                                <a:xfrm>
                                  <a:off x="9309" y="482033"/>
                                  <a:ext cx="510" cy="0"/>
                                </a:xfrm>
                                <a:prstGeom prst="straightConnector1">
                                  <a:avLst/>
                                </a:prstGeom>
                                <a:ln w="9525" cap="flat" cmpd="sng">
                                  <a:solidFill>
                                    <a:srgbClr val="000000"/>
                                  </a:solidFill>
                                  <a:prstDash val="solid"/>
                                  <a:headEnd type="none" w="med" len="med"/>
                                  <a:tailEnd type="triangle" w="med" len="med"/>
                                </a:ln>
                              </wps:spPr>
                              <wps:bodyPr/>
                            </wps:wsp>
                            <wps:wsp>
                              <wps:cNvPr id="117" name="文本框 169"/>
                              <wps:cNvSpPr txBox="1"/>
                              <wps:spPr>
                                <a:xfrm>
                                  <a:off x="9637" y="481867"/>
                                  <a:ext cx="844" cy="360"/>
                                </a:xfrm>
                                <a:prstGeom prst="rect">
                                  <a:avLst/>
                                </a:prstGeom>
                                <a:noFill/>
                                <a:ln>
                                  <a:noFill/>
                                </a:ln>
                              </wps:spPr>
                              <wps:txbx>
                                <w:txbxContent>
                                  <w:p>
                                    <w:pPr>
                                      <w:ind w:firstLine="210" w:firstLineChars="100"/>
                                      <w:rPr>
                                        <w:rFonts w:hint="eastAsia" w:eastAsia="宋体"/>
                                        <w:sz w:val="21"/>
                                        <w:szCs w:val="21"/>
                                        <w:lang w:val="en-US" w:eastAsia="zh-CN"/>
                                      </w:rPr>
                                    </w:pPr>
                                    <w:r>
                                      <w:rPr>
                                        <w:rFonts w:hint="eastAsia"/>
                                        <w:sz w:val="21"/>
                                        <w:szCs w:val="21"/>
                                        <w:lang w:val="en-US" w:eastAsia="zh-CN"/>
                                      </w:rPr>
                                      <w:t>产品</w:t>
                                    </w:r>
                                  </w:p>
                                </w:txbxContent>
                              </wps:txbx>
                              <wps:bodyPr lIns="0" tIns="0" rIns="0" bIns="0" anchor="ctr" anchorCtr="0" upright="1"/>
                            </wps:wsp>
                            <wps:wsp>
                              <wps:cNvPr id="118" name="文本框 188"/>
                              <wps:cNvSpPr txBox="1"/>
                              <wps:spPr>
                                <a:xfrm>
                                  <a:off x="7600" y="481620"/>
                                  <a:ext cx="510" cy="320"/>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243.6</w:t>
                                    </w:r>
                                  </w:p>
                                </w:txbxContent>
                              </wps:txbx>
                              <wps:bodyPr lIns="0" tIns="0" rIns="0" bIns="0" anchor="ctr" anchorCtr="0" upright="1"/>
                            </wps:wsp>
                            <wps:wsp>
                              <wps:cNvPr id="119" name="自选图形 174"/>
                              <wps:cNvCnPr/>
                              <wps:spPr>
                                <a:xfrm>
                                  <a:off x="10629" y="483218"/>
                                  <a:ext cx="470" cy="0"/>
                                </a:xfrm>
                                <a:prstGeom prst="straightConnector1">
                                  <a:avLst/>
                                </a:prstGeom>
                                <a:ln w="9525" cap="flat" cmpd="sng">
                                  <a:solidFill>
                                    <a:srgbClr val="000000"/>
                                  </a:solidFill>
                                  <a:prstDash val="solid"/>
                                  <a:headEnd type="none" w="med" len="med"/>
                                  <a:tailEnd type="triangle" w="med" len="med"/>
                                </a:ln>
                              </wps:spPr>
                              <wps:bodyPr/>
                            </wps:wsp>
                            <wps:wsp>
                              <wps:cNvPr id="120" name="自选图形 204"/>
                              <wps:cNvCnPr/>
                              <wps:spPr>
                                <a:xfrm flipV="1">
                                  <a:off x="8564" y="482817"/>
                                  <a:ext cx="150" cy="250"/>
                                </a:xfrm>
                                <a:prstGeom prst="straightConnector1">
                                  <a:avLst/>
                                </a:prstGeom>
                                <a:ln w="9525" cap="flat" cmpd="sng">
                                  <a:solidFill>
                                    <a:srgbClr val="000000"/>
                                  </a:solidFill>
                                  <a:prstDash val="lgDash"/>
                                  <a:headEnd type="none" w="med" len="med"/>
                                  <a:tailEnd type="triangle" w="med" len="med"/>
                                </a:ln>
                              </wps:spPr>
                              <wps:bodyPr/>
                            </wps:wsp>
                            <wps:wsp>
                              <wps:cNvPr id="121" name="文本框 220"/>
                              <wps:cNvSpPr txBox="1"/>
                              <wps:spPr>
                                <a:xfrm>
                                  <a:off x="8591" y="482487"/>
                                  <a:ext cx="507" cy="334"/>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0.6</w:t>
                                    </w:r>
                                  </w:p>
                                </w:txbxContent>
                              </wps:txbx>
                              <wps:bodyPr lIns="0" tIns="0" rIns="0" bIns="0" anchor="ctr" anchorCtr="0" upright="1"/>
                            </wps:wsp>
                            <wps:wsp>
                              <wps:cNvPr id="122" name="文本框 220"/>
                              <wps:cNvSpPr txBox="1"/>
                              <wps:spPr>
                                <a:xfrm>
                                  <a:off x="10706" y="482832"/>
                                  <a:ext cx="357" cy="275"/>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2.4</w:t>
                                    </w:r>
                                  </w:p>
                                </w:txbxContent>
                              </wps:txbx>
                              <wps:bodyPr lIns="0" tIns="0" rIns="0" bIns="0" anchor="ctr" anchorCtr="0" upright="1"/>
                            </wps:wsp>
                            <wps:wsp>
                              <wps:cNvPr id="126" name="自选图形 206"/>
                              <wps:cNvCnPr/>
                              <wps:spPr>
                                <a:xfrm flipV="1">
                                  <a:off x="9593" y="486380"/>
                                  <a:ext cx="946" cy="7"/>
                                </a:xfrm>
                                <a:prstGeom prst="straightConnector1">
                                  <a:avLst/>
                                </a:prstGeom>
                                <a:ln w="9525" cap="flat" cmpd="sng">
                                  <a:solidFill>
                                    <a:srgbClr val="000000"/>
                                  </a:solidFill>
                                  <a:prstDash val="solid"/>
                                  <a:headEnd type="none" w="med" len="med"/>
                                  <a:tailEnd type="triangle" w="med" len="med"/>
                                </a:ln>
                              </wps:spPr>
                              <wps:bodyPr/>
                            </wps:wsp>
                            <wps:wsp>
                              <wps:cNvPr id="125" name="文本框 188"/>
                              <wps:cNvSpPr txBox="1"/>
                              <wps:spPr>
                                <a:xfrm>
                                  <a:off x="9310" y="481635"/>
                                  <a:ext cx="510" cy="320"/>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246</w:t>
                                    </w:r>
                                  </w:p>
                                </w:txbxContent>
                              </wps:txbx>
                              <wps:bodyPr lIns="0" tIns="0" rIns="0" bIns="0" anchor="ctr" anchorCtr="0" upright="1"/>
                            </wps:wsp>
                            <wps:wsp>
                              <wps:cNvPr id="61" name="文本框 202"/>
                              <wps:cNvSpPr txBox="1"/>
                              <wps:spPr>
                                <a:xfrm>
                                  <a:off x="11691" y="484783"/>
                                  <a:ext cx="370" cy="260"/>
                                </a:xfrm>
                                <a:prstGeom prst="rect">
                                  <a:avLst/>
                                </a:prstGeom>
                                <a:noFill/>
                                <a:ln>
                                  <a:noFill/>
                                </a:ln>
                              </wps:spPr>
                              <wps:txbx>
                                <w:txbxContent>
                                  <w:p>
                                    <w:pPr>
                                      <w:rPr>
                                        <w:sz w:val="21"/>
                                        <w:szCs w:val="21"/>
                                      </w:rPr>
                                    </w:pPr>
                                    <w:r>
                                      <w:rPr>
                                        <w:rFonts w:hint="eastAsia"/>
                                        <w:sz w:val="21"/>
                                        <w:szCs w:val="21"/>
                                        <w:lang w:val="en-US" w:eastAsia="zh-CN"/>
                                      </w:rPr>
                                      <w:t>3.6的</w:t>
                                    </w:r>
                                    <w:r>
                                      <w:rPr>
                                        <w:rFonts w:hint="eastAsia"/>
                                        <w:sz w:val="21"/>
                                        <w:szCs w:val="21"/>
                                      </w:rPr>
                                      <w:t>3</w:t>
                                    </w:r>
                                  </w:p>
                                </w:txbxContent>
                              </wps:txbx>
                              <wps:bodyPr lIns="0" tIns="0" rIns="0" bIns="0" anchor="ctr" anchorCtr="0" upright="1"/>
                            </wps:wsp>
                            <wps:wsp>
                              <wps:cNvPr id="66" name="自选图形 174"/>
                              <wps:cNvCnPr/>
                              <wps:spPr>
                                <a:xfrm>
                                  <a:off x="8761" y="481548"/>
                                  <a:ext cx="4" cy="312"/>
                                </a:xfrm>
                                <a:prstGeom prst="straightConnector1">
                                  <a:avLst/>
                                </a:prstGeom>
                                <a:ln w="9525" cap="flat" cmpd="sng">
                                  <a:solidFill>
                                    <a:srgbClr val="000000"/>
                                  </a:solidFill>
                                  <a:prstDash val="solid"/>
                                  <a:headEnd type="none" w="med" len="med"/>
                                  <a:tailEnd type="triangle" w="med" len="med"/>
                                </a:ln>
                              </wps:spPr>
                              <wps:bodyPr/>
                            </wps:wsp>
                            <wps:wsp>
                              <wps:cNvPr id="67" name="文本框 188"/>
                              <wps:cNvSpPr txBox="1"/>
                              <wps:spPr>
                                <a:xfrm>
                                  <a:off x="9005" y="481215"/>
                                  <a:ext cx="405" cy="320"/>
                                </a:xfrm>
                                <a:prstGeom prst="rect">
                                  <a:avLst/>
                                </a:prstGeom>
                                <a:noFill/>
                                <a:ln>
                                  <a:noFill/>
                                </a:ln>
                              </wps:spPr>
                              <wps:txbx>
                                <w:txbxContent>
                                  <w:p>
                                    <w:pPr>
                                      <w:rPr>
                                        <w:rFonts w:hint="default" w:eastAsia="宋体"/>
                                        <w:sz w:val="21"/>
                                        <w:szCs w:val="21"/>
                                        <w:lang w:val="en-US" w:eastAsia="zh-CN"/>
                                      </w:rPr>
                                    </w:pPr>
                                    <w:r>
                                      <w:rPr>
                                        <w:rFonts w:hint="eastAsia"/>
                                        <w:sz w:val="21"/>
                                        <w:szCs w:val="21"/>
                                        <w:lang w:val="en-US" w:eastAsia="zh-CN"/>
                                      </w:rPr>
                                      <w:t>2.4</w:t>
                                    </w:r>
                                  </w:p>
                                </w:txbxContent>
                              </wps:txbx>
                              <wps:bodyPr lIns="0" tIns="0" rIns="0" bIns="0" anchor="ctr" anchorCtr="0" upright="1"/>
                            </wps:wsp>
                            <wps:wsp>
                              <wps:cNvPr id="28" name="任意多边形 28"/>
                              <wps:cNvSpPr/>
                              <wps:spPr>
                                <a:xfrm>
                                  <a:off x="9618" y="484603"/>
                                  <a:ext cx="2536" cy="531"/>
                                </a:xfrm>
                                <a:custGeom>
                                  <a:avLst/>
                                  <a:gdLst>
                                    <a:gd name="connisteX0" fmla="*/ 1212215 w 1610360"/>
                                    <a:gd name="connsiteY0" fmla="*/ 337185 h 337185"/>
                                    <a:gd name="connisteX1" fmla="*/ 1610360 w 1610360"/>
                                    <a:gd name="connsiteY1" fmla="*/ 337185 h 337185"/>
                                    <a:gd name="connisteX2" fmla="*/ 1610360 w 1610360"/>
                                    <a:gd name="connsiteY2" fmla="*/ 0 h 337185"/>
                                    <a:gd name="connisteX3" fmla="*/ 8255 w 1610360"/>
                                    <a:gd name="connsiteY3" fmla="*/ 0 h 337185"/>
                                    <a:gd name="connisteX4" fmla="*/ 8255 w 1610360"/>
                                    <a:gd name="connsiteY4" fmla="*/ 190500 h 337185"/>
                                    <a:gd name="connisteX5" fmla="*/ 0 w 1610360"/>
                                    <a:gd name="connsiteY5" fmla="*/ 190500 h 33718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610360" h="337185">
                                      <a:moveTo>
                                        <a:pt x="1212215" y="337185"/>
                                      </a:moveTo>
                                      <a:lnTo>
                                        <a:pt x="1610360" y="337185"/>
                                      </a:lnTo>
                                      <a:lnTo>
                                        <a:pt x="1610360" y="0"/>
                                      </a:lnTo>
                                      <a:lnTo>
                                        <a:pt x="8255" y="0"/>
                                      </a:lnTo>
                                      <a:lnTo>
                                        <a:pt x="8255" y="190500"/>
                                      </a:lnTo>
                                      <a:lnTo>
                                        <a:pt x="0" y="190500"/>
                                      </a:lnTo>
                                    </a:path>
                                  </a:pathLst>
                                </a:custGeom>
                                <a:ln>
                                  <a:tailEnd type="triangle"/>
                                </a:ln>
                              </wps:spPr>
                              <wps:style>
                                <a:lnRef idx="1">
                                  <a:schemeClr val="dk1"/>
                                </a:lnRef>
                                <a:fillRef idx="0">
                                  <a:schemeClr val="dk1"/>
                                </a:fillRef>
                                <a:effectRef idx="0">
                                  <a:schemeClr val="dk1"/>
                                </a:effectRef>
                                <a:fontRef idx="minor">
                                  <a:schemeClr val="tx1"/>
                                </a:fontRef>
                              </wps:style>
                              <wps:bodyPr/>
                            </wps:wsp>
                            <wps:wsp>
                              <wps:cNvPr id="57" name="文本框 202"/>
                              <wps:cNvSpPr txBox="1"/>
                              <wps:spPr>
                                <a:xfrm>
                                  <a:off x="9714" y="484333"/>
                                  <a:ext cx="370" cy="260"/>
                                </a:xfrm>
                                <a:prstGeom prst="rect">
                                  <a:avLst/>
                                </a:prstGeom>
                                <a:noFill/>
                                <a:ln>
                                  <a:noFill/>
                                </a:ln>
                              </wps:spPr>
                              <wps:txbx>
                                <w:txbxContent>
                                  <w:p>
                                    <w:pPr>
                                      <w:rPr>
                                        <w:sz w:val="21"/>
                                        <w:szCs w:val="21"/>
                                      </w:rPr>
                                    </w:pPr>
                                    <w:r>
                                      <w:rPr>
                                        <w:rFonts w:hint="eastAsia"/>
                                        <w:sz w:val="21"/>
                                        <w:szCs w:val="21"/>
                                        <w:lang w:val="en-US" w:eastAsia="zh-CN"/>
                                      </w:rPr>
                                      <w:t>3.6的</w:t>
                                    </w:r>
                                    <w:r>
                                      <w:rPr>
                                        <w:rFonts w:hint="eastAsia"/>
                                        <w:sz w:val="21"/>
                                        <w:szCs w:val="21"/>
                                      </w:rPr>
                                      <w:t>3</w:t>
                                    </w:r>
                                  </w:p>
                                </w:txbxContent>
                              </wps:txbx>
                              <wps:bodyPr lIns="0" tIns="0" rIns="0" bIns="0" anchor="ctr" anchorCtr="0" upright="1"/>
                            </wps:wsp>
                            <wps:wsp>
                              <wps:cNvPr id="63" name="任意多边形 63"/>
                              <wps:cNvSpPr/>
                              <wps:spPr>
                                <a:xfrm>
                                  <a:off x="8753" y="481532"/>
                                  <a:ext cx="2089" cy="503"/>
                                </a:xfrm>
                                <a:custGeom>
                                  <a:avLst/>
                                  <a:gdLst>
                                    <a:gd name="connisteX0" fmla="*/ 1007110 w 1326515"/>
                                    <a:gd name="connsiteY0" fmla="*/ 319405 h 319405"/>
                                    <a:gd name="connisteX1" fmla="*/ 1326515 w 1326515"/>
                                    <a:gd name="connsiteY1" fmla="*/ 319405 h 319405"/>
                                    <a:gd name="connisteX2" fmla="*/ 1326515 w 1326515"/>
                                    <a:gd name="connsiteY2" fmla="*/ 0 h 319405"/>
                                    <a:gd name="connisteX3" fmla="*/ 0 w 1326515"/>
                                    <a:gd name="connsiteY3" fmla="*/ 0 h 319405"/>
                                  </a:gdLst>
                                  <a:ahLst/>
                                  <a:cxnLst>
                                    <a:cxn ang="0">
                                      <a:pos x="connisteX0" y="connsiteY0"/>
                                    </a:cxn>
                                    <a:cxn ang="0">
                                      <a:pos x="connisteX1" y="connsiteY1"/>
                                    </a:cxn>
                                    <a:cxn ang="0">
                                      <a:pos x="connisteX2" y="connsiteY2"/>
                                    </a:cxn>
                                    <a:cxn ang="0">
                                      <a:pos x="connisteX3" y="connsiteY3"/>
                                    </a:cxn>
                                  </a:cxnLst>
                                  <a:rect l="l" t="t" r="r" b="b"/>
                                  <a:pathLst>
                                    <a:path w="1326515" h="319405">
                                      <a:moveTo>
                                        <a:pt x="1007110" y="319405"/>
                                      </a:moveTo>
                                      <a:lnTo>
                                        <a:pt x="1326515" y="319405"/>
                                      </a:lnTo>
                                      <a:lnTo>
                                        <a:pt x="1326515" y="0"/>
                                      </a:lnTo>
                                      <a:lnTo>
                                        <a:pt x="0" y="0"/>
                                      </a:lnTo>
                                    </a:path>
                                  </a:pathLst>
                                </a:custGeom>
                                <a:noFill/>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49.65pt;margin-top:4.2pt;height:266.85pt;width:310.75pt;z-index:251665408;mso-width-relative:page;mso-height-relative:page;" coordorigin="5939,481215" coordsize="6215,5337" o:gfxdata="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">
                      <o:lock v:ext="edit" aspectratio="f"/>
                      <v:shape id="文本框 169" o:spid="_x0000_s1026" o:spt="202" type="#_x0000_t202" style="position:absolute;left:5939;top:483763;height:420;width:785;v-text-anchor:middle;" filled="f" stroked="f" coordsize="21600,21600" o:gfxdata="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4RLPq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sz w:val="21"/>
                                  <w:szCs w:val="21"/>
                                </w:rPr>
                              </w:pPr>
                              <w:r>
                                <w:rPr>
                                  <w:rFonts w:hint="eastAsia"/>
                                  <w:sz w:val="21"/>
                                  <w:szCs w:val="21"/>
                                </w:rPr>
                                <w:t>新鲜水</w:t>
                              </w:r>
                            </w:p>
                          </w:txbxContent>
                        </v:textbox>
                      </v:shape>
                      <v:shape id="自选图形 170" o:spid="_x0000_s1026" o:spt="32" type="#_x0000_t32" style="position:absolute;left:6701;top:484022;height:1;width:898;"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1" o:spid="_x0000_s1026" o:spt="32" type="#_x0000_t32" style="position:absolute;left:7572;top:481990;height:4345;width:17;" filled="f" stroked="t" coordsize="21600,21600" o:gfxdata="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Wmj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文本框 177" o:spid="_x0000_s1026" o:spt="202" type="#_x0000_t202" style="position:absolute;left:11129;top:483028;height:320;width:820;v-text-anchor:middle;" filled="f" stroked="t" coordsize="21600,21600" o:gfxdata="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61I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rPr>
                                  <w:sz w:val="21"/>
                                  <w:szCs w:val="21"/>
                                </w:rPr>
                              </w:pPr>
                              <w:r>
                                <w:rPr>
                                  <w:rFonts w:hint="eastAsia"/>
                                  <w:sz w:val="21"/>
                                  <w:szCs w:val="21"/>
                                </w:rPr>
                                <w:t>沉淀池</w:t>
                              </w:r>
                            </w:p>
                          </w:txbxContent>
                        </v:textbox>
                      </v:shape>
                      <v:shape id="自选图形 189" o:spid="_x0000_s1026" o:spt="32" type="#_x0000_t32" style="position:absolute;left:7609;top:484228;height:0;width:1030;" filled="f" stroked="t" coordsize="21600,21600" o:gfxdata="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3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90" o:spid="_x0000_s1026" o:spt="202" type="#_x0000_t202" style="position:absolute;left:8649;top:484112;height:335;width:644;v-text-anchor:middle;" filled="f" stroked="t" coordsize="21600,21600" o:gfxdata="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W9i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rPr>
                                  <w:sz w:val="21"/>
                                  <w:szCs w:val="21"/>
                                </w:rPr>
                              </w:pPr>
                              <w:r>
                                <w:rPr>
                                  <w:rFonts w:hint="eastAsia"/>
                                  <w:sz w:val="21"/>
                                  <w:szCs w:val="21"/>
                                </w:rPr>
                                <w:t>喷雾</w:t>
                              </w:r>
                            </w:p>
                          </w:txbxContent>
                        </v:textbox>
                      </v:shape>
                      <v:shape id="文本框 191" o:spid="_x0000_s1026" o:spt="202" type="#_x0000_t202" style="position:absolute;left:8099;top:483945;height:320;width:220;v-text-anchor:middle;" filled="f" stroked="f" coordsize="21600,21600" o:gfxdata="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FN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1"/>
                                  <w:szCs w:val="21"/>
                                </w:rPr>
                              </w:pPr>
                              <w:r>
                                <w:rPr>
                                  <w:rFonts w:hint="eastAsia"/>
                                  <w:sz w:val="21"/>
                                  <w:szCs w:val="21"/>
                                </w:rPr>
                                <w:t>5</w:t>
                              </w:r>
                            </w:p>
                          </w:txbxContent>
                        </v:textbox>
                      </v:shape>
                      <v:shape id="自选图形 192" o:spid="_x0000_s1026" o:spt="32" type="#_x0000_t32" style="position:absolute;left:9060;top:483883;flip:y;height:250;width:150;" filled="f" stroked="t" coordsize="21600,21600" o:gfxdata="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u91G&#10;wAAAANsAAAAPAAAAAAAAAAEAIAAAACIAAABkcnMvZG93bnJldi54bWxQSwECFAAUAAAACACHTuJA&#10;My8FnjsAAAA5AAAAEAAAAAAAAAABACAAAAAPAQAAZHJzL3NoYXBleG1sLnhtbFBLBQYAAAAABgAG&#10;AFsBAAC5AwAAAAA=&#10;">
                        <v:fill on="f" focussize="0,0"/>
                        <v:stroke color="#000000" joinstyle="round" dashstyle="longDash" endarrow="block"/>
                        <v:imagedata o:title=""/>
                        <o:lock v:ext="edit" aspectratio="f"/>
                      </v:shape>
                      <v:shape id="文本框 193" o:spid="_x0000_s1026" o:spt="202" type="#_x0000_t202" style="position:absolute;left:9180;top:483663;height:320;width:220;v-text-anchor:middle;" filled="f" stroked="f" coordsize="21600,21600" o:gfxdata="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fdp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sz w:val="21"/>
                                  <w:szCs w:val="21"/>
                                </w:rPr>
                              </w:pPr>
                              <w:r>
                                <w:rPr>
                                  <w:rFonts w:hint="eastAsia"/>
                                  <w:sz w:val="21"/>
                                  <w:szCs w:val="21"/>
                                </w:rPr>
                                <w:t>5</w:t>
                              </w:r>
                            </w:p>
                          </w:txbxContent>
                        </v:textbox>
                      </v:shape>
                      <v:shape id="自选图形 194" o:spid="_x0000_s1026" o:spt="32" type="#_x0000_t32" style="position:absolute;left:7619;top:485069;height:0;width:1030;" filled="f" stroked="t" coordsize="21600,21600" o:gfxdata="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qUL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95" o:spid="_x0000_s1026" o:spt="202" type="#_x0000_t202" style="position:absolute;left:8670;top:484921;height:335;width:1164;v-text-anchor:middle;" filled="f" stroked="t" coordsize="21600,21600" o:gfxdata="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Ev+r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ind w:firstLine="210" w:firstLineChars="100"/>
                                <w:rPr>
                                  <w:sz w:val="21"/>
                                  <w:szCs w:val="21"/>
                                </w:rPr>
                              </w:pPr>
                              <w:r>
                                <w:rPr>
                                  <w:rFonts w:hint="eastAsia"/>
                                  <w:sz w:val="21"/>
                                  <w:szCs w:val="21"/>
                                </w:rPr>
                                <w:t>车辆冲洗</w:t>
                              </w:r>
                            </w:p>
                          </w:txbxContent>
                        </v:textbox>
                      </v:shape>
                      <v:shape id="自选图形 196" o:spid="_x0000_s1026" o:spt="32" type="#_x0000_t32" style="position:absolute;left:9865;top:485106;height:2;width:805;"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97" o:spid="_x0000_s1026" o:spt="202" type="#_x0000_t202" style="position:absolute;left:10670;top:484940;height:335;width:830;v-text-anchor:middle;" filled="f" stroked="t" coordsize="21600,21600" o:gfxdata="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JT27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rPr>
                                  <w:sz w:val="21"/>
                                  <w:szCs w:val="21"/>
                                </w:rPr>
                              </w:pPr>
                              <w:r>
                                <w:rPr>
                                  <w:rFonts w:hint="eastAsia"/>
                                  <w:sz w:val="21"/>
                                  <w:szCs w:val="21"/>
                                </w:rPr>
                                <w:t>沉淀池</w:t>
                              </w:r>
                            </w:p>
                          </w:txbxContent>
                        </v:textbox>
                      </v:shape>
                      <v:shape id="文本框 201" o:spid="_x0000_s1026" o:spt="202" type="#_x0000_t202" style="position:absolute;left:8054;top:484804;height:305;width:474;v-text-anchor:middle;" filled="f" stroked="f" coordsize="21600,21600" o:gfxdata="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PV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0.6</w:t>
                              </w:r>
                            </w:p>
                          </w:txbxContent>
                        </v:textbox>
                      </v:shape>
                      <v:shape id="文本框 202" o:spid="_x0000_s1026" o:spt="202" type="#_x0000_t202" style="position:absolute;left:10086;top:484798;height:305;width:399;v-text-anchor:middle;" filled="f" stroked="f" coordsize="21600,21600" o:gfxdata="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mM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3.6</w:t>
                              </w:r>
                            </w:p>
                          </w:txbxContent>
                        </v:textbox>
                      </v:shape>
                      <v:shape id="自选图形 204" o:spid="_x0000_s1026" o:spt="32" type="#_x0000_t32" style="position:absolute;left:8849;top:484674;flip:y;height:250;width:150;" filled="f" stroked="t" coordsize="21600,21600" o:gfxdata="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wlo2/&#10;AAAA2wAAAA8AAAAAAAAAAQAgAAAAIgAAAGRycy9kb3ducmV2LnhtbFBLAQIUABQAAAAIAIdO4kAz&#10;LwWeOwAAADkAAAAQAAAAAAAAAAEAIAAAAA4BAABkcnMvc2hhcGV4bWwueG1sUEsFBgAAAAAGAAYA&#10;WwEAALgDAAAAAA==&#10;">
                        <v:fill on="f" focussize="0,0"/>
                        <v:stroke color="#000000" joinstyle="round" dashstyle="longDash" endarrow="block"/>
                        <v:imagedata o:title=""/>
                        <o:lock v:ext="edit" aspectratio="f"/>
                      </v:shape>
                      <v:shape id="文本框 205" o:spid="_x0000_s1026" o:spt="202" type="#_x0000_t202" style="position:absolute;left:9007;top:484456;height:305;width:324;v-text-anchor:middle;" filled="f" stroked="f" coordsize="21600,21600" o:gfxdata="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GZN1e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0.6</w:t>
                              </w:r>
                            </w:p>
                          </w:txbxContent>
                        </v:textbox>
                      </v:shape>
                      <v:shape id="自选图形 206" o:spid="_x0000_s1026" o:spt="32" type="#_x0000_t32" style="position:absolute;left:7589;top:486335;height:0;width:1030;" filled="f" stroked="t" coordsize="21600,21600" o:gfxdata="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zV4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207" o:spid="_x0000_s1026" o:spt="202" type="#_x0000_t202" style="position:absolute;left:8629;top:486205;height:320;width:955;v-text-anchor:middle;" filled="f" stroked="t" coordsize="21600,21600" o:gfxdata="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vFBr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mm,0mm,0mm,0mm">
                          <w:txbxContent>
                            <w:p>
                              <w:pPr>
                                <w:rPr>
                                  <w:sz w:val="21"/>
                                  <w:szCs w:val="21"/>
                                </w:rPr>
                              </w:pPr>
                              <w:r>
                                <w:rPr>
                                  <w:rFonts w:hint="eastAsia"/>
                                  <w:sz w:val="21"/>
                                  <w:szCs w:val="21"/>
                                </w:rPr>
                                <w:t>生活用水</w:t>
                              </w:r>
                            </w:p>
                          </w:txbxContent>
                        </v:textbox>
                      </v:shape>
                      <v:shape id="文本框 209" o:spid="_x0000_s1026" o:spt="202" type="#_x0000_t202" style="position:absolute;left:10632;top:486192;height:360;width:1000;v-text-anchor:middle;" filled="f" stroked="f" coordsize="21600,21600" o:gfxdata="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WolmC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sz w:val="21"/>
                                  <w:szCs w:val="21"/>
                                </w:rPr>
                              </w:pPr>
                              <w:r>
                                <w:rPr>
                                  <w:rFonts w:hint="eastAsia"/>
                                  <w:sz w:val="21"/>
                                  <w:szCs w:val="21"/>
                                </w:rPr>
                                <w:t>定期清运</w:t>
                              </w:r>
                            </w:p>
                          </w:txbxContent>
                        </v:textbox>
                      </v:shape>
                      <v:shape id="文本框 210" o:spid="_x0000_s1026" o:spt="202" type="#_x0000_t202" style="position:absolute;left:8009;top:486054;height:320;width:300;v-text-anchor:middle;" filled="f" stroked="f" coordsize="21600,21600" o:gfxdata="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Qz+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1"/>
                                  <w:szCs w:val="21"/>
                                </w:rPr>
                              </w:pPr>
                              <w:r>
                                <w:rPr>
                                  <w:rFonts w:hint="eastAsia"/>
                                  <w:sz w:val="21"/>
                                  <w:szCs w:val="21"/>
                                </w:rPr>
                                <w:t>0.6</w:t>
                              </w:r>
                            </w:p>
                          </w:txbxContent>
                        </v:textbox>
                      </v:shape>
                      <v:shape id="文本框 211" o:spid="_x0000_s1026" o:spt="202" type="#_x0000_t202" style="position:absolute;left:9729;top:486094;height:320;width:390;v-text-anchor:middle;" filled="f" stroked="f" coordsize="21600,21600" o:gfxdata="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2rj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1"/>
                                  <w:szCs w:val="21"/>
                                </w:rPr>
                              </w:pPr>
                              <w:r>
                                <w:rPr>
                                  <w:rFonts w:hint="eastAsia"/>
                                  <w:sz w:val="21"/>
                                  <w:szCs w:val="21"/>
                                </w:rPr>
                                <w:t>0.48</w:t>
                              </w:r>
                            </w:p>
                          </w:txbxContent>
                        </v:textbox>
                      </v:shape>
                      <v:shape id="自选图形 212" o:spid="_x0000_s1026" o:spt="32" type="#_x0000_t32" style="position:absolute;left:9009;top:485949;flip:y;height:250;width:150;" filled="f" stroked="t" coordsize="21600,21600" o:gfxdata="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c7vL4A&#10;AADbAAAADwAAAAAAAAABACAAAAAiAAAAZHJzL2Rvd25yZXYueG1sUEsBAhQAFAAAAAgAh07iQDMv&#10;BZ47AAAAOQAAABAAAAAAAAAAAQAgAAAADQEAAGRycy9zaGFwZXhtbC54bWxQSwUGAAAAAAYABgBb&#10;AQAAtwMAAAAA&#10;">
                        <v:fill on="f" focussize="0,0"/>
                        <v:stroke color="#000000" joinstyle="round" dashstyle="longDash" endarrow="block"/>
                        <v:imagedata o:title=""/>
                        <o:lock v:ext="edit" aspectratio="f"/>
                      </v:shape>
                      <v:shape id="文本框 213" o:spid="_x0000_s1026" o:spt="202" type="#_x0000_t202" style="position:absolute;left:9194;top:485759;height:320;width:390;v-text-anchor:middle;" filled="f" stroked="f" coordsize="21600,21600" o:gfxdata="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TkG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sz w:val="21"/>
                                  <w:szCs w:val="21"/>
                                </w:rPr>
                              </w:pPr>
                              <w:r>
                                <w:rPr>
                                  <w:rFonts w:hint="eastAsia"/>
                                  <w:sz w:val="21"/>
                                  <w:szCs w:val="21"/>
                                </w:rPr>
                                <w:t>0.12</w:t>
                              </w:r>
                            </w:p>
                          </w:txbxContent>
                        </v:textbox>
                      </v:shape>
                      <v:shape id="文本框 214" o:spid="_x0000_s1026" o:spt="202" type="#_x0000_t202" style="position:absolute;left:6784;top:483683;height:275;width:774;v-text-anchor:middle;" filled="f" stroked="f" coordsize="21600,21600" o:gfxdata="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81+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252.8</w:t>
                              </w:r>
                            </w:p>
                          </w:txbxContent>
                        </v:textbox>
                      </v:shape>
                      <v:shape id="自选图形 215" o:spid="_x0000_s1026" o:spt="32" type="#_x0000_t32" style="position:absolute;left:7609;top:483213;height:0;width:380;" filled="f" stroked="t" coordsize="21600,21600" o:gfxdata="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Keam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文本框 216" o:spid="_x0000_s1026" o:spt="202" type="#_x0000_t202" style="position:absolute;left:7965;top:483060;height:365;width:1154;v-text-anchor:middle;" filled="f" stroked="t" coordsize="21600,21600" o:gfxdata="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Fsm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rPr>
                                  <w:sz w:val="21"/>
                                  <w:szCs w:val="21"/>
                                </w:rPr>
                              </w:pPr>
                              <w:r>
                                <w:rPr>
                                  <w:rFonts w:hint="eastAsia"/>
                                  <w:sz w:val="21"/>
                                  <w:szCs w:val="21"/>
                                </w:rPr>
                                <w:t>设备冲洗水</w:t>
                              </w:r>
                            </w:p>
                          </w:txbxContent>
                        </v:textbox>
                      </v:shape>
                      <v:shape id="自选图形 217" o:spid="_x0000_s1026" o:spt="32" type="#_x0000_t32" style="position:absolute;left:9128;top:483212;flip:y;height:1;width:423;" filled="f" stroked="t" coordsize="21600,21600" o:gfxdata="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Bf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218" o:spid="_x0000_s1026" o:spt="202" type="#_x0000_t202" style="position:absolute;left:9549;top:483039;height:320;width:1079;v-text-anchor:middle;" filled="f" stroked="t" coordsize="21600,21600" o:gfxdata="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sya2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rPr>
                                  <w:sz w:val="21"/>
                                  <w:szCs w:val="21"/>
                                </w:rPr>
                              </w:pPr>
                              <w:r>
                                <w:rPr>
                                  <w:rFonts w:hint="eastAsia"/>
                                  <w:sz w:val="21"/>
                                  <w:szCs w:val="21"/>
                                </w:rPr>
                                <w:t>砂石分离机</w:t>
                              </w:r>
                            </w:p>
                          </w:txbxContent>
                        </v:textbox>
                      </v:shape>
                      <v:shape id="文本框 219" o:spid="_x0000_s1026" o:spt="202" type="#_x0000_t202" style="position:absolute;left:7714;top:482938;height:320;width:186;v-text-anchor:middle;" filled="f" stroked="f" coordsize="21600,21600" o:gfxdata="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DWvW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rPr>
                                  <w:rFonts w:hint="eastAsia" w:eastAsia="宋体"/>
                                  <w:sz w:val="21"/>
                                  <w:szCs w:val="21"/>
                                  <w:lang w:val="en-US" w:eastAsia="zh-CN"/>
                                </w:rPr>
                              </w:pPr>
                              <w:r>
                                <w:rPr>
                                  <w:rFonts w:hint="eastAsia"/>
                                  <w:sz w:val="21"/>
                                  <w:szCs w:val="21"/>
                                  <w:lang w:val="en-US" w:eastAsia="zh-CN"/>
                                </w:rPr>
                                <w:t>3</w:t>
                              </w:r>
                            </w:p>
                          </w:txbxContent>
                        </v:textbox>
                      </v:shape>
                      <v:shape id="文本框 220" o:spid="_x0000_s1026" o:spt="202" type="#_x0000_t202" style="position:absolute;left:9206;top:482832;height:335;width:328;v-text-anchor:middle;" filled="f" stroked="f" coordsize="21600,21600" o:gfxdata="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Bzk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2.4</w:t>
                              </w:r>
                            </w:p>
                          </w:txbxContent>
                        </v:textbox>
                      </v:shape>
                      <v:shape id="自选图形 174" o:spid="_x0000_s1026" o:spt="32" type="#_x0000_t32" style="position:absolute;left:7569;top:482018;height:0;width:600;" filled="f" stroked="t" coordsize="21600,21600" o:gfxdata="UEsDBAoAAAAAAIdO4kAAAAAAAAAAAAAAAAAEAAAAZHJzL1BLAwQUAAAACACHTuJAMJ5Z0bwAAADc&#10;AAAADwAAAGRycy9kb3ducmV2LnhtbEVPS2sCMRC+F/wPYYTeanal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Wd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216" o:spid="_x0000_s1026" o:spt="202" type="#_x0000_t202" style="position:absolute;left:8169;top:481845;height:395;width:1109;v-text-anchor:middle;" filled="f" stroked="t" coordsize="21600,21600" o:gfxdata="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OWXO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搅拌机拌料</w:t>
                              </w:r>
                            </w:p>
                          </w:txbxContent>
                        </v:textbox>
                      </v:shape>
                      <v:shape id="自选图形 174" o:spid="_x0000_s1026" o:spt="32" type="#_x0000_t32" style="position:absolute;left:9309;top:482033;height:0;width:510;" filled="f" stroked="t" coordsize="21600,21600" o:gfxdata="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AYj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69" o:spid="_x0000_s1026" o:spt="202" type="#_x0000_t202" style="position:absolute;left:9637;top:481867;height:360;width:844;v-text-anchor:middle;" filled="f" stroked="f" coordsize="21600,21600" o:gfxdata="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o16T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ind w:firstLine="210" w:firstLineChars="100"/>
                                <w:rPr>
                                  <w:rFonts w:hint="eastAsia" w:eastAsia="宋体"/>
                                  <w:sz w:val="21"/>
                                  <w:szCs w:val="21"/>
                                  <w:lang w:val="en-US" w:eastAsia="zh-CN"/>
                                </w:rPr>
                              </w:pPr>
                              <w:r>
                                <w:rPr>
                                  <w:rFonts w:hint="eastAsia"/>
                                  <w:sz w:val="21"/>
                                  <w:szCs w:val="21"/>
                                  <w:lang w:val="en-US" w:eastAsia="zh-CN"/>
                                </w:rPr>
                                <w:t>产品</w:t>
                              </w:r>
                            </w:p>
                          </w:txbxContent>
                        </v:textbox>
                      </v:shape>
                      <v:shape id="文本框 188" o:spid="_x0000_s1026" o:spt="202" type="#_x0000_t202" style="position:absolute;left:7600;top:481620;height:320;width:510;v-text-anchor:middle;" filled="f" stroked="f" coordsize="21600,21600" o:gfxdata="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Mr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243.6</w:t>
                              </w:r>
                            </w:p>
                          </w:txbxContent>
                        </v:textbox>
                      </v:shape>
                      <v:shape id="自选图形 174" o:spid="_x0000_s1026" o:spt="32" type="#_x0000_t32" style="position:absolute;left:10629;top:483218;height:0;width:470;" filled="f" stroked="t" coordsize="21600,21600" o:gfxdata="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f9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04" o:spid="_x0000_s1026" o:spt="32" type="#_x0000_t32" style="position:absolute;left:8564;top:482817;flip:y;height:250;width:150;" filled="f" stroked="t" coordsize="21600,21600" o:gfxdata="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sBB+&#10;wAAAANwAAAAPAAAAAAAAAAEAIAAAACIAAABkcnMvZG93bnJldi54bWxQSwECFAAUAAAACACHTuJA&#10;My8FnjsAAAA5AAAAEAAAAAAAAAABACAAAAAPAQAAZHJzL3NoYXBleG1sLnhtbFBLBQYAAAAABgAG&#10;AFsBAAC5AwAAAAA=&#10;">
                        <v:fill on="f" focussize="0,0"/>
                        <v:stroke color="#000000" joinstyle="round" dashstyle="longDash" endarrow="block"/>
                        <v:imagedata o:title=""/>
                        <o:lock v:ext="edit" aspectratio="f"/>
                      </v:shape>
                      <v:shape id="文本框 220" o:spid="_x0000_s1026" o:spt="202" type="#_x0000_t202" style="position:absolute;left:8591;top:482487;height:334;width:507;v-text-anchor:middle;" filled="f" stroked="f" coordsize="21600,21600" o:gfxdata="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9aqnB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0.6</w:t>
                              </w:r>
                            </w:p>
                          </w:txbxContent>
                        </v:textbox>
                      </v:shape>
                      <v:shape id="文本框 220" o:spid="_x0000_s1026" o:spt="202" type="#_x0000_t202" style="position:absolute;left:10706;top:482832;height:275;width:357;v-text-anchor:middle;" filled="f" stroked="f" coordsize="21600,21600" o:gfxdata="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uDe2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2.4</w:t>
                              </w:r>
                            </w:p>
                          </w:txbxContent>
                        </v:textbox>
                      </v:shape>
                      <v:shape id="自选图形 206" o:spid="_x0000_s1026" o:spt="32" type="#_x0000_t32" style="position:absolute;left:9593;top:486380;flip:y;height:7;width:946;" filled="f" stroked="t" coordsize="21600,21600" o:gfxdata="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5kd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188" o:spid="_x0000_s1026" o:spt="202" type="#_x0000_t202" style="position:absolute;left:9310;top:481635;height:320;width:510;v-text-anchor:middle;" filled="f" stroked="f" coordsize="21600,21600" o:gfxdata="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Ua/C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246</w:t>
                              </w:r>
                            </w:p>
                          </w:txbxContent>
                        </v:textbox>
                      </v:shape>
                      <v:shape id="文本框 202" o:spid="_x0000_s1026" o:spt="202" type="#_x0000_t202" style="position:absolute;left:11691;top:484783;height:260;width:370;v-text-anchor:middle;" filled="f" stroked="f" coordsize="21600,21600" o:gfxdata="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veDC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sz w:val="21"/>
                                  <w:szCs w:val="21"/>
                                </w:rPr>
                              </w:pPr>
                              <w:r>
                                <w:rPr>
                                  <w:rFonts w:hint="eastAsia"/>
                                  <w:sz w:val="21"/>
                                  <w:szCs w:val="21"/>
                                  <w:lang w:val="en-US" w:eastAsia="zh-CN"/>
                                </w:rPr>
                                <w:t>3.6的</w:t>
                              </w:r>
                              <w:r>
                                <w:rPr>
                                  <w:rFonts w:hint="eastAsia"/>
                                  <w:sz w:val="21"/>
                                  <w:szCs w:val="21"/>
                                </w:rPr>
                                <w:t>3</w:t>
                              </w:r>
                            </w:p>
                          </w:txbxContent>
                        </v:textbox>
                      </v:shape>
                      <v:shape id="自选图形 174" o:spid="_x0000_s1026" o:spt="32" type="#_x0000_t32" style="position:absolute;left:8761;top:481548;height:312;width:4;"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88" o:spid="_x0000_s1026" o:spt="202" type="#_x0000_t202" style="position:absolute;left:9005;top:481215;height:320;width:405;v-text-anchor:middle;" filled="f" stroked="f" coordsize="21600,21600" o:gfxdata="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KR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rFonts w:hint="default" w:eastAsia="宋体"/>
                                  <w:sz w:val="21"/>
                                  <w:szCs w:val="21"/>
                                  <w:lang w:val="en-US" w:eastAsia="zh-CN"/>
                                </w:rPr>
                              </w:pPr>
                              <w:r>
                                <w:rPr>
                                  <w:rFonts w:hint="eastAsia"/>
                                  <w:sz w:val="21"/>
                                  <w:szCs w:val="21"/>
                                  <w:lang w:val="en-US" w:eastAsia="zh-CN"/>
                                </w:rPr>
                                <w:t>2.4</w:t>
                              </w:r>
                            </w:p>
                          </w:txbxContent>
                        </v:textbox>
                      </v:shape>
                      <v:shape id="_x0000_s1026" o:spid="_x0000_s1026" o:spt="100" style="position:absolute;left:9618;top:484603;height:531;width:2536;" filled="f" stroked="t" coordsize="1610360,337185" o:gfxdata="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u2Ad7gAAADbAAAA&#10;DwAAAAAAAAABACAAAAAiAAAAZHJzL2Rvd25yZXYueG1sUEsBAhQAFAAAAAgAh07iQDMvBZ47AAAA&#10;OQAAABAAAAAAAAAAAQAgAAAABwEAAGRycy9zaGFwZXhtbC54bWxQSwUGAAAAAAYABgBbAQAAsQMA&#10;AAAA&#10;" path="m1212215,337185l1610360,337185,1610360,0,8255,0,8255,190500,0,190500e">
                        <v:path o:connectlocs="1909,531;2536,531;2536,0;13,0;13,300;0,300" o:connectangles="0,0,0,0,0,0"/>
                        <v:fill on="f" focussize="0,0"/>
                        <v:stroke color="#000000 [3200]" joinstyle="round" endarrow="block"/>
                        <v:imagedata o:title=""/>
                        <o:lock v:ext="edit" aspectratio="f"/>
                      </v:shape>
                      <v:shape id="文本框 202" o:spid="_x0000_s1026" o:spt="202" type="#_x0000_t202" style="position:absolute;left:9714;top:484333;height:260;width:370;v-text-anchor:middle;" filled="f" stroked="f" coordsize="21600,21600" o:gfxdata="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aPY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1"/>
                                  <w:szCs w:val="21"/>
                                </w:rPr>
                              </w:pPr>
                              <w:r>
                                <w:rPr>
                                  <w:rFonts w:hint="eastAsia"/>
                                  <w:sz w:val="21"/>
                                  <w:szCs w:val="21"/>
                                  <w:lang w:val="en-US" w:eastAsia="zh-CN"/>
                                </w:rPr>
                                <w:t>3.6的</w:t>
                              </w:r>
                              <w:r>
                                <w:rPr>
                                  <w:rFonts w:hint="eastAsia"/>
                                  <w:sz w:val="21"/>
                                  <w:szCs w:val="21"/>
                                </w:rPr>
                                <w:t>3</w:t>
                              </w:r>
                            </w:p>
                          </w:txbxContent>
                        </v:textbox>
                      </v:shape>
                      <v:shape id="_x0000_s1026" o:spid="_x0000_s1026" o:spt="100" style="position:absolute;left:8753;top:481532;height:503;width:2089;" filled="f" stroked="t" coordsize="1326515,319405" o:gfxdata="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wVvQAA&#10;ANsAAAAPAAAAAAAAAAEAIAAAACIAAABkcnMvZG93bnJldi54bWxQSwECFAAUAAAACACHTuJAMy8F&#10;njsAAAA5AAAAEAAAAAAAAAABACAAAAAMAQAAZHJzL3NoYXBleG1sLnhtbFBLBQYAAAAABgAGAFsB&#10;AAC2AwAAAAA=&#10;" path="m1007110,319405l1326515,319405,1326515,0,0,0e">
                        <v:path o:connectlocs="1586,503;2089,503;2089,0;0,0" o:connectangles="0,0,0,0"/>
                        <v:fill on="f" focussize="0,0"/>
                        <v:stroke color="#000000 [3200]" joinstyle="round"/>
                        <v:imagedata o:title=""/>
                        <o:lock v:ext="edit" aspectratio="f"/>
                      </v:shape>
                    </v:group>
                  </w:pict>
                </mc:Fallback>
              </mc:AlternateContent>
            </w:r>
          </w:p>
          <w:p>
            <w:pPr>
              <w:adjustRightInd w:val="0"/>
              <w:spacing w:line="240" w:lineRule="auto"/>
              <w:ind w:firstLine="480" w:firstLineChars="200"/>
              <w:rPr>
                <w:rFonts w:hint="eastAsia" w:eastAsia="宋体"/>
                <w:sz w:val="24"/>
                <w:lang w:eastAsia="zh-CN"/>
              </w:rPr>
            </w:pPr>
          </w:p>
          <w:p>
            <w:pPr>
              <w:adjustRightInd w:val="0"/>
              <w:spacing w:line="240" w:lineRule="auto"/>
              <w:ind w:firstLine="480" w:firstLineChars="200"/>
              <w:rPr>
                <w:rFonts w:hint="eastAsia" w:eastAsia="宋体"/>
                <w:sz w:val="24"/>
                <w:lang w:eastAsia="zh-CN"/>
              </w:rPr>
            </w:pPr>
          </w:p>
          <w:p>
            <w:pPr>
              <w:adjustRightInd w:val="0"/>
              <w:spacing w:line="240" w:lineRule="auto"/>
              <w:ind w:firstLine="480" w:firstLineChars="200"/>
              <w:rPr>
                <w:rFonts w:hint="eastAsia" w:eastAsia="宋体"/>
                <w:sz w:val="24"/>
                <w:lang w:eastAsia="zh-CN"/>
              </w:rPr>
            </w:pPr>
          </w:p>
          <w:p>
            <w:pPr>
              <w:adjustRightInd w:val="0"/>
              <w:spacing w:line="240" w:lineRule="auto"/>
              <w:ind w:firstLine="480" w:firstLineChars="200"/>
              <w:rPr>
                <w:rFonts w:hint="eastAsia" w:eastAsia="宋体"/>
                <w:sz w:val="24"/>
                <w:lang w:eastAsia="zh-CN"/>
              </w:rPr>
            </w:pPr>
          </w:p>
          <w:p>
            <w:pPr>
              <w:jc w:val="left"/>
              <w:rPr>
                <w:rFonts w:hint="eastAsia" w:eastAsia="宋体"/>
                <w:b/>
                <w:color w:val="000000"/>
                <w:lang w:eastAsia="zh-CN"/>
              </w:rPr>
            </w:pPr>
          </w:p>
          <w:p>
            <w:pPr>
              <w:jc w:val="left"/>
              <w:rPr>
                <w:rFonts w:hint="eastAsia" w:eastAsia="宋体"/>
                <w:b/>
                <w:color w:val="000000"/>
                <w:lang w:eastAsia="zh-CN"/>
              </w:rPr>
            </w:pPr>
          </w:p>
          <w:p>
            <w:pPr>
              <w:jc w:val="left"/>
              <w:rPr>
                <w:rFonts w:hint="eastAsia" w:eastAsia="宋体"/>
                <w:b/>
                <w:color w:val="000000"/>
                <w:lang w:eastAsia="zh-CN"/>
              </w:rPr>
            </w:pPr>
          </w:p>
          <w:p>
            <w:pPr>
              <w:jc w:val="left"/>
              <w:rPr>
                <w:rFonts w:hint="eastAsia" w:eastAsia="宋体"/>
                <w:b/>
                <w:color w:val="000000"/>
                <w:lang w:eastAsia="zh-CN"/>
              </w:rPr>
            </w:pPr>
          </w:p>
          <w:p>
            <w:pPr>
              <w:jc w:val="left"/>
              <w:rPr>
                <w:rFonts w:hint="eastAsia" w:eastAsia="宋体"/>
                <w:b/>
                <w:color w:val="000000"/>
                <w:lang w:eastAsia="zh-CN"/>
              </w:rPr>
            </w:pPr>
          </w:p>
          <w:p>
            <w:pPr>
              <w:keepNext w:val="0"/>
              <w:keepLines w:val="0"/>
              <w:pageBreakBefore w:val="0"/>
              <w:widowControl w:val="0"/>
              <w:kinsoku/>
              <w:wordWrap/>
              <w:overflowPunct/>
              <w:topLinePunct w:val="0"/>
              <w:autoSpaceDE/>
              <w:autoSpaceDN/>
              <w:bidi w:val="0"/>
              <w:adjustRightInd/>
              <w:snapToGrid/>
              <w:spacing w:before="313" w:beforeLines="100"/>
              <w:ind w:left="2380" w:leftChars="850" w:firstLine="0" w:firstLineChars="0"/>
              <w:jc w:val="left"/>
              <w:textAlignment w:val="auto"/>
              <w:rPr>
                <w:rFonts w:hint="eastAsia" w:eastAsia="宋体"/>
                <w:b/>
                <w:color w:val="000000"/>
                <w:lang w:eastAsia="zh-CN"/>
              </w:rPr>
            </w:pPr>
            <w:r>
              <w:rPr>
                <w:rFonts w:hint="eastAsia"/>
                <w:b/>
                <w:color w:val="000000"/>
                <w:sz w:val="24"/>
                <w:szCs w:val="24"/>
                <w:lang w:val="en-US" w:eastAsia="zh-CN"/>
              </w:rPr>
              <w:br w:type="textWrapping"/>
            </w:r>
            <w:r>
              <w:rPr>
                <w:rFonts w:hint="eastAsia"/>
                <w:b/>
                <w:color w:val="000000"/>
                <w:sz w:val="24"/>
                <w:szCs w:val="24"/>
                <w:lang w:val="en-US" w:eastAsia="zh-CN"/>
              </w:rPr>
              <w:br w:type="textWrapping"/>
            </w:r>
            <w:r>
              <w:rPr>
                <w:rFonts w:hint="eastAsia"/>
                <w:b/>
                <w:color w:val="000000"/>
                <w:sz w:val="24"/>
                <w:szCs w:val="24"/>
                <w:lang w:val="en-US" w:eastAsia="zh-CN"/>
              </w:rPr>
              <w:t xml:space="preserve"> </w:t>
            </w:r>
            <w:r>
              <w:rPr>
                <w:rFonts w:hint="eastAsia"/>
                <w:b/>
                <w:color w:val="000000"/>
                <w:sz w:val="24"/>
                <w:szCs w:val="24"/>
              </w:rPr>
              <w:t>图1      项目水平衡图</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6369" w:hRule="atLeast"/>
        </w:trPr>
        <w:tc>
          <w:tcPr>
            <w:tcW w:w="523" w:type="dxa"/>
            <w:tcBorders>
              <w:top w:val="single" w:color="auto" w:sz="4" w:space="0"/>
              <w:bottom w:val="single" w:color="auto" w:sz="4" w:space="0"/>
              <w:right w:val="single" w:color="auto" w:sz="4" w:space="0"/>
            </w:tcBorders>
          </w:tcPr>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229235</wp:posOffset>
                      </wp:positionH>
                      <wp:positionV relativeFrom="paragraph">
                        <wp:posOffset>98425</wp:posOffset>
                      </wp:positionV>
                      <wp:extent cx="621665" cy="407035"/>
                      <wp:effectExtent l="0" t="0" r="0" b="0"/>
                      <wp:wrapNone/>
                      <wp:docPr id="42" name="Rectangle 317"/>
                      <wp:cNvGraphicFramePr/>
                      <a:graphic xmlns:a="http://schemas.openxmlformats.org/drawingml/2006/main">
                        <a:graphicData uri="http://schemas.microsoft.com/office/word/2010/wordprocessingShape">
                          <wps:wsp>
                            <wps:cNvSpPr/>
                            <wps:spPr>
                              <a:xfrm>
                                <a:off x="1286510" y="6047740"/>
                                <a:ext cx="621665" cy="407035"/>
                              </a:xfrm>
                              <a:prstGeom prst="rect">
                                <a:avLst/>
                              </a:prstGeom>
                              <a:noFill/>
                              <a:ln>
                                <a:noFill/>
                              </a:ln>
                            </wps:spPr>
                            <wps:txbx>
                              <w:txbxContent>
                                <w:p>
                                  <w:pPr>
                                    <w:adjustRightInd w:val="0"/>
                                    <w:snapToGrid w:val="0"/>
                                    <w:jc w:val="center"/>
                                    <w:rPr>
                                      <w:rFonts w:hint="eastAsia" w:ascii="宋体" w:hAnsi="宋体"/>
                                      <w:sz w:val="21"/>
                                      <w:szCs w:val="21"/>
                                    </w:rPr>
                                  </w:pPr>
                                  <w:r>
                                    <w:rPr>
                                      <w:rFonts w:hint="eastAsia" w:ascii="宋体" w:hAnsi="宋体"/>
                                      <w:sz w:val="21"/>
                                      <w:szCs w:val="21"/>
                                    </w:rPr>
                                    <w:t>砂子、</w:t>
                                  </w:r>
                                </w:p>
                                <w:p>
                                  <w:pPr>
                                    <w:adjustRightInd w:val="0"/>
                                    <w:snapToGrid w:val="0"/>
                                    <w:jc w:val="center"/>
                                    <w:rPr>
                                      <w:rFonts w:ascii="宋体" w:hAnsi="宋体"/>
                                      <w:sz w:val="21"/>
                                      <w:szCs w:val="21"/>
                                    </w:rPr>
                                  </w:pPr>
                                  <w:r>
                                    <w:rPr>
                                      <w:rFonts w:hint="eastAsia" w:ascii="宋体" w:hAnsi="宋体"/>
                                      <w:sz w:val="21"/>
                                      <w:szCs w:val="21"/>
                                    </w:rPr>
                                    <w:t>石子</w:t>
                                  </w:r>
                                </w:p>
                              </w:txbxContent>
                            </wps:txbx>
                            <wps:bodyPr lIns="0" tIns="0" rIns="0" bIns="0" upright="1"/>
                          </wps:wsp>
                        </a:graphicData>
                      </a:graphic>
                    </wp:anchor>
                  </w:drawing>
                </mc:Choice>
                <mc:Fallback>
                  <w:pict>
                    <v:rect id="Rectangle 317" o:spid="_x0000_s1026" o:spt="1" style="position:absolute;left:0pt;margin-left:18.05pt;margin-top:7.75pt;height:32.05pt;width:48.95pt;z-index:251663360;mso-width-relative:page;mso-height-relative:page;" filled="f" stroked="f" coordsize="21600,21600" o:gfxdata="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oiRPdkAAAAIAQAADwAAAAAAAAABACAAAAAiAAAAZHJzL2Rvd25yZXYueG1sUEsBAhQAFAAA&#10;AAgAh07iQIwb2A61AQAAdgMAAA4AAAAAAAAAAQAgAAAAKAEAAGRycy9lMm9Eb2MueG1sUEsFBgAA&#10;AAAGAAYAWQEAAE8FAAAAAA==&#10;">
                      <v:fill on="f" focussize="0,0"/>
                      <v:stroke on="f"/>
                      <v:imagedata o:title=""/>
                      <o:lock v:ext="edit" aspectratio="f"/>
                      <v:textbox inset="0mm,0mm,0mm,0mm">
                        <w:txbxContent>
                          <w:p>
                            <w:pPr>
                              <w:adjustRightInd w:val="0"/>
                              <w:snapToGrid w:val="0"/>
                              <w:jc w:val="center"/>
                              <w:rPr>
                                <w:rFonts w:hint="eastAsia" w:ascii="宋体" w:hAnsi="宋体"/>
                                <w:sz w:val="21"/>
                                <w:szCs w:val="21"/>
                              </w:rPr>
                            </w:pPr>
                            <w:r>
                              <w:rPr>
                                <w:rFonts w:hint="eastAsia" w:ascii="宋体" w:hAnsi="宋体"/>
                                <w:sz w:val="21"/>
                                <w:szCs w:val="21"/>
                              </w:rPr>
                              <w:t>砂子、</w:t>
                            </w:r>
                          </w:p>
                          <w:p>
                            <w:pPr>
                              <w:adjustRightInd w:val="0"/>
                              <w:snapToGrid w:val="0"/>
                              <w:jc w:val="center"/>
                              <w:rPr>
                                <w:rFonts w:ascii="宋体" w:hAnsi="宋体"/>
                                <w:sz w:val="21"/>
                                <w:szCs w:val="21"/>
                              </w:rPr>
                            </w:pPr>
                            <w:r>
                              <w:rPr>
                                <w:rFonts w:hint="eastAsia" w:ascii="宋体" w:hAnsi="宋体"/>
                                <w:sz w:val="21"/>
                                <w:szCs w:val="21"/>
                              </w:rPr>
                              <w:t>石子</w:t>
                            </w:r>
                          </w:p>
                        </w:txbxContent>
                      </v:textbox>
                    </v:rect>
                  </w:pict>
                </mc:Fallback>
              </mc:AlternateContent>
            </w:r>
          </w:p>
          <w:p>
            <w:pPr>
              <w:jc w:val="both"/>
              <w:rPr>
                <w:color w:val="000000"/>
                <w:sz w:val="21"/>
                <w:szCs w:val="21"/>
              </w:rPr>
            </w:pPr>
            <w:r>
              <w:rPr>
                <w:rFonts w:hint="eastAsia"/>
                <w:color w:val="000000"/>
                <w:sz w:val="21"/>
                <w:szCs w:val="21"/>
              </w:rPr>
              <w:t>工艺流程和产排污环节</w:t>
            </w:r>
          </w:p>
        </w:tc>
        <w:tc>
          <w:tcPr>
            <w:tcW w:w="8604" w:type="dxa"/>
            <w:tcBorders>
              <w:top w:val="single" w:color="auto" w:sz="4" w:space="0"/>
              <w:left w:val="single" w:color="auto" w:sz="4" w:space="0"/>
              <w:bottom w:val="single" w:color="auto" w:sz="4" w:space="0"/>
            </w:tcBorders>
          </w:tcPr>
          <w:p>
            <w:pPr>
              <w:spacing w:line="440" w:lineRule="exact"/>
              <w:jc w:val="left"/>
              <w:rPr>
                <w:b/>
                <w:bCs/>
                <w:color w:val="000000"/>
                <w:sz w:val="24"/>
                <w:szCs w:val="24"/>
              </w:rPr>
            </w:pPr>
            <w:r>
              <w:rPr>
                <w:sz w:val="21"/>
              </w:rPr>
              <mc:AlternateContent>
                <mc:Choice Requires="wps">
                  <w:drawing>
                    <wp:anchor distT="0" distB="0" distL="114300" distR="114300" simplePos="0" relativeHeight="251664384" behindDoc="0" locked="0" layoutInCell="1" allowOverlap="1">
                      <wp:simplePos x="0" y="0"/>
                      <wp:positionH relativeFrom="column">
                        <wp:posOffset>2789555</wp:posOffset>
                      </wp:positionH>
                      <wp:positionV relativeFrom="paragraph">
                        <wp:posOffset>251460</wp:posOffset>
                      </wp:positionV>
                      <wp:extent cx="966470" cy="683895"/>
                      <wp:effectExtent l="0" t="0" r="0" b="0"/>
                      <wp:wrapNone/>
                      <wp:docPr id="32" name="矩形 67"/>
                      <wp:cNvGraphicFramePr/>
                      <a:graphic xmlns:a="http://schemas.openxmlformats.org/drawingml/2006/main">
                        <a:graphicData uri="http://schemas.microsoft.com/office/word/2010/wordprocessingShape">
                          <wps:wsp>
                            <wps:cNvSpPr/>
                            <wps:spPr>
                              <a:xfrm>
                                <a:off x="4264660" y="5246370"/>
                                <a:ext cx="966470" cy="683895"/>
                              </a:xfrm>
                              <a:prstGeom prst="rect">
                                <a:avLst/>
                              </a:prstGeom>
                              <a:noFill/>
                              <a:ln>
                                <a:noFill/>
                              </a:ln>
                            </wps:spPr>
                            <wps:txbx>
                              <w:txbxContent>
                                <w:p>
                                  <w:pPr>
                                    <w:adjustRightInd w:val="0"/>
                                    <w:snapToGrid w:val="0"/>
                                    <w:jc w:val="center"/>
                                    <w:rPr>
                                      <w:rFonts w:ascii="宋体" w:hAnsi="宋体"/>
                                      <w:sz w:val="21"/>
                                      <w:szCs w:val="21"/>
                                    </w:rPr>
                                  </w:pPr>
                                  <w:r>
                                    <w:rPr>
                                      <w:rFonts w:hint="eastAsia"/>
                                      <w:sz w:val="21"/>
                                      <w:szCs w:val="21"/>
                                    </w:rPr>
                                    <w:t>水泥罐车、粉煤灰罐车、矿粉</w:t>
                                  </w:r>
                                  <w:r>
                                    <w:rPr>
                                      <w:rFonts w:hint="eastAsia" w:ascii="宋体" w:hAnsi="宋体"/>
                                      <w:sz w:val="21"/>
                                      <w:szCs w:val="21"/>
                                    </w:rPr>
                                    <w:t>罐车</w:t>
                                  </w:r>
                                </w:p>
                              </w:txbxContent>
                            </wps:txbx>
                            <wps:bodyPr upright="1"/>
                          </wps:wsp>
                        </a:graphicData>
                      </a:graphic>
                    </wp:anchor>
                  </w:drawing>
                </mc:Choice>
                <mc:Fallback>
                  <w:pict>
                    <v:rect id="矩形 67" o:spid="_x0000_s1026" o:spt="1" style="position:absolute;left:0pt;margin-left:219.65pt;margin-top:19.8pt;height:53.85pt;width:76.1pt;z-index:251664384;mso-width-relative:page;mso-height-relative:page;" filled="f" stroked="f" coordsize="21600,21600" o:gfxdata="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pRn3bAAAACgEAAA8AAAAAAAAAAQAgAAAAIgAAAGRycy9kb3ducmV2LnhtbFBLAQIUABQAAAAI&#10;AIdO4kCqzjPzsQEAAE4DAAAOAAAAAAAAAAEAIAAAACoBAABkcnMvZTJvRG9jLnhtbFBLBQYAAAAA&#10;BgAGAFkBAABNBQAAAAA=&#10;">
                      <v:fill on="f" focussize="0,0"/>
                      <v:stroke on="f"/>
                      <v:imagedata o:title=""/>
                      <o:lock v:ext="edit" aspectratio="f"/>
                      <v:textbox>
                        <w:txbxContent>
                          <w:p>
                            <w:pPr>
                              <w:adjustRightInd w:val="0"/>
                              <w:snapToGrid w:val="0"/>
                              <w:jc w:val="center"/>
                              <w:rPr>
                                <w:rFonts w:ascii="宋体" w:hAnsi="宋体"/>
                                <w:sz w:val="21"/>
                                <w:szCs w:val="21"/>
                              </w:rPr>
                            </w:pPr>
                            <w:r>
                              <w:rPr>
                                <w:rFonts w:hint="eastAsia"/>
                                <w:sz w:val="21"/>
                                <w:szCs w:val="21"/>
                              </w:rPr>
                              <w:t>水泥罐车、粉煤灰罐车、矿粉</w:t>
                            </w:r>
                            <w:r>
                              <w:rPr>
                                <w:rFonts w:hint="eastAsia" w:ascii="宋体" w:hAnsi="宋体"/>
                                <w:sz w:val="21"/>
                                <w:szCs w:val="21"/>
                              </w:rPr>
                              <w:t>罐车</w:t>
                            </w:r>
                          </w:p>
                        </w:txbxContent>
                      </v:textbox>
                    </v:rect>
                  </w:pict>
                </mc:Fallback>
              </mc:AlternateContent>
            </w:r>
            <w:r>
              <w:rPr>
                <w:b/>
                <w:bCs/>
                <w:color w:val="000000"/>
                <w:sz w:val="24"/>
                <w:szCs w:val="24"/>
              </w:rPr>
              <w:t>工艺流程简述（图示）：</w:t>
            </w:r>
          </w:p>
          <w:p>
            <w:pPr>
              <w:spacing w:line="440" w:lineRule="exact"/>
              <w:jc w:val="left"/>
              <w:rPr>
                <w:b/>
                <w:bCs/>
                <w:color w:val="000000"/>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-45720</wp:posOffset>
                      </wp:positionH>
                      <wp:positionV relativeFrom="paragraph">
                        <wp:posOffset>260350</wp:posOffset>
                      </wp:positionV>
                      <wp:extent cx="5203825" cy="4068445"/>
                      <wp:effectExtent l="6350" t="0" r="9525" b="0"/>
                      <wp:wrapNone/>
                      <wp:docPr id="58" name="组合 58"/>
                      <wp:cNvGraphicFramePr/>
                      <a:graphic xmlns:a="http://schemas.openxmlformats.org/drawingml/2006/main">
                        <a:graphicData uri="http://schemas.microsoft.com/office/word/2010/wordprocessingGroup">
                          <wpg:wgp>
                            <wpg:cNvGrpSpPr/>
                            <wpg:grpSpPr>
                              <a:xfrm>
                                <a:off x="0" y="0"/>
                                <a:ext cx="5203825" cy="4068445"/>
                                <a:chOff x="2892" y="248693"/>
                                <a:chExt cx="8195" cy="6407"/>
                              </a:xfrm>
                            </wpg:grpSpPr>
                            <wps:wsp>
                              <wps:cNvPr id="10" name="Rectangle 284"/>
                              <wps:cNvSpPr>
                                <a:spLocks noChangeArrowheads="1"/>
                              </wps:cNvSpPr>
                              <wps:spPr bwMode="auto">
                                <a:xfrm>
                                  <a:off x="7599" y="254741"/>
                                  <a:ext cx="1071" cy="359"/>
                                </a:xfrm>
                                <a:prstGeom prst="rect">
                                  <a:avLst/>
                                </a:prstGeom>
                                <a:noFill/>
                                <a:ln>
                                  <a:noFill/>
                                </a:ln>
                                <a:effectLst/>
                              </wps:spPr>
                              <wps:txbx>
                                <w:txbxContent>
                                  <w:p>
                                    <w:pPr>
                                      <w:adjustRightInd w:val="0"/>
                                      <w:snapToGrid w:val="0"/>
                                      <w:rPr>
                                        <w:sz w:val="21"/>
                                        <w:szCs w:val="21"/>
                                      </w:rPr>
                                    </w:pPr>
                                    <w:r>
                                      <w:rPr>
                                        <w:rFonts w:hint="eastAsia"/>
                                        <w:sz w:val="21"/>
                                        <w:szCs w:val="21"/>
                                      </w:rPr>
                                      <w:t xml:space="preserve">   出 料</w:t>
                                    </w:r>
                                  </w:p>
                                </w:txbxContent>
                              </wps:txbx>
                              <wps:bodyPr rot="0" vert="horz" wrap="square" lIns="0" tIns="0" rIns="0" bIns="0" anchor="t" anchorCtr="0" upright="1">
                                <a:noAutofit/>
                              </wps:bodyPr>
                            </wps:wsp>
                            <wps:wsp>
                              <wps:cNvPr id="5" name="自选图形 100"/>
                              <wps:cNvSpPr/>
                              <wps:spPr>
                                <a:xfrm>
                                  <a:off x="5589" y="251268"/>
                                  <a:ext cx="5498" cy="921"/>
                                </a:xfrm>
                                <a:prstGeom prst="flowChartProcess">
                                  <a:avLst/>
                                </a:prstGeom>
                                <a:noFill/>
                                <a:ln w="6350" cap="flat" cmpd="sng">
                                  <a:solidFill>
                                    <a:srgbClr val="000000"/>
                                  </a:solidFill>
                                  <a:prstDash val="dash"/>
                                  <a:miter/>
                                  <a:headEnd type="none" w="med" len="med"/>
                                  <a:tailEnd type="none" w="med" len="med"/>
                                </a:ln>
                              </wps:spPr>
                              <wps:txbx>
                                <w:txbxContent>
                                  <w:p/>
                                </w:txbxContent>
                              </wps:txbx>
                              <wps:bodyPr upright="1"/>
                            </wps:wsp>
                            <wps:wsp>
                              <wps:cNvPr id="6" name="Rectangle 284"/>
                              <wps:cNvSpPr>
                                <a:spLocks noChangeArrowheads="1"/>
                              </wps:cNvSpPr>
                              <wps:spPr bwMode="auto">
                                <a:xfrm>
                                  <a:off x="7439" y="252324"/>
                                  <a:ext cx="677" cy="359"/>
                                </a:xfrm>
                                <a:prstGeom prst="rect">
                                  <a:avLst/>
                                </a:prstGeom>
                                <a:noFill/>
                                <a:ln>
                                  <a:noFill/>
                                </a:ln>
                                <a:effectLst/>
                              </wps:spPr>
                              <wps:txbx>
                                <w:txbxContent>
                                  <w:p>
                                    <w:pPr>
                                      <w:adjustRightInd w:val="0"/>
                                      <w:snapToGrid w:val="0"/>
                                      <w:rPr>
                                        <w:sz w:val="21"/>
                                        <w:szCs w:val="21"/>
                                      </w:rPr>
                                    </w:pPr>
                                    <w:r>
                                      <w:rPr>
                                        <w:rFonts w:hint="eastAsia"/>
                                        <w:sz w:val="21"/>
                                        <w:szCs w:val="21"/>
                                      </w:rPr>
                                      <w:t>放料阀</w:t>
                                    </w:r>
                                  </w:p>
                                </w:txbxContent>
                              </wps:txbx>
                              <wps:bodyPr rot="0" vert="horz" wrap="square" lIns="0" tIns="0" rIns="0" bIns="0" anchor="t" anchorCtr="0" upright="1">
                                <a:noAutofit/>
                              </wps:bodyPr>
                            </wps:wsp>
                            <wps:wsp>
                              <wps:cNvPr id="7" name="Rectangle 285"/>
                              <wps:cNvSpPr>
                                <a:spLocks noChangeArrowheads="1"/>
                              </wps:cNvSpPr>
                              <wps:spPr bwMode="auto">
                                <a:xfrm>
                                  <a:off x="9136" y="252562"/>
                                  <a:ext cx="420" cy="504"/>
                                </a:xfrm>
                                <a:prstGeom prst="rect">
                                  <a:avLst/>
                                </a:prstGeom>
                                <a:noFill/>
                                <a:ln>
                                  <a:noFill/>
                                </a:ln>
                                <a:effectLst/>
                              </wps:spPr>
                              <wps:txbx>
                                <w:txbxContent>
                                  <w:p>
                                    <w:pPr>
                                      <w:adjustRightInd w:val="0"/>
                                      <w:snapToGrid w:val="0"/>
                                      <w:rPr>
                                        <w:sz w:val="21"/>
                                        <w:szCs w:val="21"/>
                                      </w:rPr>
                                    </w:pPr>
                                    <w:r>
                                      <w:rPr>
                                        <w:rFonts w:hint="eastAsia"/>
                                        <w:sz w:val="21"/>
                                        <w:szCs w:val="21"/>
                                      </w:rPr>
                                      <w:t>泵</w:t>
                                    </w:r>
                                  </w:p>
                                </w:txbxContent>
                              </wps:txbx>
                              <wps:bodyPr rot="0" vert="horz" wrap="square" lIns="0" tIns="0" rIns="0" bIns="0" anchor="t" anchorCtr="0" upright="1">
                                <a:noAutofit/>
                              </wps:bodyPr>
                            </wps:wsp>
                            <wps:wsp>
                              <wps:cNvPr id="8" name="Rectangle 289"/>
                              <wps:cNvSpPr/>
                              <wps:spPr>
                                <a:xfrm>
                                  <a:off x="5558" y="253497"/>
                                  <a:ext cx="5063" cy="554"/>
                                </a:xfrm>
                                <a:prstGeom prst="rect">
                                  <a:avLst/>
                                </a:prstGeom>
                                <a:noFill/>
                                <a:ln w="9525" cap="flat" cmpd="sng">
                                  <a:solidFill>
                                    <a:srgbClr val="000000"/>
                                  </a:solidFill>
                                  <a:prstDash val="solid"/>
                                  <a:miter/>
                                  <a:headEnd type="none" w="med" len="med"/>
                                  <a:tailEnd type="none" w="med" len="med"/>
                                </a:ln>
                              </wps:spPr>
                              <wps:txbx>
                                <w:txbxContent>
                                  <w:p>
                                    <w:pPr>
                                      <w:jc w:val="center"/>
                                      <w:rPr>
                                        <w:rFonts w:ascii="宋体" w:hAnsi="宋体"/>
                                        <w:sz w:val="21"/>
                                        <w:szCs w:val="21"/>
                                      </w:rPr>
                                    </w:pPr>
                                    <w:r>
                                      <w:rPr>
                                        <w:rFonts w:hint="eastAsia" w:ascii="宋体" w:hAnsi="宋体"/>
                                        <w:sz w:val="21"/>
                                        <w:szCs w:val="21"/>
                                        <w:lang w:val="en-US" w:eastAsia="zh-CN"/>
                                      </w:rPr>
                                      <w:t>搅拌机</w:t>
                                    </w:r>
                                    <w:r>
                                      <w:rPr>
                                        <w:rFonts w:hint="eastAsia" w:ascii="宋体" w:hAnsi="宋体"/>
                                        <w:sz w:val="21"/>
                                        <w:szCs w:val="21"/>
                                      </w:rPr>
                                      <w:t xml:space="preserve">   </w:t>
                                    </w:r>
                                  </w:p>
                                </w:txbxContent>
                              </wps:txbx>
                              <wps:bodyPr upright="1"/>
                            </wps:wsp>
                            <wps:wsp>
                              <wps:cNvPr id="14" name="Line 290"/>
                              <wps:cNvCnPr>
                                <a:cxnSpLocks noChangeShapeType="1"/>
                              </wps:cNvCnPr>
                              <wps:spPr bwMode="auto">
                                <a:xfrm>
                                  <a:off x="8115" y="251922"/>
                                  <a:ext cx="0" cy="1567"/>
                                </a:xfrm>
                                <a:prstGeom prst="line">
                                  <a:avLst/>
                                </a:prstGeom>
                                <a:noFill/>
                                <a:ln w="9525">
                                  <a:solidFill>
                                    <a:srgbClr val="000000"/>
                                  </a:solidFill>
                                  <a:round/>
                                  <a:tailEnd type="triangle" w="med" len="med"/>
                                </a:ln>
                                <a:effectLst/>
                              </wps:spPr>
                              <wps:bodyPr/>
                            </wps:wsp>
                            <wps:wsp>
                              <wps:cNvPr id="15" name="Line 291"/>
                              <wps:cNvCnPr>
                                <a:cxnSpLocks noChangeShapeType="1"/>
                              </wps:cNvCnPr>
                              <wps:spPr bwMode="auto">
                                <a:xfrm flipH="1">
                                  <a:off x="9595" y="251899"/>
                                  <a:ext cx="7" cy="1576"/>
                                </a:xfrm>
                                <a:prstGeom prst="line">
                                  <a:avLst/>
                                </a:prstGeom>
                                <a:noFill/>
                                <a:ln w="9525">
                                  <a:solidFill>
                                    <a:srgbClr val="000000"/>
                                  </a:solidFill>
                                  <a:round/>
                                  <a:tailEnd type="triangle" w="med" len="med"/>
                                </a:ln>
                                <a:effectLst/>
                              </wps:spPr>
                              <wps:bodyPr/>
                            </wps:wsp>
                            <wps:wsp>
                              <wps:cNvPr id="9" name="Line 292"/>
                              <wps:cNvCnPr/>
                              <wps:spPr>
                                <a:xfrm>
                                  <a:off x="10496" y="251916"/>
                                  <a:ext cx="2" cy="1586"/>
                                </a:xfrm>
                                <a:prstGeom prst="line">
                                  <a:avLst/>
                                </a:prstGeom>
                                <a:ln w="9525" cap="flat" cmpd="sng">
                                  <a:solidFill>
                                    <a:srgbClr val="000000"/>
                                  </a:solidFill>
                                  <a:prstDash val="solid"/>
                                  <a:headEnd type="none" w="med" len="med"/>
                                  <a:tailEnd type="triangle" w="med" len="med"/>
                                </a:ln>
                              </wps:spPr>
                              <wps:bodyPr upright="1"/>
                            </wps:wsp>
                            <wps:wsp>
                              <wps:cNvPr id="11" name="Text Box 295"/>
                              <wps:cNvSpPr txBox="1"/>
                              <wps:spPr>
                                <a:xfrm>
                                  <a:off x="7832" y="251463"/>
                                  <a:ext cx="764" cy="458"/>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hAnsi="宋体"/>
                                        <w:sz w:val="21"/>
                                        <w:szCs w:val="21"/>
                                      </w:rPr>
                                    </w:pPr>
                                    <w:r>
                                      <w:rPr>
                                        <w:rFonts w:hint="eastAsia" w:ascii="宋体" w:hAnsi="宋体"/>
                                        <w:sz w:val="21"/>
                                        <w:szCs w:val="21"/>
                                      </w:rPr>
                                      <w:t>计量</w:t>
                                    </w:r>
                                  </w:p>
                                </w:txbxContent>
                              </wps:txbx>
                              <wps:bodyPr upright="1"/>
                            </wps:wsp>
                            <wps:wsp>
                              <wps:cNvPr id="12" name="Text Box 296"/>
                              <wps:cNvSpPr txBox="1"/>
                              <wps:spPr>
                                <a:xfrm>
                                  <a:off x="9154" y="251434"/>
                                  <a:ext cx="764" cy="46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hAnsi="宋体"/>
                                        <w:sz w:val="21"/>
                                        <w:szCs w:val="21"/>
                                      </w:rPr>
                                    </w:pPr>
                                    <w:r>
                                      <w:rPr>
                                        <w:rFonts w:hint="eastAsia" w:ascii="宋体" w:hAnsi="宋体"/>
                                        <w:sz w:val="21"/>
                                        <w:szCs w:val="21"/>
                                      </w:rPr>
                                      <w:t>计量</w:t>
                                    </w:r>
                                  </w:p>
                                </w:txbxContent>
                              </wps:txbx>
                              <wps:bodyPr upright="1"/>
                            </wps:wsp>
                            <wps:wsp>
                              <wps:cNvPr id="13" name="Text Box 297"/>
                              <wps:cNvSpPr txBox="1"/>
                              <wps:spPr>
                                <a:xfrm>
                                  <a:off x="10158" y="251447"/>
                                  <a:ext cx="764" cy="467"/>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hAnsi="宋体"/>
                                        <w:sz w:val="21"/>
                                        <w:szCs w:val="21"/>
                                      </w:rPr>
                                    </w:pPr>
                                    <w:r>
                                      <w:rPr>
                                        <w:rFonts w:hint="eastAsia" w:ascii="宋体" w:hAnsi="宋体"/>
                                        <w:sz w:val="21"/>
                                        <w:szCs w:val="21"/>
                                      </w:rPr>
                                      <w:t>计量</w:t>
                                    </w:r>
                                  </w:p>
                                </w:txbxContent>
                              </wps:txbx>
                              <wps:bodyPr upright="1"/>
                            </wps:wsp>
                            <wps:wsp>
                              <wps:cNvPr id="16" name="Text Box 299"/>
                              <wps:cNvSpPr txBox="1"/>
                              <wps:spPr>
                                <a:xfrm>
                                  <a:off x="3920" y="251320"/>
                                  <a:ext cx="1658" cy="959"/>
                                </a:xfrm>
                                <a:prstGeom prst="rect">
                                  <a:avLst/>
                                </a:prstGeom>
                                <a:noFill/>
                                <a:ln>
                                  <a:noFill/>
                                </a:ln>
                              </wps:spPr>
                              <wps:txbx>
                                <w:txbxContent>
                                  <w:p>
                                    <w:pPr>
                                      <w:adjustRightInd w:val="0"/>
                                      <w:snapToGrid w:val="0"/>
                                      <w:jc w:val="center"/>
                                      <w:rPr>
                                        <w:rFonts w:ascii="宋体" w:hAnsi="宋体"/>
                                        <w:sz w:val="21"/>
                                        <w:szCs w:val="21"/>
                                      </w:rPr>
                                    </w:pPr>
                                    <w:r>
                                      <w:rPr>
                                        <w:rFonts w:hint="eastAsia" w:ascii="宋体" w:hAnsi="宋体"/>
                                        <w:sz w:val="21"/>
                                        <w:szCs w:val="21"/>
                                      </w:rPr>
                                      <w:t>微机控制系统根据选定的配方进行计量</w:t>
                                    </w:r>
                                  </w:p>
                                </w:txbxContent>
                              </wps:txbx>
                              <wps:bodyPr upright="1"/>
                            </wps:wsp>
                            <wps:wsp>
                              <wps:cNvPr id="27" name="Line 303"/>
                              <wps:cNvCnPr>
                                <a:cxnSpLocks noChangeShapeType="1"/>
                              </wps:cNvCnPr>
                              <wps:spPr bwMode="auto">
                                <a:xfrm>
                                  <a:off x="6172" y="250380"/>
                                  <a:ext cx="0" cy="0"/>
                                </a:xfrm>
                                <a:prstGeom prst="line">
                                  <a:avLst/>
                                </a:prstGeom>
                                <a:noFill/>
                                <a:ln w="9525">
                                  <a:solidFill>
                                    <a:srgbClr val="000000"/>
                                  </a:solidFill>
                                  <a:round/>
                                  <a:tailEnd type="triangle" w="med" len="med"/>
                                </a:ln>
                                <a:effectLst/>
                              </wps:spPr>
                              <wps:bodyPr/>
                            </wps:wsp>
                            <wps:wsp>
                              <wps:cNvPr id="17" name="Rectangle 306"/>
                              <wps:cNvSpPr/>
                              <wps:spPr>
                                <a:xfrm>
                                  <a:off x="5268" y="250733"/>
                                  <a:ext cx="854" cy="369"/>
                                </a:xfrm>
                                <a:prstGeom prst="rect">
                                  <a:avLst/>
                                </a:prstGeom>
                                <a:noFill/>
                                <a:ln>
                                  <a:noFill/>
                                </a:ln>
                              </wps:spPr>
                              <wps:txbx>
                                <w:txbxContent>
                                  <w:p>
                                    <w:pPr>
                                      <w:adjustRightInd w:val="0"/>
                                      <w:snapToGrid w:val="0"/>
                                      <w:jc w:val="center"/>
                                      <w:rPr>
                                        <w:sz w:val="21"/>
                                        <w:szCs w:val="21"/>
                                      </w:rPr>
                                    </w:pPr>
                                  </w:p>
                                </w:txbxContent>
                              </wps:txbx>
                              <wps:bodyPr upright="1"/>
                            </wps:wsp>
                            <wps:wsp>
                              <wps:cNvPr id="18" name="Line 309"/>
                              <wps:cNvCnPr/>
                              <wps:spPr>
                                <a:xfrm flipH="1">
                                  <a:off x="9587" y="250133"/>
                                  <a:ext cx="0" cy="1304"/>
                                </a:xfrm>
                                <a:prstGeom prst="line">
                                  <a:avLst/>
                                </a:prstGeom>
                                <a:ln w="9525" cap="flat" cmpd="sng">
                                  <a:solidFill>
                                    <a:srgbClr val="000000"/>
                                  </a:solidFill>
                                  <a:prstDash val="solid"/>
                                  <a:headEnd type="none" w="med" len="med"/>
                                  <a:tailEnd type="triangle" w="med" len="med"/>
                                </a:ln>
                              </wps:spPr>
                              <wps:bodyPr upright="1"/>
                            </wps:wsp>
                            <wps:wsp>
                              <wps:cNvPr id="19" name="Line 310"/>
                              <wps:cNvCnPr/>
                              <wps:spPr>
                                <a:xfrm>
                                  <a:off x="6413" y="249852"/>
                                  <a:ext cx="1" cy="1588"/>
                                </a:xfrm>
                                <a:prstGeom prst="line">
                                  <a:avLst/>
                                </a:prstGeom>
                                <a:ln w="9525" cap="flat" cmpd="sng">
                                  <a:solidFill>
                                    <a:srgbClr val="000000"/>
                                  </a:solidFill>
                                  <a:prstDash val="solid"/>
                                  <a:headEnd type="none" w="med" len="med"/>
                                  <a:tailEnd type="triangle" w="med" len="med"/>
                                </a:ln>
                              </wps:spPr>
                              <wps:bodyPr upright="1"/>
                            </wps:wsp>
                            <wps:wsp>
                              <wps:cNvPr id="20" name="Line 312"/>
                              <wps:cNvCnPr/>
                              <wps:spPr>
                                <a:xfrm flipH="1">
                                  <a:off x="10704" y="250356"/>
                                  <a:ext cx="0" cy="1094"/>
                                </a:xfrm>
                                <a:prstGeom prst="line">
                                  <a:avLst/>
                                </a:prstGeom>
                                <a:ln w="9525" cap="flat" cmpd="sng">
                                  <a:solidFill>
                                    <a:srgbClr val="000000"/>
                                  </a:solidFill>
                                  <a:prstDash val="solid"/>
                                  <a:headEnd type="none" w="med" len="med"/>
                                  <a:tailEnd type="triangle" w="med" len="med"/>
                                </a:ln>
                              </wps:spPr>
                              <wps:bodyPr upright="1"/>
                            </wps:wsp>
                            <wps:wsp>
                              <wps:cNvPr id="21" name="Line 313"/>
                              <wps:cNvCnPr/>
                              <wps:spPr>
                                <a:xfrm flipH="1">
                                  <a:off x="8127" y="250622"/>
                                  <a:ext cx="0" cy="850"/>
                                </a:xfrm>
                                <a:prstGeom prst="line">
                                  <a:avLst/>
                                </a:prstGeom>
                                <a:ln w="9525" cap="flat" cmpd="sng">
                                  <a:solidFill>
                                    <a:srgbClr val="000000"/>
                                  </a:solidFill>
                                  <a:prstDash val="solid"/>
                                  <a:headEnd type="none" w="med" len="med"/>
                                  <a:tailEnd type="triangle" w="med" len="med"/>
                                </a:ln>
                              </wps:spPr>
                              <wps:bodyPr upright="1"/>
                            </wps:wsp>
                            <wps:wsp>
                              <wps:cNvPr id="22" name="Rectangle 315"/>
                              <wps:cNvSpPr/>
                              <wps:spPr>
                                <a:xfrm>
                                  <a:off x="9236" y="248749"/>
                                  <a:ext cx="688" cy="346"/>
                                </a:xfrm>
                                <a:prstGeom prst="rect">
                                  <a:avLst/>
                                </a:prstGeom>
                                <a:noFill/>
                                <a:ln>
                                  <a:noFill/>
                                </a:ln>
                              </wps:spPr>
                              <wps:txbx>
                                <w:txbxContent>
                                  <w:p>
                                    <w:pPr>
                                      <w:adjustRightInd w:val="0"/>
                                      <w:snapToGrid w:val="0"/>
                                      <w:jc w:val="center"/>
                                      <w:rPr>
                                        <w:sz w:val="21"/>
                                        <w:szCs w:val="21"/>
                                      </w:rPr>
                                    </w:pPr>
                                    <w:r>
                                      <w:rPr>
                                        <w:rFonts w:hint="eastAsia"/>
                                        <w:sz w:val="21"/>
                                        <w:szCs w:val="21"/>
                                      </w:rPr>
                                      <w:t>水泵</w:t>
                                    </w:r>
                                  </w:p>
                                </w:txbxContent>
                              </wps:txbx>
                              <wps:bodyPr lIns="0" tIns="0" rIns="0" bIns="0" upright="1"/>
                            </wps:wsp>
                            <wps:wsp>
                              <wps:cNvPr id="23" name="Rectangle 324"/>
                              <wps:cNvSpPr/>
                              <wps:spPr>
                                <a:xfrm>
                                  <a:off x="7690" y="250214"/>
                                  <a:ext cx="792" cy="394"/>
                                </a:xfrm>
                                <a:prstGeom prst="rect">
                                  <a:avLst/>
                                </a:prstGeom>
                                <a:noFill/>
                                <a:ln w="9525" cap="flat" cmpd="sng">
                                  <a:solidFill>
                                    <a:srgbClr val="000000"/>
                                  </a:solidFill>
                                  <a:prstDash val="solid"/>
                                  <a:miter/>
                                  <a:headEnd type="none" w="med" len="med"/>
                                  <a:tailEnd type="none" w="med" len="med"/>
                                </a:ln>
                              </wps:spPr>
                              <wps:txbx>
                                <w:txbxContent>
                                  <w:p>
                                    <w:pPr>
                                      <w:jc w:val="center"/>
                                      <w:rPr>
                                        <w:rFonts w:ascii="宋体" w:hAnsi="宋体"/>
                                        <w:sz w:val="21"/>
                                        <w:szCs w:val="21"/>
                                      </w:rPr>
                                    </w:pPr>
                                    <w:r>
                                      <w:rPr>
                                        <w:rFonts w:hint="eastAsia" w:ascii="宋体" w:hAnsi="宋体"/>
                                        <w:sz w:val="21"/>
                                        <w:szCs w:val="21"/>
                                      </w:rPr>
                                      <w:t>筒仓</w:t>
                                    </w:r>
                                  </w:p>
                                </w:txbxContent>
                              </wps:txbx>
                              <wps:bodyPr lIns="91440" tIns="18000" rIns="91440" bIns="0" upright="1"/>
                            </wps:wsp>
                            <wps:wsp>
                              <wps:cNvPr id="24" name="Text Box 326"/>
                              <wps:cNvSpPr txBox="1"/>
                              <wps:spPr>
                                <a:xfrm>
                                  <a:off x="9154" y="249635"/>
                                  <a:ext cx="764" cy="502"/>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hAnsi="宋体"/>
                                        <w:sz w:val="21"/>
                                        <w:szCs w:val="21"/>
                                      </w:rPr>
                                    </w:pPr>
                                    <w:r>
                                      <w:rPr>
                                        <w:rFonts w:hint="eastAsia" w:ascii="宋体" w:hAnsi="宋体"/>
                                        <w:sz w:val="21"/>
                                        <w:szCs w:val="21"/>
                                      </w:rPr>
                                      <w:t>水槽</w:t>
                                    </w:r>
                                  </w:p>
                                </w:txbxContent>
                              </wps:txbx>
                              <wps:bodyPr upright="1"/>
                            </wps:wsp>
                            <wps:wsp>
                              <wps:cNvPr id="25" name="Line 328"/>
                              <wps:cNvCnPr/>
                              <wps:spPr>
                                <a:xfrm>
                                  <a:off x="9552" y="249104"/>
                                  <a:ext cx="8" cy="537"/>
                                </a:xfrm>
                                <a:prstGeom prst="line">
                                  <a:avLst/>
                                </a:prstGeom>
                                <a:ln w="9525" cap="flat" cmpd="sng">
                                  <a:solidFill>
                                    <a:srgbClr val="000000"/>
                                  </a:solidFill>
                                  <a:prstDash val="solid"/>
                                  <a:headEnd type="none" w="med" len="med"/>
                                  <a:tailEnd type="triangle" w="med" len="med"/>
                                </a:ln>
                              </wps:spPr>
                              <wps:bodyPr upright="1"/>
                            </wps:wsp>
                            <wps:wsp>
                              <wps:cNvPr id="26" name="Text Box 329"/>
                              <wps:cNvSpPr txBox="1"/>
                              <wps:spPr>
                                <a:xfrm>
                                  <a:off x="10289" y="249316"/>
                                  <a:ext cx="798" cy="1019"/>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hAnsi="宋体"/>
                                        <w:sz w:val="21"/>
                                        <w:szCs w:val="21"/>
                                      </w:rPr>
                                    </w:pPr>
                                    <w:r>
                                      <w:rPr>
                                        <w:rFonts w:hint="eastAsia" w:ascii="宋体" w:hAnsi="宋体"/>
                                        <w:sz w:val="21"/>
                                        <w:szCs w:val="21"/>
                                      </w:rPr>
                                      <w:t>外加剂储罐</w:t>
                                    </w:r>
                                  </w:p>
                                </w:txbxContent>
                              </wps:txbx>
                              <wps:bodyPr upright="1"/>
                            </wps:wsp>
                            <wps:wsp>
                              <wps:cNvPr id="29" name="Rectangle 337"/>
                              <wps:cNvSpPr>
                                <a:spLocks noChangeArrowheads="1"/>
                              </wps:cNvSpPr>
                              <wps:spPr bwMode="auto">
                                <a:xfrm>
                                  <a:off x="5589" y="250369"/>
                                  <a:ext cx="685" cy="815"/>
                                </a:xfrm>
                                <a:prstGeom prst="rect">
                                  <a:avLst/>
                                </a:prstGeom>
                                <a:noFill/>
                                <a:ln>
                                  <a:noFill/>
                                </a:ln>
                                <a:effectLst/>
                              </wps:spPr>
                              <wps:txbx>
                                <w:txbxContent>
                                  <w:p>
                                    <w:pPr>
                                      <w:adjustRightInd w:val="0"/>
                                      <w:snapToGrid w:val="0"/>
                                      <w:jc w:val="center"/>
                                      <w:rPr>
                                        <w:sz w:val="21"/>
                                        <w:szCs w:val="21"/>
                                      </w:rPr>
                                    </w:pPr>
                                    <w:r>
                                      <w:rPr>
                                        <w:rFonts w:hint="eastAsia"/>
                                        <w:sz w:val="21"/>
                                        <w:szCs w:val="21"/>
                                      </w:rPr>
                                      <w:t>皮带输送机</w:t>
                                    </w:r>
                                  </w:p>
                                </w:txbxContent>
                              </wps:txbx>
                              <wps:bodyPr rot="0" vert="horz" wrap="square" lIns="0" tIns="0" rIns="0" bIns="0" anchor="t" anchorCtr="0" upright="1">
                                <a:noAutofit/>
                              </wps:bodyPr>
                            </wps:wsp>
                            <wps:wsp>
                              <wps:cNvPr id="30" name="Rectangle 308"/>
                              <wps:cNvSpPr/>
                              <wps:spPr>
                                <a:xfrm>
                                  <a:off x="6763" y="250733"/>
                                  <a:ext cx="1592" cy="400"/>
                                </a:xfrm>
                                <a:prstGeom prst="rect">
                                  <a:avLst/>
                                </a:prstGeom>
                                <a:noFill/>
                                <a:ln>
                                  <a:noFill/>
                                </a:ln>
                              </wps:spPr>
                              <wps:txbx>
                                <w:txbxContent>
                                  <w:p>
                                    <w:pPr>
                                      <w:adjustRightInd w:val="0"/>
                                      <w:snapToGrid w:val="0"/>
                                      <w:jc w:val="center"/>
                                      <w:rPr>
                                        <w:sz w:val="21"/>
                                        <w:szCs w:val="21"/>
                                      </w:rPr>
                                    </w:pPr>
                                    <w:r>
                                      <w:rPr>
                                        <w:rFonts w:hint="eastAsia"/>
                                        <w:sz w:val="21"/>
                                        <w:szCs w:val="21"/>
                                      </w:rPr>
                                      <w:t>螺旋输送机</w:t>
                                    </w:r>
                                  </w:p>
                                </w:txbxContent>
                              </wps:txbx>
                              <wps:bodyPr upright="1"/>
                            </wps:wsp>
                            <wps:wsp>
                              <wps:cNvPr id="31" name="Line 327"/>
                              <wps:cNvCnPr/>
                              <wps:spPr>
                                <a:xfrm>
                                  <a:off x="8115" y="249141"/>
                                  <a:ext cx="0" cy="1059"/>
                                </a:xfrm>
                                <a:prstGeom prst="line">
                                  <a:avLst/>
                                </a:prstGeom>
                                <a:ln w="9525" cap="flat" cmpd="sng">
                                  <a:solidFill>
                                    <a:srgbClr val="000000"/>
                                  </a:solidFill>
                                  <a:prstDash val="solid"/>
                                  <a:headEnd type="none" w="med" len="med"/>
                                  <a:tailEnd type="triangle" w="med" len="med"/>
                                </a:ln>
                              </wps:spPr>
                              <wps:bodyPr upright="1"/>
                            </wps:wsp>
                            <wps:wsp>
                              <wps:cNvPr id="33" name="矩形 80"/>
                              <wps:cNvSpPr/>
                              <wps:spPr>
                                <a:xfrm>
                                  <a:off x="7915" y="249249"/>
                                  <a:ext cx="964" cy="430"/>
                                </a:xfrm>
                                <a:prstGeom prst="rect">
                                  <a:avLst/>
                                </a:prstGeom>
                                <a:noFill/>
                                <a:ln>
                                  <a:noFill/>
                                </a:ln>
                              </wps:spPr>
                              <wps:txbx>
                                <w:txbxContent>
                                  <w:p>
                                    <w:pPr>
                                      <w:adjustRightInd w:val="0"/>
                                      <w:snapToGrid w:val="0"/>
                                      <w:jc w:val="center"/>
                                      <w:rPr>
                                        <w:rFonts w:ascii="宋体" w:hAnsi="宋体"/>
                                        <w:sz w:val="21"/>
                                        <w:szCs w:val="21"/>
                                      </w:rPr>
                                    </w:pPr>
                                    <w:r>
                                      <w:rPr>
                                        <w:rFonts w:hint="eastAsia" w:ascii="宋体" w:hAnsi="宋体"/>
                                        <w:sz w:val="21"/>
                                        <w:szCs w:val="21"/>
                                      </w:rPr>
                                      <w:t>气泵</w:t>
                                    </w:r>
                                  </w:p>
                                </w:txbxContent>
                              </wps:txbx>
                              <wps:bodyPr upright="1"/>
                            </wps:wsp>
                            <wps:wsp>
                              <wps:cNvPr id="34" name="矩形 83"/>
                              <wps:cNvSpPr/>
                              <wps:spPr>
                                <a:xfrm>
                                  <a:off x="8292" y="249717"/>
                                  <a:ext cx="964" cy="430"/>
                                </a:xfrm>
                                <a:prstGeom prst="rect">
                                  <a:avLst/>
                                </a:prstGeom>
                                <a:noFill/>
                                <a:ln>
                                  <a:noFill/>
                                </a:ln>
                              </wps:spPr>
                              <wps:txbx>
                                <w:txbxContent>
                                  <w:p>
                                    <w:pPr>
                                      <w:adjustRightInd w:val="0"/>
                                      <w:snapToGrid w:val="0"/>
                                      <w:jc w:val="center"/>
                                      <w:rPr>
                                        <w:rFonts w:hint="eastAsia" w:ascii="宋体" w:hAnsi="宋体" w:eastAsia="宋体"/>
                                        <w:sz w:val="21"/>
                                        <w:szCs w:val="21"/>
                                        <w:lang w:val="en-US" w:eastAsia="zh-CN"/>
                                      </w:rPr>
                                    </w:pPr>
                                    <w:r>
                                      <w:rPr>
                                        <w:rFonts w:hint="eastAsia" w:ascii="宋体" w:hAnsi="宋体"/>
                                        <w:sz w:val="21"/>
                                        <w:szCs w:val="21"/>
                                        <w:lang w:val="en-US" w:eastAsia="zh-CN"/>
                                      </w:rPr>
                                      <w:t>G</w:t>
                                    </w:r>
                                  </w:p>
                                </w:txbxContent>
                              </wps:txbx>
                              <wps:bodyPr upright="1"/>
                            </wps:wsp>
                            <wps:wsp>
                              <wps:cNvPr id="35" name="直线 85"/>
                              <wps:cNvCnPr/>
                              <wps:spPr>
                                <a:xfrm flipV="1">
                                  <a:off x="8542" y="250071"/>
                                  <a:ext cx="259" cy="264"/>
                                </a:xfrm>
                                <a:prstGeom prst="line">
                                  <a:avLst/>
                                </a:prstGeom>
                                <a:ln w="9525" cap="flat" cmpd="sng">
                                  <a:solidFill>
                                    <a:srgbClr val="000000"/>
                                  </a:solidFill>
                                  <a:prstDash val="dash"/>
                                  <a:headEnd type="none" w="med" len="med"/>
                                  <a:tailEnd type="triangle" w="med" len="med"/>
                                </a:ln>
                              </wps:spPr>
                              <wps:bodyPr upright="1"/>
                            </wps:wsp>
                            <wps:wsp>
                              <wps:cNvPr id="36" name="矩形 113"/>
                              <wps:cNvSpPr/>
                              <wps:spPr>
                                <a:xfrm>
                                  <a:off x="6816" y="252699"/>
                                  <a:ext cx="964" cy="430"/>
                                </a:xfrm>
                                <a:prstGeom prst="rect">
                                  <a:avLst/>
                                </a:prstGeom>
                                <a:noFill/>
                                <a:ln>
                                  <a:noFill/>
                                </a:ln>
                              </wps:spPr>
                              <wps:txbx>
                                <w:txbxContent>
                                  <w:p>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N、</w:t>
                                    </w:r>
                                    <w:r>
                                      <w:rPr>
                                        <w:rFonts w:hint="default" w:ascii="Times New Roman" w:hAnsi="Times New Roman" w:cs="Times New Roman"/>
                                        <w:sz w:val="21"/>
                                        <w:szCs w:val="21"/>
                                        <w:lang w:val="en-US" w:eastAsia="zh-CN"/>
                                      </w:rPr>
                                      <w:t>G</w:t>
                                    </w:r>
                                  </w:p>
                                </w:txbxContent>
                              </wps:txbx>
                              <wps:bodyPr upright="1"/>
                            </wps:wsp>
                            <wps:wsp>
                              <wps:cNvPr id="37" name="直线 114"/>
                              <wps:cNvCnPr/>
                              <wps:spPr>
                                <a:xfrm flipH="1" flipV="1">
                                  <a:off x="7256" y="253045"/>
                                  <a:ext cx="0" cy="437"/>
                                </a:xfrm>
                                <a:prstGeom prst="line">
                                  <a:avLst/>
                                </a:prstGeom>
                                <a:ln w="9525" cap="flat" cmpd="sng">
                                  <a:solidFill>
                                    <a:srgbClr val="000000"/>
                                  </a:solidFill>
                                  <a:prstDash val="dash"/>
                                  <a:headEnd type="none" w="med" len="med"/>
                                  <a:tailEnd type="triangle" w="med" len="med"/>
                                </a:ln>
                              </wps:spPr>
                              <wps:bodyPr upright="1"/>
                            </wps:wsp>
                            <wps:wsp>
                              <wps:cNvPr id="38" name="Rectangle 284"/>
                              <wps:cNvSpPr>
                                <a:spLocks noChangeArrowheads="1"/>
                              </wps:cNvSpPr>
                              <wps:spPr bwMode="auto">
                                <a:xfrm>
                                  <a:off x="9769" y="252541"/>
                                  <a:ext cx="677" cy="359"/>
                                </a:xfrm>
                                <a:prstGeom prst="rect">
                                  <a:avLst/>
                                </a:prstGeom>
                                <a:noFill/>
                                <a:ln>
                                  <a:noFill/>
                                </a:ln>
                                <a:effectLst/>
                              </wps:spPr>
                              <wps:txbx>
                                <w:txbxContent>
                                  <w:p>
                                    <w:pPr>
                                      <w:adjustRightInd w:val="0"/>
                                      <w:snapToGrid w:val="0"/>
                                      <w:rPr>
                                        <w:sz w:val="21"/>
                                        <w:szCs w:val="21"/>
                                      </w:rPr>
                                    </w:pPr>
                                    <w:r>
                                      <w:rPr>
                                        <w:rFonts w:hint="eastAsia"/>
                                        <w:sz w:val="21"/>
                                        <w:szCs w:val="21"/>
                                      </w:rPr>
                                      <w:t>放料阀</w:t>
                                    </w:r>
                                  </w:p>
                                </w:txbxContent>
                              </wps:txbx>
                              <wps:bodyPr rot="0" vert="horz" wrap="square" lIns="0" tIns="0" rIns="0" bIns="0" anchor="t" anchorCtr="0" upright="1">
                                <a:noAutofit/>
                              </wps:bodyPr>
                            </wps:wsp>
                            <wps:wsp>
                              <wps:cNvPr id="39" name="Rectangle 337"/>
                              <wps:cNvSpPr>
                                <a:spLocks noChangeArrowheads="1"/>
                              </wps:cNvSpPr>
                              <wps:spPr bwMode="auto">
                                <a:xfrm>
                                  <a:off x="10116" y="250577"/>
                                  <a:ext cx="612" cy="601"/>
                                </a:xfrm>
                                <a:prstGeom prst="rect">
                                  <a:avLst/>
                                </a:prstGeom>
                                <a:noFill/>
                                <a:ln>
                                  <a:noFill/>
                                </a:ln>
                                <a:effectLst/>
                              </wps:spPr>
                              <wps:txbx>
                                <w:txbxContent>
                                  <w:p>
                                    <w:pPr>
                                      <w:adjustRightInd w:val="0"/>
                                      <w:snapToGrid w:val="0"/>
                                      <w:jc w:val="center"/>
                                      <w:rPr>
                                        <w:sz w:val="21"/>
                                        <w:szCs w:val="21"/>
                                      </w:rPr>
                                    </w:pPr>
                                    <w:r>
                                      <w:rPr>
                                        <w:rFonts w:hint="eastAsia"/>
                                        <w:sz w:val="21"/>
                                        <w:szCs w:val="21"/>
                                      </w:rPr>
                                      <w:t>管道泵送</w:t>
                                    </w:r>
                                  </w:p>
                                </w:txbxContent>
                              </wps:txbx>
                              <wps:bodyPr rot="0" vert="horz" wrap="square" lIns="0" tIns="0" rIns="0" bIns="0" anchor="t" anchorCtr="0" upright="1">
                                <a:noAutofit/>
                              </wps:bodyPr>
                            </wps:wsp>
                            <wps:wsp>
                              <wps:cNvPr id="40" name="Rectangle 337"/>
                              <wps:cNvSpPr>
                                <a:spLocks noChangeArrowheads="1"/>
                              </wps:cNvSpPr>
                              <wps:spPr bwMode="auto">
                                <a:xfrm>
                                  <a:off x="8961" y="250569"/>
                                  <a:ext cx="612" cy="601"/>
                                </a:xfrm>
                                <a:prstGeom prst="rect">
                                  <a:avLst/>
                                </a:prstGeom>
                                <a:noFill/>
                                <a:ln>
                                  <a:noFill/>
                                </a:ln>
                                <a:effectLst/>
                              </wps:spPr>
                              <wps:txbx>
                                <w:txbxContent>
                                  <w:p>
                                    <w:pPr>
                                      <w:adjustRightInd w:val="0"/>
                                      <w:snapToGrid w:val="0"/>
                                      <w:jc w:val="center"/>
                                      <w:rPr>
                                        <w:sz w:val="21"/>
                                        <w:szCs w:val="21"/>
                                      </w:rPr>
                                    </w:pPr>
                                    <w:r>
                                      <w:rPr>
                                        <w:rFonts w:hint="eastAsia"/>
                                        <w:sz w:val="21"/>
                                        <w:szCs w:val="21"/>
                                      </w:rPr>
                                      <w:t>管道泵送</w:t>
                                    </w:r>
                                  </w:p>
                                </w:txbxContent>
                              </wps:txbx>
                              <wps:bodyPr rot="0" vert="horz" wrap="square" lIns="0" tIns="0" rIns="0" bIns="0" anchor="t" anchorCtr="0" upright="1">
                                <a:noAutofit/>
                              </wps:bodyPr>
                            </wps:wsp>
                            <wps:wsp>
                              <wps:cNvPr id="41" name="Rectangle 284"/>
                              <wps:cNvSpPr>
                                <a:spLocks noChangeArrowheads="1"/>
                              </wps:cNvSpPr>
                              <wps:spPr bwMode="auto">
                                <a:xfrm>
                                  <a:off x="5652" y="252606"/>
                                  <a:ext cx="677" cy="359"/>
                                </a:xfrm>
                                <a:prstGeom prst="rect">
                                  <a:avLst/>
                                </a:prstGeom>
                                <a:noFill/>
                                <a:ln>
                                  <a:noFill/>
                                </a:ln>
                                <a:effectLst/>
                              </wps:spPr>
                              <wps:txbx>
                                <w:txbxContent>
                                  <w:p>
                                    <w:pPr>
                                      <w:adjustRightInd w:val="0"/>
                                      <w:snapToGrid w:val="0"/>
                                      <w:rPr>
                                        <w:sz w:val="21"/>
                                        <w:szCs w:val="21"/>
                                      </w:rPr>
                                    </w:pPr>
                                    <w:r>
                                      <w:rPr>
                                        <w:rFonts w:hint="eastAsia"/>
                                        <w:sz w:val="21"/>
                                        <w:szCs w:val="21"/>
                                      </w:rPr>
                                      <w:t>放料阀</w:t>
                                    </w:r>
                                  </w:p>
                                </w:txbxContent>
                              </wps:txbx>
                              <wps:bodyPr rot="0" vert="horz" wrap="square" lIns="0" tIns="0" rIns="0" bIns="0" anchor="t" anchorCtr="0" upright="1">
                                <a:noAutofit/>
                              </wps:bodyPr>
                            </wps:wsp>
                            <wps:wsp>
                              <wps:cNvPr id="43" name="Line 318"/>
                              <wps:cNvCnPr/>
                              <wps:spPr>
                                <a:xfrm flipV="1">
                                  <a:off x="3457" y="249559"/>
                                  <a:ext cx="630" cy="0"/>
                                </a:xfrm>
                                <a:prstGeom prst="line">
                                  <a:avLst/>
                                </a:prstGeom>
                                <a:ln w="9525" cap="flat" cmpd="sng">
                                  <a:solidFill>
                                    <a:srgbClr val="000000"/>
                                  </a:solidFill>
                                  <a:prstDash val="solid"/>
                                  <a:headEnd type="none" w="med" len="med"/>
                                  <a:tailEnd type="triangle" w="med" len="med"/>
                                </a:ln>
                              </wps:spPr>
                              <wps:bodyPr upright="1"/>
                            </wps:wsp>
                            <wps:wsp>
                              <wps:cNvPr id="44" name="Rectangle 319"/>
                              <wps:cNvSpPr/>
                              <wps:spPr>
                                <a:xfrm>
                                  <a:off x="4087" y="249363"/>
                                  <a:ext cx="964" cy="43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hAnsi="宋体"/>
                                        <w:sz w:val="21"/>
                                        <w:szCs w:val="21"/>
                                      </w:rPr>
                                    </w:pPr>
                                    <w:r>
                                      <w:rPr>
                                        <w:rFonts w:hint="eastAsia" w:ascii="宋体" w:hAnsi="宋体"/>
                                        <w:sz w:val="21"/>
                                        <w:szCs w:val="21"/>
                                      </w:rPr>
                                      <w:t>卸料</w:t>
                                    </w:r>
                                  </w:p>
                                </w:txbxContent>
                              </wps:txbx>
                              <wps:bodyPr upright="1"/>
                            </wps:wsp>
                            <wps:wsp>
                              <wps:cNvPr id="45" name="Text Box 320"/>
                              <wps:cNvSpPr txBox="1"/>
                              <wps:spPr>
                                <a:xfrm>
                                  <a:off x="6013" y="249357"/>
                                  <a:ext cx="945" cy="50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rPr>
                                        <w:rFonts w:hint="eastAsia" w:eastAsia="宋体"/>
                                        <w:sz w:val="21"/>
                                        <w:szCs w:val="21"/>
                                        <w:lang w:val="en-US" w:eastAsia="zh-CN"/>
                                      </w:rPr>
                                    </w:pPr>
                                    <w:r>
                                      <w:rPr>
                                        <w:rFonts w:hint="eastAsia"/>
                                        <w:sz w:val="21"/>
                                        <w:szCs w:val="21"/>
                                        <w:lang w:val="en-US" w:eastAsia="zh-CN"/>
                                      </w:rPr>
                                      <w:t>配料机</w:t>
                                    </w:r>
                                  </w:p>
                                </w:txbxContent>
                              </wps:txbx>
                              <wps:bodyPr vert="horz" anchor="t" anchorCtr="0" upright="1"/>
                            </wps:wsp>
                            <wps:wsp>
                              <wps:cNvPr id="46" name="Line 331"/>
                              <wps:cNvCnPr/>
                              <wps:spPr>
                                <a:xfrm>
                                  <a:off x="5066" y="249570"/>
                                  <a:ext cx="955" cy="0"/>
                                </a:xfrm>
                                <a:prstGeom prst="line">
                                  <a:avLst/>
                                </a:prstGeom>
                                <a:ln w="9525" cap="flat" cmpd="sng">
                                  <a:solidFill>
                                    <a:srgbClr val="000000"/>
                                  </a:solidFill>
                                  <a:prstDash val="solid"/>
                                  <a:headEnd type="none" w="med" len="med"/>
                                  <a:tailEnd type="triangle" w="med" len="med"/>
                                </a:ln>
                              </wps:spPr>
                              <wps:bodyPr upright="1"/>
                            </wps:wsp>
                            <wps:wsp>
                              <wps:cNvPr id="47" name="Rectangle 335"/>
                              <wps:cNvSpPr/>
                              <wps:spPr>
                                <a:xfrm>
                                  <a:off x="5038" y="249188"/>
                                  <a:ext cx="970" cy="482"/>
                                </a:xfrm>
                                <a:prstGeom prst="rect">
                                  <a:avLst/>
                                </a:prstGeom>
                                <a:noFill/>
                                <a:ln>
                                  <a:noFill/>
                                </a:ln>
                              </wps:spPr>
                              <wps:txbx>
                                <w:txbxContent>
                                  <w:p>
                                    <w:pPr>
                                      <w:adjustRightInd w:val="0"/>
                                      <w:snapToGrid w:val="0"/>
                                      <w:jc w:val="center"/>
                                      <w:rPr>
                                        <w:sz w:val="21"/>
                                        <w:szCs w:val="21"/>
                                      </w:rPr>
                                    </w:pPr>
                                    <w:r>
                                      <w:rPr>
                                        <w:rFonts w:hint="eastAsia"/>
                                        <w:sz w:val="21"/>
                                        <w:szCs w:val="21"/>
                                      </w:rPr>
                                      <w:t>装载机</w:t>
                                    </w:r>
                                  </w:p>
                                </w:txbxContent>
                              </wps:txbx>
                              <wps:bodyPr upright="1"/>
                            </wps:wsp>
                            <wps:wsp>
                              <wps:cNvPr id="48" name="直线 73"/>
                              <wps:cNvCnPr/>
                              <wps:spPr>
                                <a:xfrm flipH="1" flipV="1">
                                  <a:off x="4567" y="249023"/>
                                  <a:ext cx="0" cy="340"/>
                                </a:xfrm>
                                <a:prstGeom prst="line">
                                  <a:avLst/>
                                </a:prstGeom>
                                <a:ln w="9525" cap="flat" cmpd="sng">
                                  <a:solidFill>
                                    <a:srgbClr val="000000"/>
                                  </a:solidFill>
                                  <a:prstDash val="dash"/>
                                  <a:headEnd type="none" w="med" len="med"/>
                                  <a:tailEnd type="triangle" w="med" len="med"/>
                                </a:ln>
                              </wps:spPr>
                              <wps:bodyPr upright="1"/>
                            </wps:wsp>
                            <wps:wsp>
                              <wps:cNvPr id="49" name="直线 72"/>
                              <wps:cNvCnPr/>
                              <wps:spPr>
                                <a:xfrm flipH="1" flipV="1">
                                  <a:off x="6438" y="249017"/>
                                  <a:ext cx="0" cy="340"/>
                                </a:xfrm>
                                <a:prstGeom prst="line">
                                  <a:avLst/>
                                </a:prstGeom>
                                <a:ln w="9525" cap="flat" cmpd="sng">
                                  <a:solidFill>
                                    <a:srgbClr val="000000"/>
                                  </a:solidFill>
                                  <a:prstDash val="dash"/>
                                  <a:headEnd type="none" w="med" len="med"/>
                                  <a:tailEnd type="triangle" w="med" len="med"/>
                                </a:ln>
                              </wps:spPr>
                              <wps:bodyPr upright="1"/>
                            </wps:wsp>
                            <wps:wsp>
                              <wps:cNvPr id="50" name="矩形 71"/>
                              <wps:cNvSpPr/>
                              <wps:spPr>
                                <a:xfrm>
                                  <a:off x="3265" y="249188"/>
                                  <a:ext cx="970" cy="482"/>
                                </a:xfrm>
                                <a:prstGeom prst="rect">
                                  <a:avLst/>
                                </a:prstGeom>
                                <a:noFill/>
                                <a:ln>
                                  <a:noFill/>
                                </a:ln>
                              </wps:spPr>
                              <wps:txbx>
                                <w:txbxContent>
                                  <w:p>
                                    <w:pPr>
                                      <w:adjustRightInd w:val="0"/>
                                      <w:snapToGrid w:val="0"/>
                                      <w:jc w:val="center"/>
                                      <w:rPr>
                                        <w:sz w:val="21"/>
                                        <w:szCs w:val="21"/>
                                      </w:rPr>
                                    </w:pPr>
                                    <w:r>
                                      <w:rPr>
                                        <w:rFonts w:hint="eastAsia"/>
                                        <w:sz w:val="21"/>
                                        <w:szCs w:val="21"/>
                                      </w:rPr>
                                      <w:t>汽运</w:t>
                                    </w:r>
                                  </w:p>
                                </w:txbxContent>
                              </wps:txbx>
                              <wps:bodyPr upright="1"/>
                            </wps:wsp>
                            <wps:wsp>
                              <wps:cNvPr id="51" name="直线 118"/>
                              <wps:cNvCnPr/>
                              <wps:spPr>
                                <a:xfrm>
                                  <a:off x="8145" y="254065"/>
                                  <a:ext cx="9" cy="726"/>
                                </a:xfrm>
                                <a:prstGeom prst="line">
                                  <a:avLst/>
                                </a:prstGeom>
                                <a:ln w="9525" cap="flat" cmpd="sng">
                                  <a:solidFill>
                                    <a:srgbClr val="000000"/>
                                  </a:solidFill>
                                  <a:prstDash val="solid"/>
                                  <a:headEnd type="none" w="med" len="med"/>
                                  <a:tailEnd type="triangle" w="med" len="med"/>
                                </a:ln>
                              </wps:spPr>
                              <wps:bodyPr upright="1"/>
                            </wps:wsp>
                            <wps:wsp>
                              <wps:cNvPr id="107" name="Text Box 295"/>
                              <wps:cNvSpPr txBox="1"/>
                              <wps:spPr>
                                <a:xfrm>
                                  <a:off x="6082" y="251447"/>
                                  <a:ext cx="764" cy="458"/>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jc w:val="center"/>
                                      <w:rPr>
                                        <w:rFonts w:ascii="宋体" w:hAnsi="宋体"/>
                                        <w:sz w:val="21"/>
                                        <w:szCs w:val="21"/>
                                      </w:rPr>
                                    </w:pPr>
                                    <w:r>
                                      <w:rPr>
                                        <w:rFonts w:hint="eastAsia" w:ascii="宋体" w:hAnsi="宋体"/>
                                        <w:sz w:val="21"/>
                                        <w:szCs w:val="21"/>
                                      </w:rPr>
                                      <w:t>计量</w:t>
                                    </w:r>
                                  </w:p>
                                </w:txbxContent>
                              </wps:txbx>
                              <wps:bodyPr upright="1"/>
                            </wps:wsp>
                            <wps:wsp>
                              <wps:cNvPr id="108" name="Line 310"/>
                              <wps:cNvCnPr/>
                              <wps:spPr>
                                <a:xfrm>
                                  <a:off x="6463" y="251919"/>
                                  <a:ext cx="1" cy="1588"/>
                                </a:xfrm>
                                <a:prstGeom prst="line">
                                  <a:avLst/>
                                </a:prstGeom>
                                <a:ln w="9525" cap="flat" cmpd="sng">
                                  <a:solidFill>
                                    <a:srgbClr val="000000"/>
                                  </a:solidFill>
                                  <a:prstDash val="solid"/>
                                  <a:headEnd type="none" w="med" len="med"/>
                                  <a:tailEnd type="triangle" w="med" len="med"/>
                                </a:ln>
                              </wps:spPr>
                              <wps:bodyPr upright="1"/>
                            </wps:wsp>
                            <wps:wsp>
                              <wps:cNvPr id="109" name="文本框 280"/>
                              <wps:cNvSpPr txBox="1"/>
                              <wps:spPr>
                                <a:xfrm>
                                  <a:off x="6048" y="248693"/>
                                  <a:ext cx="807" cy="315"/>
                                </a:xfrm>
                                <a:prstGeom prst="rect">
                                  <a:avLst/>
                                </a:prstGeom>
                                <a:noFill/>
                                <a:ln>
                                  <a:noFill/>
                                </a:ln>
                              </wps:spPr>
                              <wps:txbx>
                                <w:txbxContent>
                                  <w:p>
                                    <w:pPr>
                                      <w:ind w:firstLine="180" w:firstLineChars="100"/>
                                      <w:rPr>
                                        <w:rFonts w:hint="default" w:ascii="Times New Roman" w:hAnsi="Times New Roman" w:cs="Times New Roman"/>
                                        <w:sz w:val="18"/>
                                        <w:szCs w:val="18"/>
                                      </w:rPr>
                                    </w:pPr>
                                    <w:r>
                                      <w:rPr>
                                        <w:rFonts w:hint="default" w:ascii="Times New Roman" w:hAnsi="Times New Roman" w:cs="Times New Roman"/>
                                        <w:sz w:val="18"/>
                                        <w:szCs w:val="18"/>
                                      </w:rPr>
                                      <w:t>N、G</w:t>
                                    </w:r>
                                  </w:p>
                                </w:txbxContent>
                              </wps:txbx>
                              <wps:bodyPr vert="horz" lIns="0" tIns="0" rIns="0" bIns="0" anchor="ctr" anchorCtr="0" upright="1"/>
                            </wps:wsp>
                            <wps:wsp>
                              <wps:cNvPr id="110" name="文本框 281"/>
                              <wps:cNvSpPr txBox="1"/>
                              <wps:spPr>
                                <a:xfrm>
                                  <a:off x="4161" y="248711"/>
                                  <a:ext cx="807" cy="315"/>
                                </a:xfrm>
                                <a:prstGeom prst="rect">
                                  <a:avLst/>
                                </a:prstGeom>
                                <a:noFill/>
                                <a:ln>
                                  <a:noFill/>
                                </a:ln>
                              </wps:spPr>
                              <wps:txbx>
                                <w:txbxContent>
                                  <w:p>
                                    <w:pPr>
                                      <w:ind w:firstLine="180" w:firstLineChars="100"/>
                                      <w:rPr>
                                        <w:rFonts w:hint="default" w:ascii="Times New Roman" w:hAnsi="Times New Roman" w:cs="Times New Roman"/>
                                        <w:sz w:val="18"/>
                                        <w:szCs w:val="18"/>
                                      </w:rPr>
                                    </w:pPr>
                                    <w:r>
                                      <w:rPr>
                                        <w:rFonts w:hint="default" w:ascii="Times New Roman" w:hAnsi="Times New Roman" w:cs="Times New Roman"/>
                                        <w:sz w:val="18"/>
                                        <w:szCs w:val="18"/>
                                      </w:rPr>
                                      <w:t>N、G</w:t>
                                    </w:r>
                                  </w:p>
                                </w:txbxContent>
                              </wps:txbx>
                              <wps:bodyPr lIns="0" tIns="0" rIns="0" bIns="0" anchor="ctr" anchorCtr="0" upright="1"/>
                            </wps:wsp>
                            <wps:wsp>
                              <wps:cNvPr id="55" name="矩形 55"/>
                              <wps:cNvSpPr/>
                              <wps:spPr>
                                <a:xfrm>
                                  <a:off x="2892" y="253709"/>
                                  <a:ext cx="1936" cy="70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bCs/>
                                        <w:color w:val="000000"/>
                                        <w:sz w:val="18"/>
                                        <w:szCs w:val="18"/>
                                      </w:rPr>
                                    </w:pPr>
                                    <w:r>
                                      <w:rPr>
                                        <w:rFonts w:hint="eastAsia"/>
                                        <w:b/>
                                        <w:bCs/>
                                        <w:color w:val="000000"/>
                                        <w:sz w:val="18"/>
                                        <w:szCs w:val="18"/>
                                        <w:lang w:val="en-US" w:eastAsia="zh-CN"/>
                                      </w:rPr>
                                      <w:t>图例</w:t>
                                    </w:r>
                                    <w:r>
                                      <w:rPr>
                                        <w:rFonts w:hint="eastAsia"/>
                                        <w:b/>
                                        <w:bCs/>
                                        <w:color w:val="000000"/>
                                        <w:sz w:val="18"/>
                                        <w:szCs w:val="18"/>
                                        <w:lang w:val="en-US" w:eastAsia="zh-CN"/>
                                      </w:rPr>
                                      <w:br w:type="textWrapping"/>
                                    </w:r>
                                    <w:r>
                                      <w:rPr>
                                        <w:rFonts w:hint="eastAsia"/>
                                        <w:b/>
                                        <w:bCs/>
                                        <w:color w:val="000000"/>
                                        <w:sz w:val="18"/>
                                        <w:szCs w:val="18"/>
                                      </w:rPr>
                                      <w:t>N：噪声；G：废气；</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6pt;margin-top:20.5pt;height:320.35pt;width:409.75pt;z-index:251666432;mso-width-relative:page;mso-height-relative:page;" coordorigin="2892,248693" coordsize="8195,6407" o:gfxdata="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">
                      <o:lock v:ext="edit" aspectratio="f"/>
                      <v:rect id="Rectangle 284" o:spid="_x0000_s1026" o:spt="1" style="position:absolute;left:7599;top:254741;height:359;width:1071;" filled="f" stroked="f" coordsize="21600,21600" o:gfxdata="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h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djustRightInd w:val="0"/>
                                <w:snapToGrid w:val="0"/>
                                <w:rPr>
                                  <w:sz w:val="21"/>
                                  <w:szCs w:val="21"/>
                                </w:rPr>
                              </w:pPr>
                              <w:r>
                                <w:rPr>
                                  <w:rFonts w:hint="eastAsia"/>
                                  <w:sz w:val="21"/>
                                  <w:szCs w:val="21"/>
                                </w:rPr>
                                <w:t xml:space="preserve">   出 料</w:t>
                              </w:r>
                            </w:p>
                          </w:txbxContent>
                        </v:textbox>
                      </v:rect>
                      <v:shape id="自选图形 100" o:spid="_x0000_s1026" o:spt="109" type="#_x0000_t109" style="position:absolute;left:5589;top:251268;height:921;width:5498;" filled="f" stroked="t" coordsize="21600,21600" o:gfxdata="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ngVS8AAAA&#10;2gAAAA8AAAAAAAAAAQAgAAAAIgAAAGRycy9kb3ducmV2LnhtbFBLAQIUABQAAAAIAIdO4kAzLwWe&#10;OwAAADkAAAAQAAAAAAAAAAEAIAAAAAsBAABkcnMvc2hhcGV4bWwueG1sUEsFBgAAAAAGAAYAWwEA&#10;ALUDAAAAAA==&#10;">
                        <v:fill on="f" focussize="0,0"/>
                        <v:stroke weight="0.5pt" color="#000000" joinstyle="miter" dashstyle="dash"/>
                        <v:imagedata o:title=""/>
                        <o:lock v:ext="edit" aspectratio="f"/>
                        <v:textbox>
                          <w:txbxContent>
                            <w:p/>
                          </w:txbxContent>
                        </v:textbox>
                      </v:shape>
                      <v:rect id="Rectangle 284" o:spid="_x0000_s1026" o:spt="1" style="position:absolute;left:7439;top:252324;height:359;width:677;" filled="f" stroked="f" coordsize="21600,21600" o:gfxdata="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LC5r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djustRightInd w:val="0"/>
                                <w:snapToGrid w:val="0"/>
                                <w:rPr>
                                  <w:sz w:val="21"/>
                                  <w:szCs w:val="21"/>
                                </w:rPr>
                              </w:pPr>
                              <w:r>
                                <w:rPr>
                                  <w:rFonts w:hint="eastAsia"/>
                                  <w:sz w:val="21"/>
                                  <w:szCs w:val="21"/>
                                </w:rPr>
                                <w:t>放料阀</w:t>
                              </w:r>
                            </w:p>
                          </w:txbxContent>
                        </v:textbox>
                      </v:rect>
                      <v:rect id="Rectangle 285" o:spid="_x0000_s1026" o:spt="1" style="position:absolute;left:9136;top:252562;height:504;width:420;" filled="f" stroked="f" coordsize="21600,21600" o:gfxdata="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d9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adjustRightInd w:val="0"/>
                                <w:snapToGrid w:val="0"/>
                                <w:rPr>
                                  <w:sz w:val="21"/>
                                  <w:szCs w:val="21"/>
                                </w:rPr>
                              </w:pPr>
                              <w:r>
                                <w:rPr>
                                  <w:rFonts w:hint="eastAsia"/>
                                  <w:sz w:val="21"/>
                                  <w:szCs w:val="21"/>
                                </w:rPr>
                                <w:t>泵</w:t>
                              </w:r>
                            </w:p>
                          </w:txbxContent>
                        </v:textbox>
                      </v:rect>
                      <v:rect id="Rectangle 289" o:spid="_x0000_s1026" o:spt="1" style="position:absolute;left:5558;top:253497;height:554;width:5063;" filled="f" stroked="t" coordsize="21600,21600" o:gfxdata="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5Po4G2AAAA2gAAAA8A&#10;AAAAAAAAAQAgAAAAIgAAAGRycy9kb3ducmV2LnhtbFBLAQIUABQAAAAIAIdO4kAzLwWeOwAAADkA&#10;AAAQAAAAAAAAAAEAIAAAAAUBAABkcnMvc2hhcGV4bWwueG1sUEsFBgAAAAAGAAYAWwEAAK8DAAAA&#10;AA==&#10;">
                        <v:fill on="f" focussize="0,0"/>
                        <v:stroke color="#000000" joinstyle="miter"/>
                        <v:imagedata o:title=""/>
                        <o:lock v:ext="edit" aspectratio="f"/>
                        <v:textbox>
                          <w:txbxContent>
                            <w:p>
                              <w:pPr>
                                <w:jc w:val="center"/>
                                <w:rPr>
                                  <w:rFonts w:ascii="宋体" w:hAnsi="宋体"/>
                                  <w:sz w:val="21"/>
                                  <w:szCs w:val="21"/>
                                </w:rPr>
                              </w:pPr>
                              <w:r>
                                <w:rPr>
                                  <w:rFonts w:hint="eastAsia" w:ascii="宋体" w:hAnsi="宋体"/>
                                  <w:sz w:val="21"/>
                                  <w:szCs w:val="21"/>
                                  <w:lang w:val="en-US" w:eastAsia="zh-CN"/>
                                </w:rPr>
                                <w:t>搅拌机</w:t>
                              </w:r>
                              <w:r>
                                <w:rPr>
                                  <w:rFonts w:hint="eastAsia" w:ascii="宋体" w:hAnsi="宋体"/>
                                  <w:sz w:val="21"/>
                                  <w:szCs w:val="21"/>
                                </w:rPr>
                                <w:t xml:space="preserve">   </w:t>
                              </w:r>
                            </w:p>
                          </w:txbxContent>
                        </v:textbox>
                      </v:rect>
                      <v:line id="Line 290" o:spid="_x0000_s1026" o:spt="20" style="position:absolute;left:8115;top:251922;height:1567;width:0;"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291" o:spid="_x0000_s1026" o:spt="20" style="position:absolute;left:9595;top:251899;flip:x;height:1576;width:7;" filled="f" stroked="t" coordsize="21600,21600" o:gfxdata="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Fe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292" o:spid="_x0000_s1026" o:spt="20" style="position:absolute;left:10496;top:251916;height:1586;width:2;"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295" o:spid="_x0000_s1026" o:spt="202" type="#_x0000_t202" style="position:absolute;left:7832;top:251463;height:458;width:764;" filled="f" stroked="t" coordsize="21600,21600" o:gfxdata="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8Ir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adjustRightInd w:val="0"/>
                                <w:snapToGrid w:val="0"/>
                                <w:jc w:val="center"/>
                                <w:rPr>
                                  <w:rFonts w:ascii="宋体" w:hAnsi="宋体"/>
                                  <w:sz w:val="21"/>
                                  <w:szCs w:val="21"/>
                                </w:rPr>
                              </w:pPr>
                              <w:r>
                                <w:rPr>
                                  <w:rFonts w:hint="eastAsia" w:ascii="宋体" w:hAnsi="宋体"/>
                                  <w:sz w:val="21"/>
                                  <w:szCs w:val="21"/>
                                </w:rPr>
                                <w:t>计量</w:t>
                              </w:r>
                            </w:p>
                          </w:txbxContent>
                        </v:textbox>
                      </v:shape>
                      <v:shape id="Text Box 296" o:spid="_x0000_s1026" o:spt="202" type="#_x0000_t202" style="position:absolute;left:9154;top:251434;height:465;width:764;" filled="f" stroked="t" coordsize="21600,21600" o:gfxdata="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2W2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adjustRightInd w:val="0"/>
                                <w:snapToGrid w:val="0"/>
                                <w:jc w:val="center"/>
                                <w:rPr>
                                  <w:rFonts w:ascii="宋体" w:hAnsi="宋体"/>
                                  <w:sz w:val="21"/>
                                  <w:szCs w:val="21"/>
                                </w:rPr>
                              </w:pPr>
                              <w:r>
                                <w:rPr>
                                  <w:rFonts w:hint="eastAsia" w:ascii="宋体" w:hAnsi="宋体"/>
                                  <w:sz w:val="21"/>
                                  <w:szCs w:val="21"/>
                                </w:rPr>
                                <w:t>计量</w:t>
                              </w:r>
                            </w:p>
                          </w:txbxContent>
                        </v:textbox>
                      </v:shape>
                      <v:shape id="Text Box 297" o:spid="_x0000_s1026" o:spt="202" type="#_x0000_t202" style="position:absolute;left:10158;top:251447;height:467;width:764;" filled="f" stroked="t" coordsize="21600,21600" o:gfxdata="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EzQ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adjustRightInd w:val="0"/>
                                <w:snapToGrid w:val="0"/>
                                <w:jc w:val="center"/>
                                <w:rPr>
                                  <w:rFonts w:ascii="宋体" w:hAnsi="宋体"/>
                                  <w:sz w:val="21"/>
                                  <w:szCs w:val="21"/>
                                </w:rPr>
                              </w:pPr>
                              <w:r>
                                <w:rPr>
                                  <w:rFonts w:hint="eastAsia" w:ascii="宋体" w:hAnsi="宋体"/>
                                  <w:sz w:val="21"/>
                                  <w:szCs w:val="21"/>
                                </w:rPr>
                                <w:t>计量</w:t>
                              </w:r>
                            </w:p>
                          </w:txbxContent>
                        </v:textbox>
                      </v:shape>
                      <v:shape id="Text Box 299" o:spid="_x0000_s1026" o:spt="202" type="#_x0000_t202" style="position:absolute;left:3920;top:251320;height:959;width:1658;"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adjustRightInd w:val="0"/>
                                <w:snapToGrid w:val="0"/>
                                <w:jc w:val="center"/>
                                <w:rPr>
                                  <w:rFonts w:ascii="宋体" w:hAnsi="宋体"/>
                                  <w:sz w:val="21"/>
                                  <w:szCs w:val="21"/>
                                </w:rPr>
                              </w:pPr>
                              <w:r>
                                <w:rPr>
                                  <w:rFonts w:hint="eastAsia" w:ascii="宋体" w:hAnsi="宋体"/>
                                  <w:sz w:val="21"/>
                                  <w:szCs w:val="21"/>
                                </w:rPr>
                                <w:t>微机控制系统根据选定的配方进行计量</w:t>
                              </w:r>
                            </w:p>
                          </w:txbxContent>
                        </v:textbox>
                      </v:shape>
                      <v:line id="Line 303" o:spid="_x0000_s1026" o:spt="20" style="position:absolute;left:6172;top:250380;height:0;width: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306" o:spid="_x0000_s1026" o:spt="1" style="position:absolute;left:5268;top:250733;height:369;width:854;" filled="f" stroked="f" coordsize="21600,21600" o:gfxdata="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Y8Z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adjustRightInd w:val="0"/>
                                <w:snapToGrid w:val="0"/>
                                <w:jc w:val="center"/>
                                <w:rPr>
                                  <w:sz w:val="21"/>
                                  <w:szCs w:val="21"/>
                                </w:rPr>
                              </w:pPr>
                            </w:p>
                          </w:txbxContent>
                        </v:textbox>
                      </v:rect>
                      <v:line id="Line 309" o:spid="_x0000_s1026" o:spt="20" style="position:absolute;left:9587;top:250133;flip:x;height:1304;width:0;" filled="f" stroked="t" coordsize="21600,21600" o:gfxdata="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TW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10" o:spid="_x0000_s1026" o:spt="20" style="position:absolute;left:6413;top:249852;height:1588;width:1;"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312" o:spid="_x0000_s1026" o:spt="20" style="position:absolute;left:10704;top:250356;flip:x;height:1094;width:0;" filled="f" stroked="t" coordsize="21600,21600" o:gfxdata="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4Q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313" o:spid="_x0000_s1026" o:spt="20" style="position:absolute;left:8127;top:250622;flip:x;height:850;width:0;" filled="f" stroked="t" coordsize="21600,21600" o:gfxdata="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K1U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315" o:spid="_x0000_s1026" o:spt="1" style="position:absolute;left:9236;top:248749;height:346;width:688;"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djustRightInd w:val="0"/>
                                <w:snapToGrid w:val="0"/>
                                <w:jc w:val="center"/>
                                <w:rPr>
                                  <w:sz w:val="21"/>
                                  <w:szCs w:val="21"/>
                                </w:rPr>
                              </w:pPr>
                              <w:r>
                                <w:rPr>
                                  <w:rFonts w:hint="eastAsia"/>
                                  <w:sz w:val="21"/>
                                  <w:szCs w:val="21"/>
                                </w:rPr>
                                <w:t>水泵</w:t>
                              </w:r>
                            </w:p>
                          </w:txbxContent>
                        </v:textbox>
                      </v:rect>
                      <v:rect id="Rectangle 324" o:spid="_x0000_s1026" o:spt="1" style="position:absolute;left:7690;top:250214;height:394;width:792;" filled="f" stroked="t" coordsize="21600,21600" o:gfxdata="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gJqE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2.54mm,0.5mm,2.54mm,0mm">
                          <w:txbxContent>
                            <w:p>
                              <w:pPr>
                                <w:jc w:val="center"/>
                                <w:rPr>
                                  <w:rFonts w:ascii="宋体" w:hAnsi="宋体"/>
                                  <w:sz w:val="21"/>
                                  <w:szCs w:val="21"/>
                                </w:rPr>
                              </w:pPr>
                              <w:r>
                                <w:rPr>
                                  <w:rFonts w:hint="eastAsia" w:ascii="宋体" w:hAnsi="宋体"/>
                                  <w:sz w:val="21"/>
                                  <w:szCs w:val="21"/>
                                </w:rPr>
                                <w:t>筒仓</w:t>
                              </w:r>
                            </w:p>
                          </w:txbxContent>
                        </v:textbox>
                      </v:rect>
                      <v:shape id="Text Box 326" o:spid="_x0000_s1026" o:spt="202" type="#_x0000_t202" style="position:absolute;left:9154;top:249635;height:502;width:764;" filled="f" stroked="t" coordsize="21600,21600" o:gfxdata="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Rhi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adjustRightInd w:val="0"/>
                                <w:snapToGrid w:val="0"/>
                                <w:jc w:val="center"/>
                                <w:rPr>
                                  <w:rFonts w:ascii="宋体" w:hAnsi="宋体"/>
                                  <w:sz w:val="21"/>
                                  <w:szCs w:val="21"/>
                                </w:rPr>
                              </w:pPr>
                              <w:r>
                                <w:rPr>
                                  <w:rFonts w:hint="eastAsia" w:ascii="宋体" w:hAnsi="宋体"/>
                                  <w:sz w:val="21"/>
                                  <w:szCs w:val="21"/>
                                </w:rPr>
                                <w:t>水槽</w:t>
                              </w:r>
                            </w:p>
                          </w:txbxContent>
                        </v:textbox>
                      </v:shape>
                      <v:line id="Line 328" o:spid="_x0000_s1026" o:spt="20" style="position:absolute;left:9552;top:249104;height:537;width:8;"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329" o:spid="_x0000_s1026" o:spt="202" type="#_x0000_t202" style="position:absolute;left:10289;top:249316;height:1019;width:798;" filled="f" stroked="t" coordsize="21600,21600" o:gfxdata="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KWme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adjustRightInd w:val="0"/>
                                <w:snapToGrid w:val="0"/>
                                <w:jc w:val="center"/>
                                <w:rPr>
                                  <w:rFonts w:ascii="宋体" w:hAnsi="宋体"/>
                                  <w:sz w:val="21"/>
                                  <w:szCs w:val="21"/>
                                </w:rPr>
                              </w:pPr>
                              <w:r>
                                <w:rPr>
                                  <w:rFonts w:hint="eastAsia" w:ascii="宋体" w:hAnsi="宋体"/>
                                  <w:sz w:val="21"/>
                                  <w:szCs w:val="21"/>
                                </w:rPr>
                                <w:t>外加剂储罐</w:t>
                              </w:r>
                            </w:p>
                          </w:txbxContent>
                        </v:textbox>
                      </v:shape>
                      <v:rect id="Rectangle 337" o:spid="_x0000_s1026" o:spt="1" style="position:absolute;left:5589;top:250369;height:815;width:685;" filled="f" stroked="f" coordsize="21600,21600" o:gfxdata="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nCL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djustRightInd w:val="0"/>
                                <w:snapToGrid w:val="0"/>
                                <w:jc w:val="center"/>
                                <w:rPr>
                                  <w:sz w:val="21"/>
                                  <w:szCs w:val="21"/>
                                </w:rPr>
                              </w:pPr>
                              <w:r>
                                <w:rPr>
                                  <w:rFonts w:hint="eastAsia"/>
                                  <w:sz w:val="21"/>
                                  <w:szCs w:val="21"/>
                                </w:rPr>
                                <w:t>皮带输送机</w:t>
                              </w:r>
                            </w:p>
                          </w:txbxContent>
                        </v:textbox>
                      </v:rect>
                      <v:rect id="Rectangle 308" o:spid="_x0000_s1026" o:spt="1" style="position:absolute;left:6763;top:250733;height:400;width:1592;" filled="f" stroked="f" coordsize="21600,21600" o:gfxdata="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4r4c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adjustRightInd w:val="0"/>
                                <w:snapToGrid w:val="0"/>
                                <w:jc w:val="center"/>
                                <w:rPr>
                                  <w:sz w:val="21"/>
                                  <w:szCs w:val="21"/>
                                </w:rPr>
                              </w:pPr>
                              <w:r>
                                <w:rPr>
                                  <w:rFonts w:hint="eastAsia"/>
                                  <w:sz w:val="21"/>
                                  <w:szCs w:val="21"/>
                                </w:rPr>
                                <w:t>螺旋输送机</w:t>
                              </w:r>
                            </w:p>
                          </w:txbxContent>
                        </v:textbox>
                      </v:rect>
                      <v:line id="Line 327" o:spid="_x0000_s1026" o:spt="20" style="position:absolute;left:8115;top:249141;height:1059;width: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0" o:spid="_x0000_s1026" o:spt="1" style="position:absolute;left:7915;top:249249;height:430;width:964;" filled="f" stroked="f" coordsize="21600,21600" o:gfxdata="UEsDBAoAAAAAAIdO4kAAAAAAAAAAAAAAAAAEAAAAZHJzL1BLAwQUAAAACACHTuJAq1hmB74AAADb&#10;AAAADwAAAGRycy9kb3ducmV2LnhtbEWPQWuDQBSE74X+h+UVeil1TYV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hmB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adjustRightInd w:val="0"/>
                                <w:snapToGrid w:val="0"/>
                                <w:jc w:val="center"/>
                                <w:rPr>
                                  <w:rFonts w:ascii="宋体" w:hAnsi="宋体"/>
                                  <w:sz w:val="21"/>
                                  <w:szCs w:val="21"/>
                                </w:rPr>
                              </w:pPr>
                              <w:r>
                                <w:rPr>
                                  <w:rFonts w:hint="eastAsia" w:ascii="宋体" w:hAnsi="宋体"/>
                                  <w:sz w:val="21"/>
                                  <w:szCs w:val="21"/>
                                </w:rPr>
                                <w:t>气泵</w:t>
                              </w:r>
                            </w:p>
                          </w:txbxContent>
                        </v:textbox>
                      </v:rect>
                      <v:rect id="矩形 83" o:spid="_x0000_s1026" o:spt="1" style="position:absolute;left:8292;top:249717;height:430;width:964;" filled="f" stroked="f" coordsize="21600,21600" o:gfxdata="UEsDBAoAAAAAAIdO4kAAAAAAAAAAAAAAAAAEAAAAZHJzL1BLAwQUAAAACACHTuJAJLH+c74AAADb&#10;AAAADwAAAGRycy9kb3ducmV2LnhtbEWPQWvCQBSE7wX/w/KEXopuYou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H+c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adjustRightInd w:val="0"/>
                                <w:snapToGrid w:val="0"/>
                                <w:jc w:val="center"/>
                                <w:rPr>
                                  <w:rFonts w:hint="eastAsia" w:ascii="宋体" w:hAnsi="宋体" w:eastAsia="宋体"/>
                                  <w:sz w:val="21"/>
                                  <w:szCs w:val="21"/>
                                  <w:lang w:val="en-US" w:eastAsia="zh-CN"/>
                                </w:rPr>
                              </w:pPr>
                              <w:r>
                                <w:rPr>
                                  <w:rFonts w:hint="eastAsia" w:ascii="宋体" w:hAnsi="宋体"/>
                                  <w:sz w:val="21"/>
                                  <w:szCs w:val="21"/>
                                  <w:lang w:val="en-US" w:eastAsia="zh-CN"/>
                                </w:rPr>
                                <w:t>G</w:t>
                              </w:r>
                            </w:p>
                          </w:txbxContent>
                        </v:textbox>
                      </v:rect>
                      <v:line id="直线 85" o:spid="_x0000_s1026" o:spt="20" style="position:absolute;left:8542;top:250071;flip:y;height:264;width:259;" filled="f" stroked="t" coordsize="21600,21600" o:gfxdata="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GOtK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rect id="矩形 113" o:spid="_x0000_s1026" o:spt="1" style="position:absolute;left:6816;top:252699;height:430;width:964;" filled="f" stroked="f" coordsize="21600,21600" o:gfxdata="UEsDBAoAAAAAAIdO4kAAAAAAAAAAAAAAAAAEAAAAZHJzL1BLAwQUAAAACACHTuJAuy/Fn70AAADb&#10;AAAADwAAAGRycy9kb3ducmV2LnhtbEWPQYvCMBSE78L+h/AWvMiaqiB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8Wf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N、</w:t>
                              </w:r>
                              <w:r>
                                <w:rPr>
                                  <w:rFonts w:hint="default" w:ascii="Times New Roman" w:hAnsi="Times New Roman" w:cs="Times New Roman"/>
                                  <w:sz w:val="21"/>
                                  <w:szCs w:val="21"/>
                                  <w:lang w:val="en-US" w:eastAsia="zh-CN"/>
                                </w:rPr>
                                <w:t>G</w:t>
                              </w:r>
                            </w:p>
                          </w:txbxContent>
                        </v:textbox>
                      </v:rect>
                      <v:line id="直线 114" o:spid="_x0000_s1026" o:spt="20" style="position:absolute;left:7256;top:253045;flip:x y;height:437;width:0;" filled="f" stroked="t" coordsize="21600,21600" o:gfxdata="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WmLu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rect id="Rectangle 284" o:spid="_x0000_s1026" o:spt="1" style="position:absolute;left:9769;top:252541;height:359;width:677;" filled="f" stroked="f" coordsize="21600,21600" o:gfxdata="UEsDBAoAAAAAAIdO4kAAAAAAAAAAAAAAAAAEAAAAZHJzL1BLAwQUAAAACACHTuJAmAzxaboAAADb&#10;AAAADwAAAGRycy9kb3ducmV2LnhtbEVPTYvCMBC9C/sfwix401QF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DPF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adjustRightInd w:val="0"/>
                                <w:snapToGrid w:val="0"/>
                                <w:rPr>
                                  <w:sz w:val="21"/>
                                  <w:szCs w:val="21"/>
                                </w:rPr>
                              </w:pPr>
                              <w:r>
                                <w:rPr>
                                  <w:rFonts w:hint="eastAsia"/>
                                  <w:sz w:val="21"/>
                                  <w:szCs w:val="21"/>
                                </w:rPr>
                                <w:t>放料阀</w:t>
                              </w:r>
                            </w:p>
                          </w:txbxContent>
                        </v:textbox>
                      </v:rect>
                      <v:rect id="Rectangle 337" o:spid="_x0000_s1026" o:spt="1" style="position:absolute;left:10116;top:250577;height:601;width:612;" filled="f" stroked="f" coordsize="21600,21600" o:gfxdata="UEsDBAoAAAAAAIdO4kAAAAAAAAAAAAAAAAAEAAAAZHJzL1BLAwQUAAAACACHTuJA90BU8r8AAADb&#10;AAAADwAAAGRycy9kb3ducmV2LnhtbEWPT2vCQBTE74LfYXlCb2aTF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AVP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adjustRightInd w:val="0"/>
                                <w:snapToGrid w:val="0"/>
                                <w:jc w:val="center"/>
                                <w:rPr>
                                  <w:sz w:val="21"/>
                                  <w:szCs w:val="21"/>
                                </w:rPr>
                              </w:pPr>
                              <w:r>
                                <w:rPr>
                                  <w:rFonts w:hint="eastAsia"/>
                                  <w:sz w:val="21"/>
                                  <w:szCs w:val="21"/>
                                </w:rPr>
                                <w:t>管道泵送</w:t>
                              </w:r>
                            </w:p>
                          </w:txbxContent>
                        </v:textbox>
                      </v:rect>
                      <v:rect id="Rectangle 337" o:spid="_x0000_s1026" o:spt="1" style="position:absolute;left:8961;top:250569;height:601;width:612;" filled="f" stroked="f" coordsize="21600,21600" o:gfxdata="UEsDBAoAAAAAAIdO4kAAAAAAAAAAAAAAAAAEAAAAZHJzL1BLAwQUAAAACACHTuJAPnyOEroAAADb&#10;AAAADwAAAGRycy9kb3ducmV2LnhtbEVPTYvCMBC9C/sfwix401QR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4S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adjustRightInd w:val="0"/>
                                <w:snapToGrid w:val="0"/>
                                <w:jc w:val="center"/>
                                <w:rPr>
                                  <w:sz w:val="21"/>
                                  <w:szCs w:val="21"/>
                                </w:rPr>
                              </w:pPr>
                              <w:r>
                                <w:rPr>
                                  <w:rFonts w:hint="eastAsia"/>
                                  <w:sz w:val="21"/>
                                  <w:szCs w:val="21"/>
                                </w:rPr>
                                <w:t>管道泵送</w:t>
                              </w:r>
                            </w:p>
                          </w:txbxContent>
                        </v:textbox>
                      </v:rect>
                      <v:rect id="Rectangle 284" o:spid="_x0000_s1026" o:spt="1" style="position:absolute;left:5652;top:252606;height:359;width:677;" filled="f" stroked="f" coordsize="21600,21600" o:gfxdata="UEsDBAoAAAAAAIdO4kAAAAAAAAAAAAAAAAAEAAAAZHJzL1BLAwQUAAAACACHTuJAUTArib4AAADb&#10;AAAADwAAAGRycy9kb3ducmV2LnhtbEWPQWvCQBSE7wX/w/KE3ppNi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ri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djustRightInd w:val="0"/>
                                <w:snapToGrid w:val="0"/>
                                <w:rPr>
                                  <w:sz w:val="21"/>
                                  <w:szCs w:val="21"/>
                                </w:rPr>
                              </w:pPr>
                              <w:r>
                                <w:rPr>
                                  <w:rFonts w:hint="eastAsia"/>
                                  <w:sz w:val="21"/>
                                  <w:szCs w:val="21"/>
                                </w:rPr>
                                <w:t>放料阀</w:t>
                              </w:r>
                            </w:p>
                          </w:txbxContent>
                        </v:textbox>
                      </v:rect>
                      <v:line id="Line 318" o:spid="_x0000_s1026" o:spt="20" style="position:absolute;left:3457;top:249559;flip:y;height:0;width:630;" filled="f" stroked="t" coordsize="21600,21600" o:gfxdata="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Tax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319" o:spid="_x0000_s1026" o:spt="1" style="position:absolute;left:4087;top:249363;height:430;width:964;" filled="f" stroked="t" coordsize="21600,21600" o:gfxdata="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YDQ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adjustRightInd w:val="0"/>
                                <w:snapToGrid w:val="0"/>
                                <w:jc w:val="center"/>
                                <w:rPr>
                                  <w:rFonts w:ascii="宋体" w:hAnsi="宋体"/>
                                  <w:sz w:val="21"/>
                                  <w:szCs w:val="21"/>
                                </w:rPr>
                              </w:pPr>
                              <w:r>
                                <w:rPr>
                                  <w:rFonts w:hint="eastAsia" w:ascii="宋体" w:hAnsi="宋体"/>
                                  <w:sz w:val="21"/>
                                  <w:szCs w:val="21"/>
                                </w:rPr>
                                <w:t>卸料</w:t>
                              </w:r>
                            </w:p>
                          </w:txbxContent>
                        </v:textbox>
                      </v:rect>
                      <v:shape id="Text Box 320" o:spid="_x0000_s1026" o:spt="202" type="#_x0000_t202" style="position:absolute;left:6013;top:249357;height:505;width:945;" filled="f" stroked="t" coordsize="21600,21600" o:gfxdata="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hs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adjustRightInd w:val="0"/>
                                <w:snapToGrid w:val="0"/>
                                <w:rPr>
                                  <w:rFonts w:hint="eastAsia" w:eastAsia="宋体"/>
                                  <w:sz w:val="21"/>
                                  <w:szCs w:val="21"/>
                                  <w:lang w:val="en-US" w:eastAsia="zh-CN"/>
                                </w:rPr>
                              </w:pPr>
                              <w:r>
                                <w:rPr>
                                  <w:rFonts w:hint="eastAsia"/>
                                  <w:sz w:val="21"/>
                                  <w:szCs w:val="21"/>
                                  <w:lang w:val="en-US" w:eastAsia="zh-CN"/>
                                </w:rPr>
                                <w:t>配料机</w:t>
                              </w:r>
                            </w:p>
                          </w:txbxContent>
                        </v:textbox>
                      </v:shape>
                      <v:line id="Line 331" o:spid="_x0000_s1026" o:spt="20" style="position:absolute;left:5066;top:249570;height:0;width:955;"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335" o:spid="_x0000_s1026" o:spt="1" style="position:absolute;left:5038;top:249188;height:482;width:970;" filled="f" stroked="f" coordsize="21600,21600" o:gfxdata="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UTe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adjustRightInd w:val="0"/>
                                <w:snapToGrid w:val="0"/>
                                <w:jc w:val="center"/>
                                <w:rPr>
                                  <w:sz w:val="21"/>
                                  <w:szCs w:val="21"/>
                                </w:rPr>
                              </w:pPr>
                              <w:r>
                                <w:rPr>
                                  <w:rFonts w:hint="eastAsia"/>
                                  <w:sz w:val="21"/>
                                  <w:szCs w:val="21"/>
                                </w:rPr>
                                <w:t>装载机</w:t>
                              </w:r>
                            </w:p>
                          </w:txbxContent>
                        </v:textbox>
                      </v:rect>
                      <v:line id="直线 73" o:spid="_x0000_s1026" o:spt="20" style="position:absolute;left:4567;top:249023;flip:x y;height:340;width:0;" filled="f" stroked="t" coordsize="21600,21600" o:gfxdata="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j3+0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line id="直线 72" o:spid="_x0000_s1026" o:spt="20" style="position:absolute;left:6438;top:249017;flip:x y;height:340;width:0;" filled="f" stroked="t" coordsize="21600,21600" o:gfxdata="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D2i+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rect id="矩形 71" o:spid="_x0000_s1026" o:spt="1" style="position:absolute;left:3265;top:249188;height:482;width:970;" filled="f" stroked="f" coordsize="21600,21600" o:gfxdata="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Ud0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adjustRightInd w:val="0"/>
                                <w:snapToGrid w:val="0"/>
                                <w:jc w:val="center"/>
                                <w:rPr>
                                  <w:sz w:val="21"/>
                                  <w:szCs w:val="21"/>
                                </w:rPr>
                              </w:pPr>
                              <w:r>
                                <w:rPr>
                                  <w:rFonts w:hint="eastAsia"/>
                                  <w:sz w:val="21"/>
                                  <w:szCs w:val="21"/>
                                </w:rPr>
                                <w:t>汽运</w:t>
                              </w:r>
                            </w:p>
                          </w:txbxContent>
                        </v:textbox>
                      </v:rect>
                      <v:line id="直线 118" o:spid="_x0000_s1026" o:spt="20" style="position:absolute;left:8145;top:254065;height:726;width:9;"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295" o:spid="_x0000_s1026" o:spt="202" type="#_x0000_t202" style="position:absolute;left:6082;top:251447;height:458;width:764;" filled="f" stroked="t" coordsize="21600,21600" o:gfxdata="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53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adjustRightInd w:val="0"/>
                                <w:snapToGrid w:val="0"/>
                                <w:jc w:val="center"/>
                                <w:rPr>
                                  <w:rFonts w:ascii="宋体" w:hAnsi="宋体"/>
                                  <w:sz w:val="21"/>
                                  <w:szCs w:val="21"/>
                                </w:rPr>
                              </w:pPr>
                              <w:r>
                                <w:rPr>
                                  <w:rFonts w:hint="eastAsia" w:ascii="宋体" w:hAnsi="宋体"/>
                                  <w:sz w:val="21"/>
                                  <w:szCs w:val="21"/>
                                </w:rPr>
                                <w:t>计量</w:t>
                              </w:r>
                            </w:p>
                          </w:txbxContent>
                        </v:textbox>
                      </v:shape>
                      <v:line id="Line 310" o:spid="_x0000_s1026" o:spt="20" style="position:absolute;left:6463;top:251919;height:1588;width:1;" filled="f" stroked="t" coordsize="21600,21600" o:gfxdata="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K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80" o:spid="_x0000_s1026" o:spt="202" type="#_x0000_t202" style="position:absolute;left:6048;top:248693;height:315;width:807;v-text-anchor:middle;" filled="f" stroked="f" coordsize="21600,21600" o:gfxdata="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p+a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180" w:firstLineChars="100"/>
                                <w:rPr>
                                  <w:rFonts w:hint="default" w:ascii="Times New Roman" w:hAnsi="Times New Roman" w:cs="Times New Roman"/>
                                  <w:sz w:val="18"/>
                                  <w:szCs w:val="18"/>
                                </w:rPr>
                              </w:pPr>
                              <w:r>
                                <w:rPr>
                                  <w:rFonts w:hint="default" w:ascii="Times New Roman" w:hAnsi="Times New Roman" w:cs="Times New Roman"/>
                                  <w:sz w:val="18"/>
                                  <w:szCs w:val="18"/>
                                </w:rPr>
                                <w:t>N、G</w:t>
                              </w:r>
                            </w:p>
                          </w:txbxContent>
                        </v:textbox>
                      </v:shape>
                      <v:shape id="文本框 281" o:spid="_x0000_s1026" o:spt="202" type="#_x0000_t202" style="position:absolute;left:4161;top:248711;height:315;width:807;v-text-anchor:middle;" filled="f" stroked="f" coordsize="21600,21600" o:gfxdata="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Ssb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180" w:firstLineChars="100"/>
                                <w:rPr>
                                  <w:rFonts w:hint="default" w:ascii="Times New Roman" w:hAnsi="Times New Roman" w:cs="Times New Roman"/>
                                  <w:sz w:val="18"/>
                                  <w:szCs w:val="18"/>
                                </w:rPr>
                              </w:pPr>
                              <w:r>
                                <w:rPr>
                                  <w:rFonts w:hint="default" w:ascii="Times New Roman" w:hAnsi="Times New Roman" w:cs="Times New Roman"/>
                                  <w:sz w:val="18"/>
                                  <w:szCs w:val="18"/>
                                </w:rPr>
                                <w:t>N、G</w:t>
                              </w:r>
                            </w:p>
                          </w:txbxContent>
                        </v:textbox>
                      </v:shape>
                      <v:rect id="_x0000_s1026" o:spid="_x0000_s1026" o:spt="1" style="position:absolute;left:2892;top:253709;height:705;width:1936;v-text-anchor:middle;" filled="f" stroked="t" coordsize="21600,21600" o:gfxdata="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58um8AAAA&#10;2wAAAA8AAAAAAAAAAQAgAAAAIgAAAGRycy9kb3ducmV2LnhtbFBLAQIUABQAAAAIAIdO4kAzLwWe&#10;OwAAADkAAAAQAAAAAAAAAAEAIAAAAAsBAABkcnMvc2hhcGV4bWwueG1sUEsFBgAAAAAGAAYAWwEA&#10;ALUDAAAAAA==&#10;">
                        <v:fill on="f" focussize="0,0"/>
                        <v:stroke weight="1pt" color="#000000 [3213]" joinstyle="round"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bCs/>
                                  <w:color w:val="000000"/>
                                  <w:sz w:val="18"/>
                                  <w:szCs w:val="18"/>
                                </w:rPr>
                              </w:pPr>
                              <w:r>
                                <w:rPr>
                                  <w:rFonts w:hint="eastAsia"/>
                                  <w:b/>
                                  <w:bCs/>
                                  <w:color w:val="000000"/>
                                  <w:sz w:val="18"/>
                                  <w:szCs w:val="18"/>
                                  <w:lang w:val="en-US" w:eastAsia="zh-CN"/>
                                </w:rPr>
                                <w:t>图例</w:t>
                              </w:r>
                              <w:r>
                                <w:rPr>
                                  <w:rFonts w:hint="eastAsia"/>
                                  <w:b/>
                                  <w:bCs/>
                                  <w:color w:val="000000"/>
                                  <w:sz w:val="18"/>
                                  <w:szCs w:val="18"/>
                                  <w:lang w:val="en-US" w:eastAsia="zh-CN"/>
                                </w:rPr>
                                <w:br w:type="textWrapping"/>
                              </w:r>
                              <w:r>
                                <w:rPr>
                                  <w:rFonts w:hint="eastAsia"/>
                                  <w:b/>
                                  <w:bCs/>
                                  <w:color w:val="000000"/>
                                  <w:sz w:val="18"/>
                                  <w:szCs w:val="18"/>
                                </w:rPr>
                                <w:t>N：噪声；G：废气；</w:t>
                              </w:r>
                            </w:p>
                            <w:p>
                              <w:pPr>
                                <w:jc w:val="center"/>
                              </w:pPr>
                            </w:p>
                          </w:txbxContent>
                        </v:textbox>
                      </v:rect>
                    </v:group>
                  </w:pict>
                </mc:Fallback>
              </mc:AlternateConten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pStyle w:val="45"/>
              <w:spacing w:before="0" w:after="0" w:afterAutospacing="0" w:line="440" w:lineRule="exact"/>
              <w:jc w:val="center"/>
              <w:rPr>
                <w:rFonts w:ascii="Times New Roman" w:hAnsi="Times New Roman" w:eastAsia="宋体" w:cs="Times New Roman"/>
                <w:spacing w:val="0"/>
              </w:rPr>
            </w:pPr>
          </w:p>
          <w:p>
            <w:pPr>
              <w:pStyle w:val="45"/>
              <w:spacing w:before="0" w:after="0" w:afterAutospacing="0" w:line="440" w:lineRule="exact"/>
              <w:ind w:firstLine="2650" w:firstLineChars="1100"/>
              <w:jc w:val="both"/>
              <w:rPr>
                <w:rFonts w:ascii="Times New Roman" w:hAnsi="Times New Roman"/>
                <w:b/>
              </w:rPr>
            </w:pPr>
            <w:r>
              <w:rPr>
                <w:rFonts w:hint="eastAsia" w:ascii="Times New Roman" w:hAnsi="Times New Roman" w:eastAsia="宋体" w:cs="Times New Roman"/>
                <w:b/>
                <w:color w:val="000000"/>
                <w:spacing w:val="0"/>
                <w:kern w:val="2"/>
                <w:sz w:val="24"/>
                <w:szCs w:val="24"/>
                <w:lang w:val="en-US" w:eastAsia="zh-CN" w:bidi="ar-SA"/>
              </w:rPr>
              <w:t>图2  项目生产工艺及产污环节图</w:t>
            </w:r>
          </w:p>
          <w:p>
            <w:pPr>
              <w:spacing w:line="440" w:lineRule="exact"/>
              <w:rPr>
                <w:sz w:val="24"/>
              </w:rPr>
            </w:pPr>
            <w:r>
              <w:rPr>
                <w:rFonts w:hint="eastAsia"/>
                <w:sz w:val="24"/>
              </w:rPr>
              <w:t>工艺流程简述：</w:t>
            </w:r>
          </w:p>
          <w:p>
            <w:pPr>
              <w:spacing w:line="440" w:lineRule="exact"/>
              <w:rPr>
                <w:sz w:val="24"/>
              </w:rPr>
            </w:pPr>
            <w:r>
              <w:rPr>
                <w:rFonts w:hint="eastAsia"/>
                <w:sz w:val="24"/>
              </w:rPr>
              <w:t xml:space="preserve">  （</w:t>
            </w:r>
            <w:r>
              <w:rPr>
                <w:sz w:val="24"/>
              </w:rPr>
              <w:t>1</w:t>
            </w:r>
            <w:r>
              <w:rPr>
                <w:rFonts w:hint="eastAsia"/>
                <w:sz w:val="24"/>
              </w:rPr>
              <w:t>）原料进厂</w:t>
            </w:r>
          </w:p>
          <w:p>
            <w:pPr>
              <w:pStyle w:val="39"/>
              <w:spacing w:line="440" w:lineRule="exact"/>
              <w:ind w:firstLine="480" w:firstLineChars="200"/>
              <w:rPr>
                <w:rFonts w:ascii="Times New Roman" w:hAnsi="Times New Roman" w:cs="Times New Roman"/>
                <w:sz w:val="24"/>
                <w:szCs w:val="24"/>
              </w:rPr>
            </w:pPr>
            <w:r>
              <w:rPr>
                <w:rFonts w:hint="eastAsia"/>
                <w:sz w:val="24"/>
                <w:szCs w:val="24"/>
              </w:rPr>
              <w:t>①石子、砂子的运输、输送与储存：</w:t>
            </w:r>
            <w:r>
              <w:rPr>
                <w:rFonts w:hint="eastAsia"/>
                <w:sz w:val="24"/>
              </w:rPr>
              <w:t>本项目所需要</w:t>
            </w:r>
            <w:r>
              <w:rPr>
                <w:rFonts w:hint="eastAsia" w:ascii="Times New Roman" w:hAnsi="Times New Roman" w:cs="Times New Roman"/>
                <w:sz w:val="24"/>
                <w:szCs w:val="24"/>
              </w:rPr>
              <w:t>砂子与石子由篷布覆盖的运货车运输进厂，然后在密闭料库内卸料，建设单位配备移动式小型雾炮机，卸料时开启雾炮机喷雾，治理卸料过程中产生的粉尘。在密闭料库内投料，利用铲车将石子、砂子倒入</w:t>
            </w:r>
            <w:r>
              <w:rPr>
                <w:rFonts w:hint="eastAsia" w:ascii="Times New Roman" w:hAnsi="Times New Roman" w:cs="Times New Roman"/>
                <w:sz w:val="24"/>
                <w:szCs w:val="24"/>
                <w:lang w:val="en-US" w:eastAsia="zh-CN"/>
              </w:rPr>
              <w:t>配料机</w:t>
            </w:r>
            <w:r>
              <w:rPr>
                <w:rFonts w:hint="eastAsia" w:ascii="Times New Roman" w:hAnsi="Times New Roman" w:cs="Times New Roman"/>
                <w:sz w:val="24"/>
                <w:szCs w:val="24"/>
              </w:rPr>
              <w:t>锥形下料器内，下料器出口安装有计量秤，称重后的物料通过密闭皮带输送入搅拌机料仓。石子、砂子在投料过程会产生粉尘，在锥形下料器的料斗上方安装集气罩，将粉尘收集后通入袋式除尘器治理，通过</w:t>
            </w:r>
            <w:r>
              <w:rPr>
                <w:rFonts w:ascii="Times New Roman" w:hAnsi="Times New Roman" w:cs="Times New Roman"/>
                <w:sz w:val="24"/>
                <w:szCs w:val="24"/>
              </w:rPr>
              <w:t>1</w:t>
            </w:r>
            <w:r>
              <w:rPr>
                <w:rFonts w:hint="eastAsia" w:ascii="Times New Roman" w:hAnsi="Times New Roman" w:cs="Times New Roman"/>
                <w:sz w:val="24"/>
                <w:szCs w:val="24"/>
              </w:rPr>
              <w:t>根</w:t>
            </w:r>
            <w:r>
              <w:rPr>
                <w:rFonts w:ascii="Times New Roman" w:hAnsi="Times New Roman" w:cs="Times New Roman"/>
                <w:sz w:val="24"/>
                <w:szCs w:val="24"/>
              </w:rPr>
              <w:t>15m</w:t>
            </w:r>
            <w:r>
              <w:rPr>
                <w:rFonts w:hint="eastAsia" w:ascii="Times New Roman" w:hAnsi="Times New Roman" w:cs="Times New Roman"/>
                <w:sz w:val="24"/>
                <w:szCs w:val="24"/>
              </w:rPr>
              <w:t>高排气筒排放。</w:t>
            </w:r>
          </w:p>
          <w:p>
            <w:pPr>
              <w:pStyle w:val="39"/>
              <w:spacing w:line="440" w:lineRule="exact"/>
              <w:ind w:firstLine="480" w:firstLineChars="200"/>
              <w:rPr>
                <w:rFonts w:ascii="Times New Roman" w:hAnsi="Times New Roman" w:cs="Times New Roman"/>
                <w:sz w:val="24"/>
                <w:szCs w:val="24"/>
              </w:rPr>
            </w:pPr>
            <w:r>
              <w:rPr>
                <w:rFonts w:hint="eastAsia"/>
                <w:sz w:val="24"/>
                <w:szCs w:val="24"/>
              </w:rPr>
              <w:t>②水泥、粉煤灰、矿粉等的储存与输送：</w:t>
            </w:r>
            <w:r>
              <w:rPr>
                <w:rFonts w:hint="eastAsia" w:ascii="Times New Roman" w:hAnsi="Times New Roman" w:cs="Times New Roman"/>
                <w:sz w:val="24"/>
                <w:szCs w:val="24"/>
              </w:rPr>
              <w:t>水泥、粉煤灰、矿粉等分别由封闭罐车运输进厂，经气泵打入封闭式筒仓。在向筒仓进料的过程中，由于落差原因，物料下落过程中会产生一定量的粉尘，经筒仓上端的呼吸口外排，企业在库顶设计有单机袋式除尘器，对此部分粉尘进行治理。</w:t>
            </w:r>
          </w:p>
          <w:p>
            <w:pPr>
              <w:pStyle w:val="39"/>
              <w:adjustRightInd w:val="0"/>
              <w:snapToGrid w:val="0"/>
              <w:spacing w:line="440" w:lineRule="exact"/>
              <w:ind w:firstLine="0"/>
              <w:rPr>
                <w:rFonts w:hint="eastAsia" w:ascii="Times New Roman" w:hAnsi="Times New Roman" w:eastAsia="宋体" w:cs="Times New Roman"/>
                <w:sz w:val="24"/>
                <w:szCs w:val="24"/>
                <w:lang w:eastAsia="zh-CN"/>
              </w:rPr>
            </w:pPr>
            <w:r>
              <w:rPr>
                <w:rFonts w:hint="eastAsia" w:ascii="Times New Roman" w:hAnsi="Times New Roman" w:cs="Times New Roman"/>
                <w:sz w:val="24"/>
                <w:szCs w:val="24"/>
              </w:rPr>
              <w:t xml:space="preserve">    每座筒仓罐底均设有计量装置，粉状物料按微机设定好的比例称重后，通过密闭螺旋铰刀送入搅拌机。</w:t>
            </w:r>
          </w:p>
          <w:p>
            <w:pPr>
              <w:pStyle w:val="39"/>
              <w:adjustRightInd w:val="0"/>
              <w:snapToGrid w:val="0"/>
              <w:spacing w:line="440" w:lineRule="exact"/>
              <w:ind w:firstLine="0"/>
              <w:rPr>
                <w:rFonts w:ascii="Times New Roman" w:hAnsi="Times New Roman"/>
                <w:sz w:val="24"/>
              </w:rPr>
            </w:pPr>
            <w:r>
              <w:rPr>
                <w:rFonts w:hint="eastAsia"/>
                <w:sz w:val="24"/>
              </w:rPr>
              <w:t xml:space="preserve">    ③</w:t>
            </w:r>
            <w:r>
              <w:rPr>
                <w:rFonts w:hint="eastAsia" w:ascii="Times New Roman" w:hAnsi="Times New Roman"/>
                <w:sz w:val="24"/>
              </w:rPr>
              <w:t>外加剂和水输送：</w:t>
            </w:r>
            <w:r>
              <w:rPr>
                <w:rFonts w:hint="eastAsia"/>
                <w:sz w:val="24"/>
              </w:rPr>
              <w:t>本项目外加剂在外加剂罐中储存，外加剂泵输送，由外加剂秤进行计量；水在水槽中储存，水泵输送，由水秤进行计量。</w:t>
            </w:r>
          </w:p>
          <w:p>
            <w:pPr>
              <w:spacing w:line="440" w:lineRule="exact"/>
              <w:rPr>
                <w:sz w:val="24"/>
              </w:rPr>
            </w:pPr>
            <w:r>
              <w:rPr>
                <w:rFonts w:hint="eastAsia"/>
                <w:sz w:val="24"/>
              </w:rPr>
              <w:t xml:space="preserve">  （</w:t>
            </w:r>
            <w:r>
              <w:rPr>
                <w:sz w:val="24"/>
              </w:rPr>
              <w:t>2</w:t>
            </w:r>
            <w:r>
              <w:rPr>
                <w:rFonts w:hint="eastAsia"/>
                <w:sz w:val="24"/>
              </w:rPr>
              <w:t>）配料、搅拌</w:t>
            </w:r>
          </w:p>
          <w:p>
            <w:pPr>
              <w:spacing w:line="440" w:lineRule="exact"/>
              <w:ind w:firstLine="480" w:firstLineChars="200"/>
              <w:jc w:val="left"/>
              <w:rPr>
                <w:sz w:val="24"/>
                <w:szCs w:val="24"/>
              </w:rPr>
            </w:pPr>
            <w:r>
              <w:rPr>
                <w:rFonts w:hint="eastAsia"/>
                <w:sz w:val="24"/>
                <w:szCs w:val="24"/>
              </w:rPr>
              <w:t>本项目设有两条生产线，每条生产线各配有</w:t>
            </w:r>
            <w:r>
              <w:rPr>
                <w:sz w:val="24"/>
                <w:szCs w:val="24"/>
              </w:rPr>
              <w:t>1</w:t>
            </w:r>
            <w:r>
              <w:rPr>
                <w:rFonts w:hint="eastAsia"/>
                <w:sz w:val="24"/>
                <w:szCs w:val="24"/>
              </w:rPr>
              <w:t>套拌合机（搅拌机）进行搅拌，</w:t>
            </w:r>
            <w:r>
              <w:rPr>
                <w:rFonts w:hint="eastAsia"/>
                <w:color w:val="000000"/>
                <w:sz w:val="24"/>
              </w:rPr>
              <w:t>搅拌机分为上下两层，上层为配料仓，下层为搅拌仓，各物料经计量后进入配料仓，在下落过程由于落差原因会产生大量粉尘。配料完成后，开启搅拌仓阀门，物料一次性下泄至搅拌仓，仓内空气在物料压缩下会产生强烈的上升气流，同时夹杂有大量粉尘。物料进入搅拌仓后，关闭搅拌仓阀门，</w:t>
            </w:r>
            <w:r>
              <w:rPr>
                <w:rFonts w:hint="eastAsia"/>
                <w:sz w:val="24"/>
                <w:szCs w:val="24"/>
              </w:rPr>
              <w:t>同时开启搅拌机，</w:t>
            </w:r>
            <w:r>
              <w:rPr>
                <w:rFonts w:hint="eastAsia"/>
                <w:sz w:val="24"/>
              </w:rPr>
              <w:t>加入水和外加剂。</w:t>
            </w:r>
            <w:r>
              <w:rPr>
                <w:rFonts w:hint="eastAsia"/>
                <w:sz w:val="24"/>
                <w:szCs w:val="24"/>
              </w:rPr>
              <w:t>本项目建设密闭搅拌楼，搅拌机配料仓和搅拌仓处产生的粉尘经搅拌楼上方的抽风机负压收集，进入搅拌楼上方的袋式除尘器治理，尾气引至</w:t>
            </w:r>
            <w:r>
              <w:rPr>
                <w:sz w:val="24"/>
                <w:szCs w:val="24"/>
              </w:rPr>
              <w:t>15m</w:t>
            </w:r>
            <w:r>
              <w:rPr>
                <w:rFonts w:hint="eastAsia"/>
                <w:sz w:val="24"/>
                <w:szCs w:val="24"/>
              </w:rPr>
              <w:t>高排气筒排放。</w:t>
            </w:r>
          </w:p>
          <w:p>
            <w:pPr>
              <w:spacing w:line="440" w:lineRule="exact"/>
              <w:jc w:val="left"/>
              <w:rPr>
                <w:rFonts w:hint="eastAsia" w:eastAsia="宋体"/>
                <w:sz w:val="24"/>
                <w:szCs w:val="24"/>
                <w:lang w:val="en-US" w:eastAsia="zh-CN"/>
              </w:rPr>
            </w:pPr>
            <w:r>
              <w:rPr>
                <w:rFonts w:hint="eastAsia"/>
                <w:sz w:val="24"/>
                <w:szCs w:val="24"/>
              </w:rPr>
              <w:t xml:space="preserve">  （3）</w:t>
            </w:r>
            <w:r>
              <w:rPr>
                <w:rFonts w:hint="eastAsia"/>
                <w:sz w:val="24"/>
                <w:szCs w:val="24"/>
                <w:lang w:val="en-US" w:eastAsia="zh-CN"/>
              </w:rPr>
              <w:t>出料</w:t>
            </w:r>
          </w:p>
          <w:p>
            <w:pPr>
              <w:pStyle w:val="39"/>
              <w:spacing w:line="440" w:lineRule="exact"/>
              <w:ind w:firstLine="480" w:firstLineChars="200"/>
              <w:rPr>
                <w:rFonts w:hint="eastAsia" w:eastAsia="宋体"/>
                <w:sz w:val="24"/>
                <w:szCs w:val="24"/>
                <w:lang w:eastAsia="zh-CN"/>
              </w:rPr>
            </w:pPr>
            <w:r>
              <w:rPr>
                <w:rFonts w:hint="eastAsia"/>
                <w:sz w:val="24"/>
                <w:szCs w:val="24"/>
              </w:rPr>
              <w:t>搅拌均匀的物料即为成品混凝土</w:t>
            </w:r>
            <w:r>
              <w:rPr>
                <w:rFonts w:hint="eastAsia"/>
                <w:sz w:val="24"/>
                <w:szCs w:val="24"/>
                <w:lang w:eastAsia="zh-CN"/>
              </w:rPr>
              <w:t>，</w:t>
            </w:r>
            <w:r>
              <w:rPr>
                <w:rFonts w:hint="eastAsia"/>
                <w:sz w:val="24"/>
                <w:szCs w:val="24"/>
              </w:rPr>
              <w:t>经卸料阀自动卸入密闭罐车外运。</w:t>
            </w:r>
          </w:p>
          <w:p>
            <w:pPr>
              <w:pStyle w:val="39"/>
              <w:spacing w:line="440" w:lineRule="exact"/>
              <w:ind w:firstLine="482" w:firstLineChars="200"/>
              <w:rPr>
                <w:rFonts w:ascii="Times New Roman" w:hAnsi="Times New Roman"/>
                <w:b/>
                <w:color w:val="000000"/>
                <w:sz w:val="24"/>
              </w:rPr>
            </w:pPr>
            <w:r>
              <w:rPr>
                <w:rFonts w:hint="eastAsia" w:ascii="Times New Roman" w:hAnsi="Times New Roman"/>
                <w:b/>
                <w:color w:val="000000"/>
                <w:sz w:val="24"/>
              </w:rPr>
              <w:t>二、主要污染工序</w:t>
            </w:r>
          </w:p>
          <w:p>
            <w:pPr>
              <w:pStyle w:val="39"/>
              <w:spacing w:line="440" w:lineRule="exact"/>
              <w:ind w:firstLine="480" w:firstLineChars="200"/>
              <w:rPr>
                <w:rFonts w:ascii="Times New Roman" w:hAnsi="Times New Roman"/>
                <w:color w:val="000000"/>
                <w:sz w:val="24"/>
              </w:rPr>
            </w:pPr>
            <w:r>
              <w:rPr>
                <w:rFonts w:hint="eastAsia" w:ascii="Times New Roman" w:hAnsi="Times New Roman"/>
                <w:color w:val="000000"/>
                <w:sz w:val="24"/>
              </w:rPr>
              <w:t>1、运营期污染工序</w:t>
            </w:r>
          </w:p>
          <w:p>
            <w:pPr>
              <w:pStyle w:val="39"/>
              <w:spacing w:line="440" w:lineRule="exact"/>
              <w:ind w:firstLine="480" w:firstLineChars="200"/>
              <w:rPr>
                <w:rFonts w:ascii="Times New Roman" w:hAnsi="Times New Roman"/>
                <w:color w:val="000000"/>
                <w:sz w:val="24"/>
              </w:rPr>
            </w:pPr>
            <w:r>
              <w:rPr>
                <w:rFonts w:hint="eastAsia" w:ascii="Times New Roman" w:hAnsi="Times New Roman"/>
                <w:color w:val="000000"/>
                <w:sz w:val="24"/>
              </w:rPr>
              <w:t>通过工艺流程分析，可以看出该项目运营期产污环节见下表。</w:t>
            </w:r>
          </w:p>
          <w:p>
            <w:pPr>
              <w:spacing w:line="440" w:lineRule="exact"/>
              <w:ind w:firstLine="480" w:firstLineChars="200"/>
              <w:jc w:val="left"/>
              <w:rPr>
                <w:rFonts w:eastAsia="黑体"/>
                <w:color w:val="000000"/>
                <w:sz w:val="24"/>
                <w:szCs w:val="24"/>
              </w:rPr>
            </w:pPr>
            <w:r>
              <w:rPr>
                <w:rFonts w:hint="eastAsia" w:eastAsia="黑体"/>
                <w:color w:val="000000"/>
                <w:sz w:val="24"/>
                <w:szCs w:val="24"/>
              </w:rPr>
              <w:t>表</w:t>
            </w:r>
            <w:r>
              <w:rPr>
                <w:rFonts w:hint="eastAsia" w:eastAsia="黑体"/>
                <w:color w:val="000000"/>
                <w:sz w:val="24"/>
                <w:szCs w:val="24"/>
                <w:lang w:val="en-US" w:eastAsia="zh-CN"/>
              </w:rPr>
              <w:t xml:space="preserve">2-5             </w:t>
            </w:r>
            <w:r>
              <w:rPr>
                <w:rFonts w:hint="eastAsia" w:eastAsia="黑体"/>
                <w:color w:val="000000"/>
                <w:sz w:val="24"/>
                <w:szCs w:val="24"/>
              </w:rPr>
              <w:t>项目产污环节一览表</w:t>
            </w:r>
          </w:p>
          <w:tbl>
            <w:tblPr>
              <w:tblStyle w:val="24"/>
              <w:tblW w:w="48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432"/>
              <w:gridCol w:w="1186"/>
              <w:gridCol w:w="477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op w:val="single" w:color="auto" w:sz="8" w:space="0"/>
                    <w:left w:val="nil"/>
                    <w:bottom w:val="single" w:color="auto" w:sz="8" w:space="0"/>
                    <w:right w:val="single" w:color="auto" w:sz="4" w:space="0"/>
                  </w:tcBorders>
                  <w:vAlign w:val="center"/>
                </w:tcPr>
                <w:p>
                  <w:pPr>
                    <w:adjustRightInd w:val="0"/>
                    <w:snapToGrid w:val="0"/>
                    <w:jc w:val="center"/>
                    <w:rPr>
                      <w:rFonts w:hint="eastAsia"/>
                      <w:b/>
                      <w:sz w:val="21"/>
                      <w:szCs w:val="21"/>
                    </w:rPr>
                  </w:pPr>
                  <w:r>
                    <w:rPr>
                      <w:rFonts w:hint="eastAsia"/>
                      <w:b/>
                      <w:sz w:val="21"/>
                      <w:szCs w:val="21"/>
                    </w:rPr>
                    <w:t>污染</w:t>
                  </w:r>
                </w:p>
                <w:p>
                  <w:pPr>
                    <w:adjustRightInd w:val="0"/>
                    <w:snapToGrid w:val="0"/>
                    <w:jc w:val="center"/>
                    <w:rPr>
                      <w:b/>
                      <w:sz w:val="21"/>
                      <w:szCs w:val="21"/>
                    </w:rPr>
                  </w:pPr>
                  <w:r>
                    <w:rPr>
                      <w:rFonts w:hint="eastAsia"/>
                      <w:b/>
                      <w:sz w:val="21"/>
                      <w:szCs w:val="21"/>
                    </w:rPr>
                    <w:t>因素</w:t>
                  </w:r>
                </w:p>
              </w:tc>
              <w:tc>
                <w:tcPr>
                  <w:tcW w:w="1432"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产污环节</w:t>
                  </w:r>
                </w:p>
              </w:tc>
              <w:tc>
                <w:tcPr>
                  <w:tcW w:w="1186"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sz w:val="21"/>
                      <w:szCs w:val="21"/>
                    </w:rPr>
                  </w:pPr>
                  <w:r>
                    <w:rPr>
                      <w:rFonts w:hint="eastAsia"/>
                      <w:b/>
                      <w:sz w:val="21"/>
                      <w:szCs w:val="21"/>
                    </w:rPr>
                    <w:t>污染物</w:t>
                  </w:r>
                </w:p>
              </w:tc>
              <w:tc>
                <w:tcPr>
                  <w:tcW w:w="4777" w:type="dxa"/>
                  <w:tcBorders>
                    <w:top w:val="single" w:color="auto" w:sz="8" w:space="0"/>
                    <w:left w:val="single" w:color="auto" w:sz="4" w:space="0"/>
                    <w:bottom w:val="single" w:color="auto" w:sz="8" w:space="0"/>
                    <w:right w:val="nil"/>
                  </w:tcBorders>
                  <w:vAlign w:val="center"/>
                </w:tcPr>
                <w:p>
                  <w:pPr>
                    <w:adjustRightInd w:val="0"/>
                    <w:snapToGrid w:val="0"/>
                    <w:jc w:val="center"/>
                    <w:rPr>
                      <w:b/>
                      <w:sz w:val="21"/>
                      <w:szCs w:val="21"/>
                    </w:rPr>
                  </w:pPr>
                  <w:r>
                    <w:rPr>
                      <w:rFonts w:hint="eastAsia"/>
                      <w:b/>
                      <w:sz w:val="21"/>
                      <w:szCs w:val="21"/>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24" w:type="dxa"/>
                  <w:vMerge w:val="restart"/>
                  <w:tcBorders>
                    <w:top w:val="single" w:color="auto" w:sz="8"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废 水</w:t>
                  </w:r>
                </w:p>
              </w:tc>
              <w:tc>
                <w:tcPr>
                  <w:tcW w:w="143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搅拌仓、搅拌</w:t>
                  </w:r>
                  <w:r>
                    <w:rPr>
                      <w:rFonts w:hint="eastAsia"/>
                      <w:sz w:val="21"/>
                      <w:szCs w:val="21"/>
                      <w:lang w:val="en-US" w:eastAsia="zh-CN"/>
                    </w:rPr>
                    <w:t>机</w:t>
                  </w:r>
                  <w:r>
                    <w:rPr>
                      <w:rFonts w:hint="eastAsia"/>
                      <w:sz w:val="21"/>
                      <w:szCs w:val="21"/>
                    </w:rPr>
                    <w:t>及地面冲洗水</w:t>
                  </w:r>
                </w:p>
              </w:tc>
              <w:tc>
                <w:tcPr>
                  <w:tcW w:w="1186"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sz w:val="21"/>
                      <w:szCs w:val="21"/>
                    </w:rPr>
                    <w:t>SS</w:t>
                  </w:r>
                  <w:r>
                    <w:rPr>
                      <w:rFonts w:hint="eastAsia"/>
                      <w:sz w:val="21"/>
                      <w:szCs w:val="21"/>
                    </w:rPr>
                    <w:t>、</w:t>
                  </w:r>
                  <w:r>
                    <w:rPr>
                      <w:sz w:val="21"/>
                      <w:szCs w:val="21"/>
                    </w:rPr>
                    <w:t>COD</w:t>
                  </w:r>
                </w:p>
              </w:tc>
              <w:tc>
                <w:tcPr>
                  <w:tcW w:w="4777" w:type="dxa"/>
                  <w:tcBorders>
                    <w:top w:val="single" w:color="auto" w:sz="8" w:space="0"/>
                    <w:left w:val="single" w:color="auto" w:sz="4" w:space="0"/>
                    <w:bottom w:val="single" w:color="auto" w:sz="4" w:space="0"/>
                    <w:right w:val="nil"/>
                  </w:tcBorders>
                  <w:vAlign w:val="center"/>
                </w:tcPr>
                <w:p>
                  <w:pPr>
                    <w:adjustRightInd w:val="0"/>
                    <w:snapToGrid w:val="0"/>
                    <w:jc w:val="center"/>
                    <w:rPr>
                      <w:sz w:val="21"/>
                      <w:szCs w:val="21"/>
                    </w:rPr>
                  </w:pPr>
                  <w:r>
                    <w:rPr>
                      <w:rFonts w:hint="eastAsia"/>
                      <w:sz w:val="21"/>
                      <w:szCs w:val="21"/>
                    </w:rPr>
                    <w:t>经沉淀池处理后全部回用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vMerge w:val="continue"/>
                  <w:tcBorders>
                    <w:top w:val="single" w:color="auto" w:sz="8" w:space="0"/>
                    <w:left w:val="nil"/>
                    <w:bottom w:val="single" w:color="auto" w:sz="4" w:space="0"/>
                    <w:right w:val="single" w:color="auto" w:sz="4" w:space="0"/>
                  </w:tcBorders>
                  <w:vAlign w:val="center"/>
                </w:tcPr>
                <w:p>
                  <w:pPr>
                    <w:widowControl/>
                    <w:jc w:val="left"/>
                    <w:rPr>
                      <w:sz w:val="21"/>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生活污水</w:t>
                  </w:r>
                </w:p>
              </w:tc>
              <w:tc>
                <w:tcPr>
                  <w:tcW w:w="11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sz w:val="21"/>
                      <w:szCs w:val="21"/>
                    </w:rPr>
                    <w:t>COD</w:t>
                  </w:r>
                  <w:r>
                    <w:rPr>
                      <w:rFonts w:hint="eastAsia"/>
                      <w:sz w:val="21"/>
                      <w:szCs w:val="21"/>
                    </w:rPr>
                    <w:t>、</w:t>
                  </w:r>
                  <w:r>
                    <w:rPr>
                      <w:sz w:val="21"/>
                      <w:szCs w:val="21"/>
                    </w:rPr>
                    <w:t>SS</w:t>
                  </w:r>
                  <w:r>
                    <w:rPr>
                      <w:rFonts w:hint="eastAsia"/>
                      <w:sz w:val="21"/>
                      <w:szCs w:val="21"/>
                    </w:rPr>
                    <w:t>、</w:t>
                  </w:r>
                  <w:r>
                    <w:rPr>
                      <w:sz w:val="21"/>
                      <w:szCs w:val="21"/>
                    </w:rPr>
                    <w:t>NH</w:t>
                  </w:r>
                  <w:r>
                    <w:rPr>
                      <w:sz w:val="21"/>
                      <w:szCs w:val="21"/>
                      <w:vertAlign w:val="subscript"/>
                    </w:rPr>
                    <w:t>3</w:t>
                  </w:r>
                  <w:r>
                    <w:rPr>
                      <w:sz w:val="21"/>
                      <w:szCs w:val="21"/>
                    </w:rPr>
                    <w:t>-N</w:t>
                  </w:r>
                  <w:r>
                    <w:rPr>
                      <w:rFonts w:hint="eastAsia"/>
                      <w:sz w:val="21"/>
                      <w:szCs w:val="21"/>
                    </w:rPr>
                    <w:t>、</w:t>
                  </w:r>
                  <w:r>
                    <w:rPr>
                      <w:sz w:val="21"/>
                      <w:szCs w:val="21"/>
                    </w:rPr>
                    <w:t>TP</w:t>
                  </w:r>
                </w:p>
              </w:tc>
              <w:tc>
                <w:tcPr>
                  <w:tcW w:w="4777" w:type="dxa"/>
                  <w:tcBorders>
                    <w:top w:val="single" w:color="auto" w:sz="4" w:space="0"/>
                    <w:left w:val="single" w:color="auto" w:sz="4" w:space="0"/>
                    <w:bottom w:val="single" w:color="auto" w:sz="4" w:space="0"/>
                    <w:right w:val="nil"/>
                  </w:tcBorders>
                  <w:vAlign w:val="center"/>
                </w:tcPr>
                <w:p>
                  <w:pPr>
                    <w:adjustRightInd w:val="0"/>
                    <w:snapToGrid w:val="0"/>
                    <w:jc w:val="center"/>
                    <w:rPr>
                      <w:sz w:val="21"/>
                      <w:szCs w:val="21"/>
                    </w:rPr>
                  </w:pPr>
                  <w:r>
                    <w:rPr>
                      <w:rFonts w:hint="eastAsia"/>
                      <w:sz w:val="21"/>
                      <w:szCs w:val="21"/>
                    </w:rPr>
                    <w:t>进入化粪池内处理，定期清运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24"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废 气</w:t>
                  </w:r>
                </w:p>
              </w:tc>
              <w:tc>
                <w:tcPr>
                  <w:tcW w:w="1432" w:type="dxa"/>
                  <w:tcBorders>
                    <w:top w:val="single" w:color="auto" w:sz="4" w:space="0"/>
                    <w:left w:val="single" w:color="auto" w:sz="4" w:space="0"/>
                    <w:right w:val="single" w:color="auto" w:sz="4" w:space="0"/>
                  </w:tcBorders>
                  <w:vAlign w:val="center"/>
                </w:tcPr>
                <w:p>
                  <w:pPr>
                    <w:jc w:val="center"/>
                    <w:rPr>
                      <w:sz w:val="21"/>
                      <w:szCs w:val="21"/>
                    </w:rPr>
                  </w:pPr>
                  <w:r>
                    <w:rPr>
                      <w:rFonts w:hint="eastAsia"/>
                      <w:sz w:val="21"/>
                      <w:szCs w:val="21"/>
                      <w:lang w:val="en-US" w:eastAsia="zh-CN"/>
                    </w:rPr>
                    <w:t>粉料</w:t>
                  </w:r>
                  <w:r>
                    <w:rPr>
                      <w:rFonts w:hint="eastAsia"/>
                      <w:sz w:val="21"/>
                      <w:szCs w:val="21"/>
                    </w:rPr>
                    <w:t>筒仓呼吸</w:t>
                  </w:r>
                  <w:r>
                    <w:rPr>
                      <w:rFonts w:hint="eastAsia"/>
                      <w:sz w:val="21"/>
                      <w:szCs w:val="21"/>
                      <w:lang w:val="en-US" w:eastAsia="zh-CN"/>
                    </w:rPr>
                    <w:t>废气</w:t>
                  </w:r>
                </w:p>
              </w:tc>
              <w:tc>
                <w:tcPr>
                  <w:tcW w:w="1186" w:type="dxa"/>
                  <w:vMerge w:val="restart"/>
                  <w:tcBorders>
                    <w:top w:val="single" w:color="auto" w:sz="4" w:space="0"/>
                    <w:left w:val="single" w:color="auto" w:sz="4" w:space="0"/>
                    <w:right w:val="single" w:color="auto" w:sz="4" w:space="0"/>
                  </w:tcBorders>
                  <w:vAlign w:val="center"/>
                </w:tcPr>
                <w:p>
                  <w:pPr>
                    <w:adjustRightInd w:val="0"/>
                    <w:snapToGrid w:val="0"/>
                    <w:ind w:firstLine="210" w:firstLineChars="100"/>
                    <w:rPr>
                      <w:rFonts w:hint="eastAsia" w:eastAsia="宋体"/>
                      <w:sz w:val="21"/>
                      <w:szCs w:val="21"/>
                      <w:lang w:val="en-US" w:eastAsia="zh-CN"/>
                    </w:rPr>
                  </w:pPr>
                  <w:r>
                    <w:rPr>
                      <w:rFonts w:hint="eastAsia"/>
                      <w:sz w:val="21"/>
                      <w:szCs w:val="21"/>
                      <w:lang w:val="en-US" w:eastAsia="zh-CN"/>
                    </w:rPr>
                    <w:t>粉尘</w:t>
                  </w:r>
                </w:p>
              </w:tc>
              <w:tc>
                <w:tcPr>
                  <w:tcW w:w="4777" w:type="dxa"/>
                  <w:tcBorders>
                    <w:top w:val="single" w:color="auto" w:sz="4" w:space="0"/>
                    <w:left w:val="single" w:color="auto" w:sz="4" w:space="0"/>
                    <w:right w:val="nil"/>
                  </w:tcBorders>
                  <w:vAlign w:val="center"/>
                </w:tcPr>
                <w:p>
                  <w:pPr>
                    <w:adjustRightInd w:val="0"/>
                    <w:snapToGrid w:val="0"/>
                    <w:rPr>
                      <w:sz w:val="21"/>
                      <w:szCs w:val="21"/>
                    </w:rPr>
                  </w:pPr>
                  <w:r>
                    <w:rPr>
                      <w:rFonts w:hint="eastAsia" w:hAnsi="宋体"/>
                      <w:sz w:val="21"/>
                      <w:szCs w:val="21"/>
                    </w:rPr>
                    <w:t>每个筒仓</w:t>
                  </w:r>
                  <w:r>
                    <w:rPr>
                      <w:rFonts w:hint="eastAsia" w:hAnsi="宋体"/>
                      <w:sz w:val="21"/>
                      <w:szCs w:val="21"/>
                      <w:lang w:val="en-US" w:eastAsia="zh-CN"/>
                    </w:rPr>
                    <w:t>经自带袋式除尘器（TA001-TA008除尘器）处理后再经1台脉冲袋式除尘器（TA009除尘器）处理</w:t>
                  </w:r>
                  <w:r>
                    <w:rPr>
                      <w:rFonts w:hint="eastAsia" w:hAnsi="宋体"/>
                      <w:sz w:val="21"/>
                      <w:szCs w:val="21"/>
                    </w:rPr>
                    <w:t>后尾气通过高于仓顶</w:t>
                  </w:r>
                  <w:r>
                    <w:rPr>
                      <w:sz w:val="21"/>
                      <w:szCs w:val="21"/>
                    </w:rPr>
                    <w:t>3m</w:t>
                  </w:r>
                  <w:r>
                    <w:rPr>
                      <w:rFonts w:hint="eastAsia" w:hAnsi="宋体"/>
                      <w:sz w:val="21"/>
                      <w:szCs w:val="21"/>
                    </w:rPr>
                    <w:t>以上且距离地面高度</w:t>
                  </w:r>
                  <w:r>
                    <w:rPr>
                      <w:sz w:val="21"/>
                      <w:szCs w:val="21"/>
                    </w:rPr>
                    <w:t>15m</w:t>
                  </w:r>
                  <w:r>
                    <w:rPr>
                      <w:rFonts w:hint="eastAsia"/>
                      <w:sz w:val="21"/>
                      <w:szCs w:val="21"/>
                      <w:lang w:val="en-US" w:eastAsia="zh-CN"/>
                    </w:rPr>
                    <w:t>高的</w:t>
                  </w:r>
                  <w:r>
                    <w:rPr>
                      <w:rFonts w:hint="eastAsia" w:hAnsi="宋体"/>
                      <w:sz w:val="21"/>
                      <w:szCs w:val="21"/>
                    </w:rPr>
                    <w:t>排气筒</w:t>
                  </w:r>
                  <w:r>
                    <w:rPr>
                      <w:rFonts w:hint="eastAsia" w:hAnsi="宋体"/>
                      <w:sz w:val="21"/>
                      <w:szCs w:val="21"/>
                      <w:lang w:eastAsia="zh-CN"/>
                    </w:rPr>
                    <w:t>（</w:t>
                  </w:r>
                  <w:r>
                    <w:rPr>
                      <w:rFonts w:hint="eastAsia" w:hAnsi="宋体"/>
                      <w:sz w:val="21"/>
                      <w:szCs w:val="21"/>
                      <w:lang w:val="en-US" w:eastAsia="zh-CN"/>
                    </w:rPr>
                    <w:t>DA001</w:t>
                  </w:r>
                  <w:r>
                    <w:rPr>
                      <w:rFonts w:hint="eastAsia" w:hAnsi="宋体"/>
                      <w:sz w:val="21"/>
                      <w:szCs w:val="21"/>
                      <w:lang w:eastAsia="zh-CN"/>
                    </w:rPr>
                    <w:t>）</w:t>
                  </w:r>
                  <w:r>
                    <w:rPr>
                      <w:rFonts w:hint="eastAsia" w:hAnsi="宋体"/>
                      <w:sz w:val="21"/>
                      <w:szCs w:val="21"/>
                    </w:rPr>
                    <w:t>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vMerge w:val="continue"/>
                  <w:tcBorders>
                    <w:top w:val="single" w:color="auto" w:sz="4" w:space="0"/>
                    <w:left w:val="nil"/>
                    <w:bottom w:val="single" w:color="auto" w:sz="4" w:space="0"/>
                    <w:right w:val="single" w:color="auto" w:sz="4" w:space="0"/>
                  </w:tcBorders>
                  <w:vAlign w:val="center"/>
                </w:tcPr>
                <w:p>
                  <w:pPr>
                    <w:widowControl/>
                    <w:jc w:val="left"/>
                    <w:rPr>
                      <w:sz w:val="21"/>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sz w:val="21"/>
                      <w:szCs w:val="21"/>
                    </w:rPr>
                    <w:t>砂石进料粉尘</w:t>
                  </w:r>
                </w:p>
              </w:tc>
              <w:tc>
                <w:tcPr>
                  <w:tcW w:w="1186" w:type="dxa"/>
                  <w:vMerge w:val="continue"/>
                  <w:tcBorders>
                    <w:left w:val="single" w:color="auto" w:sz="4" w:space="0"/>
                    <w:right w:val="single" w:color="auto" w:sz="4" w:space="0"/>
                  </w:tcBorders>
                  <w:vAlign w:val="center"/>
                </w:tcPr>
                <w:p>
                  <w:pPr>
                    <w:jc w:val="center"/>
                    <w:rPr>
                      <w:sz w:val="21"/>
                      <w:szCs w:val="21"/>
                    </w:rPr>
                  </w:pPr>
                </w:p>
              </w:tc>
              <w:tc>
                <w:tcPr>
                  <w:tcW w:w="4777" w:type="dxa"/>
                  <w:tcBorders>
                    <w:top w:val="single" w:color="auto" w:sz="4" w:space="0"/>
                    <w:left w:val="single" w:color="auto" w:sz="4" w:space="0"/>
                    <w:bottom w:val="single" w:color="auto" w:sz="4" w:space="0"/>
                    <w:right w:val="nil"/>
                  </w:tcBorders>
                  <w:vAlign w:val="center"/>
                </w:tcPr>
                <w:p>
                  <w:pPr>
                    <w:jc w:val="center"/>
                    <w:rPr>
                      <w:sz w:val="21"/>
                      <w:szCs w:val="21"/>
                    </w:rPr>
                  </w:pPr>
                  <w:r>
                    <w:rPr>
                      <w:rFonts w:hint="eastAsia"/>
                      <w:sz w:val="21"/>
                      <w:szCs w:val="21"/>
                    </w:rPr>
                    <w:t>锥形下料器</w:t>
                  </w:r>
                  <w:r>
                    <w:rPr>
                      <w:rFonts w:hint="eastAsia"/>
                      <w:sz w:val="21"/>
                      <w:szCs w:val="21"/>
                      <w:lang w:val="en-US" w:eastAsia="zh-CN"/>
                    </w:rPr>
                    <w:t>设置三面一档式集气罩</w:t>
                  </w:r>
                  <w:r>
                    <w:rPr>
                      <w:rFonts w:hint="eastAsia"/>
                      <w:sz w:val="21"/>
                      <w:szCs w:val="21"/>
                    </w:rPr>
                    <w:t>集气罩将粉尘</w:t>
                  </w:r>
                  <w:r>
                    <w:rPr>
                      <w:rFonts w:hint="eastAsia"/>
                      <w:sz w:val="21"/>
                      <w:szCs w:val="21"/>
                      <w:lang w:val="en-US" w:eastAsia="zh-CN"/>
                    </w:rPr>
                    <w:t>收集后经管道</w:t>
                  </w:r>
                  <w:r>
                    <w:rPr>
                      <w:rFonts w:hint="eastAsia"/>
                      <w:sz w:val="21"/>
                      <w:szCs w:val="21"/>
                    </w:rPr>
                    <w:t>引至</w:t>
                  </w:r>
                  <w:r>
                    <w:rPr>
                      <w:rFonts w:hint="eastAsia"/>
                      <w:sz w:val="21"/>
                      <w:szCs w:val="21"/>
                      <w:lang w:val="en-US" w:eastAsia="zh-CN"/>
                    </w:rPr>
                    <w:t>脉冲</w:t>
                  </w:r>
                  <w:r>
                    <w:rPr>
                      <w:rFonts w:hint="eastAsia"/>
                      <w:color w:val="000000"/>
                      <w:sz w:val="21"/>
                      <w:szCs w:val="21"/>
                    </w:rPr>
                    <w:t>袋式除尘器（</w:t>
                  </w:r>
                  <w:r>
                    <w:rPr>
                      <w:rFonts w:hint="eastAsia"/>
                      <w:color w:val="000000"/>
                      <w:sz w:val="21"/>
                      <w:szCs w:val="21"/>
                      <w:lang w:val="en-US" w:eastAsia="zh-CN"/>
                    </w:rPr>
                    <w:t>TA010</w:t>
                  </w:r>
                  <w:r>
                    <w:rPr>
                      <w:rFonts w:hint="eastAsia"/>
                      <w:color w:val="000000"/>
                      <w:sz w:val="21"/>
                      <w:szCs w:val="21"/>
                    </w:rPr>
                    <w:t>除尘器）治理后通过</w:t>
                  </w:r>
                  <w:r>
                    <w:rPr>
                      <w:color w:val="000000"/>
                      <w:sz w:val="21"/>
                      <w:szCs w:val="21"/>
                    </w:rPr>
                    <w:t>15m</w:t>
                  </w:r>
                  <w:r>
                    <w:rPr>
                      <w:rFonts w:hint="eastAsia"/>
                      <w:color w:val="000000"/>
                      <w:sz w:val="21"/>
                      <w:szCs w:val="21"/>
                      <w:lang w:val="en-US" w:eastAsia="zh-CN"/>
                    </w:rPr>
                    <w:t>高</w:t>
                  </w:r>
                  <w:r>
                    <w:rPr>
                      <w:rFonts w:hint="eastAsia"/>
                      <w:color w:val="000000"/>
                      <w:sz w:val="21"/>
                      <w:szCs w:val="21"/>
                    </w:rPr>
                    <w:t>排气筒</w:t>
                  </w:r>
                  <w:r>
                    <w:rPr>
                      <w:rFonts w:hint="eastAsia"/>
                      <w:color w:val="000000"/>
                      <w:sz w:val="21"/>
                      <w:szCs w:val="21"/>
                      <w:lang w:eastAsia="zh-CN"/>
                    </w:rPr>
                    <w:t>（</w:t>
                  </w:r>
                  <w:r>
                    <w:rPr>
                      <w:rFonts w:hint="eastAsia"/>
                      <w:color w:val="000000"/>
                      <w:sz w:val="21"/>
                      <w:szCs w:val="21"/>
                      <w:lang w:val="en-US" w:eastAsia="zh-CN"/>
                    </w:rPr>
                    <w:t>DA002</w:t>
                  </w:r>
                  <w:r>
                    <w:rPr>
                      <w:rFonts w:hint="eastAsia"/>
                      <w:color w:val="000000"/>
                      <w:sz w:val="21"/>
                      <w:szCs w:val="21"/>
                      <w:lang w:eastAsia="zh-CN"/>
                    </w:rPr>
                    <w:t>）</w:t>
                  </w:r>
                  <w:r>
                    <w:rPr>
                      <w:rFonts w:hint="eastAsia" w:hAnsi="宋体"/>
                      <w:sz w:val="21"/>
                      <w:szCs w:val="21"/>
                    </w:rPr>
                    <w:t>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24" w:type="dxa"/>
                  <w:vMerge w:val="continue"/>
                  <w:tcBorders>
                    <w:top w:val="single" w:color="auto" w:sz="4" w:space="0"/>
                    <w:left w:val="nil"/>
                    <w:bottom w:val="single" w:color="auto" w:sz="4" w:space="0"/>
                    <w:right w:val="single" w:color="auto" w:sz="4" w:space="0"/>
                  </w:tcBorders>
                  <w:vAlign w:val="center"/>
                </w:tcPr>
                <w:p>
                  <w:pPr>
                    <w:widowControl/>
                    <w:jc w:val="left"/>
                    <w:rPr>
                      <w:sz w:val="21"/>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sz w:val="21"/>
                      <w:szCs w:val="21"/>
                    </w:rPr>
                    <w:t>搅拌系统</w:t>
                  </w:r>
                  <w:r>
                    <w:rPr>
                      <w:rFonts w:hint="eastAsia"/>
                      <w:sz w:val="21"/>
                      <w:szCs w:val="21"/>
                    </w:rPr>
                    <w:br w:type="textWrapping"/>
                  </w:r>
                  <w:r>
                    <w:rPr>
                      <w:rFonts w:hint="eastAsia"/>
                      <w:sz w:val="21"/>
                      <w:szCs w:val="21"/>
                    </w:rPr>
                    <w:t>粉尘</w:t>
                  </w:r>
                </w:p>
              </w:tc>
              <w:tc>
                <w:tcPr>
                  <w:tcW w:w="1186" w:type="dxa"/>
                  <w:vMerge w:val="continue"/>
                  <w:tcBorders>
                    <w:left w:val="single" w:color="auto" w:sz="4" w:space="0"/>
                    <w:bottom w:val="single" w:color="auto" w:sz="4" w:space="0"/>
                    <w:right w:val="single" w:color="auto" w:sz="4" w:space="0"/>
                  </w:tcBorders>
                  <w:vAlign w:val="center"/>
                </w:tcPr>
                <w:p>
                  <w:pPr>
                    <w:adjustRightInd w:val="0"/>
                    <w:snapToGrid w:val="0"/>
                    <w:jc w:val="center"/>
                    <w:rPr>
                      <w:sz w:val="21"/>
                      <w:szCs w:val="21"/>
                    </w:rPr>
                  </w:pPr>
                </w:p>
              </w:tc>
              <w:tc>
                <w:tcPr>
                  <w:tcW w:w="4777" w:type="dxa"/>
                  <w:tcBorders>
                    <w:top w:val="single" w:color="auto" w:sz="4" w:space="0"/>
                    <w:left w:val="single" w:color="auto" w:sz="4" w:space="0"/>
                    <w:bottom w:val="single" w:color="auto" w:sz="4" w:space="0"/>
                    <w:right w:val="nil"/>
                  </w:tcBorders>
                  <w:vAlign w:val="center"/>
                </w:tcPr>
                <w:p>
                  <w:pPr>
                    <w:adjustRightInd w:val="0"/>
                    <w:snapToGrid w:val="0"/>
                    <w:jc w:val="center"/>
                    <w:rPr>
                      <w:sz w:val="21"/>
                      <w:szCs w:val="21"/>
                    </w:rPr>
                  </w:pPr>
                  <w:r>
                    <w:rPr>
                      <w:rFonts w:hint="eastAsia"/>
                      <w:color w:val="000000"/>
                      <w:sz w:val="21"/>
                      <w:szCs w:val="21"/>
                      <w:lang w:val="en-US" w:eastAsia="zh-CN"/>
                    </w:rPr>
                    <w:t>搅拌工序在</w:t>
                  </w:r>
                  <w:r>
                    <w:rPr>
                      <w:rFonts w:hint="eastAsia"/>
                      <w:color w:val="000000"/>
                      <w:sz w:val="21"/>
                      <w:szCs w:val="21"/>
                    </w:rPr>
                    <w:t>密闭搅拌楼</w:t>
                  </w:r>
                  <w:r>
                    <w:rPr>
                      <w:rFonts w:hint="eastAsia"/>
                      <w:color w:val="000000"/>
                      <w:sz w:val="21"/>
                      <w:szCs w:val="21"/>
                      <w:lang w:val="en-US" w:eastAsia="zh-CN"/>
                    </w:rPr>
                    <w:t>中进行</w:t>
                  </w:r>
                  <w:r>
                    <w:rPr>
                      <w:rFonts w:hint="eastAsia"/>
                      <w:color w:val="000000"/>
                      <w:sz w:val="21"/>
                      <w:szCs w:val="21"/>
                    </w:rPr>
                    <w:t>，搅拌楼顶部设置密闭负压管道</w:t>
                  </w:r>
                  <w:r>
                    <w:rPr>
                      <w:rFonts w:hint="eastAsia"/>
                      <w:color w:val="000000"/>
                      <w:sz w:val="21"/>
                      <w:szCs w:val="21"/>
                      <w:lang w:val="en-US" w:eastAsia="zh-CN"/>
                    </w:rPr>
                    <w:t>收集进料</w:t>
                  </w:r>
                  <w:r>
                    <w:rPr>
                      <w:rFonts w:hint="eastAsia"/>
                      <w:color w:val="000000"/>
                      <w:sz w:val="21"/>
                      <w:szCs w:val="21"/>
                    </w:rPr>
                    <w:t>废气，收集后废气引至</w:t>
                  </w:r>
                  <w:r>
                    <w:rPr>
                      <w:rFonts w:hint="eastAsia"/>
                      <w:color w:val="000000"/>
                      <w:sz w:val="21"/>
                      <w:szCs w:val="21"/>
                      <w:lang w:val="en-US" w:eastAsia="zh-CN"/>
                    </w:rPr>
                    <w:t>脉冲</w:t>
                  </w:r>
                  <w:r>
                    <w:rPr>
                      <w:rFonts w:hint="eastAsia"/>
                      <w:color w:val="000000"/>
                      <w:sz w:val="21"/>
                      <w:szCs w:val="21"/>
                    </w:rPr>
                    <w:t>袋式除尘器</w:t>
                  </w:r>
                  <w:r>
                    <w:rPr>
                      <w:rFonts w:hint="eastAsia"/>
                      <w:color w:val="000000"/>
                      <w:sz w:val="21"/>
                      <w:szCs w:val="21"/>
                      <w:lang w:eastAsia="zh-CN"/>
                    </w:rPr>
                    <w:t>（</w:t>
                  </w:r>
                  <w:r>
                    <w:rPr>
                      <w:rFonts w:hint="eastAsia"/>
                      <w:color w:val="000000"/>
                      <w:sz w:val="21"/>
                      <w:szCs w:val="21"/>
                      <w:lang w:val="en-US" w:eastAsia="zh-CN"/>
                    </w:rPr>
                    <w:t>TA011</w:t>
                  </w:r>
                  <w:r>
                    <w:rPr>
                      <w:rFonts w:hint="eastAsia"/>
                      <w:color w:val="000000"/>
                      <w:sz w:val="21"/>
                      <w:szCs w:val="21"/>
                      <w:lang w:eastAsia="zh-CN"/>
                    </w:rPr>
                    <w:t>）</w:t>
                  </w:r>
                  <w:r>
                    <w:rPr>
                      <w:rFonts w:hint="eastAsia"/>
                      <w:color w:val="000000"/>
                      <w:sz w:val="21"/>
                      <w:szCs w:val="21"/>
                    </w:rPr>
                    <w:t>处理，处理后</w:t>
                  </w:r>
                  <w:r>
                    <w:rPr>
                      <w:rFonts w:hint="eastAsia"/>
                      <w:color w:val="000000"/>
                      <w:sz w:val="21"/>
                      <w:szCs w:val="21"/>
                      <w:lang w:val="en-US" w:eastAsia="zh-CN"/>
                    </w:rPr>
                    <w:t>尾气</w:t>
                  </w:r>
                  <w:r>
                    <w:rPr>
                      <w:rFonts w:hint="eastAsia"/>
                      <w:color w:val="000000"/>
                      <w:sz w:val="21"/>
                      <w:szCs w:val="21"/>
                    </w:rPr>
                    <w:t>经15m高排气筒</w:t>
                  </w:r>
                  <w:r>
                    <w:rPr>
                      <w:rFonts w:hint="eastAsia"/>
                      <w:color w:val="000000"/>
                      <w:sz w:val="21"/>
                      <w:szCs w:val="21"/>
                      <w:lang w:eastAsia="zh-CN"/>
                    </w:rPr>
                    <w:t>（</w:t>
                  </w:r>
                  <w:r>
                    <w:rPr>
                      <w:rFonts w:hint="eastAsia"/>
                      <w:color w:val="000000"/>
                      <w:sz w:val="21"/>
                      <w:szCs w:val="21"/>
                      <w:lang w:val="en-US" w:eastAsia="zh-CN"/>
                    </w:rPr>
                    <w:t>DA003</w:t>
                  </w:r>
                  <w:r>
                    <w:rPr>
                      <w:rFonts w:hint="eastAsia"/>
                      <w:color w:val="000000"/>
                      <w:sz w:val="21"/>
                      <w:szCs w:val="21"/>
                      <w:lang w:eastAsia="zh-CN"/>
                    </w:rPr>
                    <w:t>）</w:t>
                  </w:r>
                  <w:r>
                    <w:rPr>
                      <w:rFonts w:hint="eastAsia"/>
                      <w:color w:val="000000"/>
                      <w:sz w:val="21"/>
                      <w:szCs w:val="21"/>
                    </w:rPr>
                    <w:t>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824" w:type="dxa"/>
                  <w:vMerge w:val="continue"/>
                  <w:tcBorders>
                    <w:top w:val="single" w:color="auto" w:sz="4" w:space="0"/>
                    <w:left w:val="nil"/>
                    <w:bottom w:val="single" w:color="auto" w:sz="4" w:space="0"/>
                    <w:right w:val="single" w:color="auto" w:sz="4" w:space="0"/>
                  </w:tcBorders>
                  <w:vAlign w:val="center"/>
                </w:tcPr>
                <w:p>
                  <w:pPr>
                    <w:widowControl/>
                    <w:jc w:val="left"/>
                    <w:rPr>
                      <w:sz w:val="21"/>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highlight w:val="none"/>
                    </w:rPr>
                  </w:pPr>
                  <w:r>
                    <w:rPr>
                      <w:rFonts w:hint="eastAsia" w:eastAsiaTheme="minorEastAsia"/>
                      <w:sz w:val="21"/>
                      <w:szCs w:val="21"/>
                      <w:highlight w:val="none"/>
                    </w:rPr>
                    <w:t>原料</w:t>
                  </w:r>
                  <w:r>
                    <w:rPr>
                      <w:rFonts w:hint="eastAsia" w:eastAsiaTheme="minorEastAsia"/>
                      <w:sz w:val="21"/>
                      <w:szCs w:val="21"/>
                      <w:highlight w:val="none"/>
                      <w:lang w:val="en-US" w:eastAsia="zh-CN"/>
                    </w:rPr>
                    <w:t>储存扬尘</w:t>
                  </w:r>
                  <w:r>
                    <w:rPr>
                      <w:rFonts w:hint="eastAsia" w:eastAsiaTheme="minorEastAsia"/>
                      <w:sz w:val="21"/>
                      <w:szCs w:val="21"/>
                      <w:highlight w:val="none"/>
                      <w:lang w:eastAsia="zh-CN"/>
                    </w:rPr>
                    <w:t>、</w:t>
                  </w:r>
                  <w:r>
                    <w:rPr>
                      <w:rFonts w:hint="eastAsia" w:eastAsiaTheme="minorEastAsia"/>
                      <w:sz w:val="21"/>
                      <w:szCs w:val="21"/>
                      <w:highlight w:val="none"/>
                      <w:lang w:val="en-US" w:eastAsia="zh-CN"/>
                    </w:rPr>
                    <w:t>运输车辆及集气罩未收集粉尘</w:t>
                  </w:r>
                </w:p>
              </w:tc>
              <w:tc>
                <w:tcPr>
                  <w:tcW w:w="11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highlight w:val="none"/>
                    </w:rPr>
                  </w:pPr>
                  <w:r>
                    <w:rPr>
                      <w:rFonts w:hint="eastAsia"/>
                      <w:sz w:val="21"/>
                      <w:szCs w:val="21"/>
                      <w:highlight w:val="none"/>
                    </w:rPr>
                    <w:t>无组织粉尘</w:t>
                  </w:r>
                </w:p>
              </w:tc>
              <w:tc>
                <w:tcPr>
                  <w:tcW w:w="4777" w:type="dxa"/>
                  <w:tcBorders>
                    <w:top w:val="single" w:color="auto" w:sz="4" w:space="0"/>
                    <w:left w:val="single" w:color="auto" w:sz="4" w:space="0"/>
                    <w:bottom w:val="single" w:color="auto" w:sz="4" w:space="0"/>
                    <w:right w:val="nil"/>
                  </w:tcBorders>
                  <w:vAlign w:val="center"/>
                </w:tcPr>
                <w:p>
                  <w:pPr>
                    <w:adjustRightInd w:val="0"/>
                    <w:snapToGrid w:val="0"/>
                    <w:jc w:val="left"/>
                    <w:rPr>
                      <w:sz w:val="21"/>
                      <w:szCs w:val="21"/>
                      <w:highlight w:val="none"/>
                    </w:rPr>
                  </w:pPr>
                  <w:r>
                    <w:rPr>
                      <w:rFonts w:hint="eastAsia"/>
                      <w:sz w:val="21"/>
                      <w:szCs w:val="21"/>
                      <w:highlight w:val="none"/>
                    </w:rPr>
                    <w:t>入厂原料需做到封闭存放，禁止露天堆存。加强生产和入厂车辆的管理，搅拌机位于密闭搅拌楼内，厂区门口安装自动清洗装置对出入车辆进行冲洗，确保治污设施的正常运行，对厂区内外道路路面进行清扫和洒水保湿，配备湿扫机，厂内道路和主要作业场所硬化，未硬化处应全部绿化，不允许存在裸露地面。</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510" w:hRule="atLeast"/>
                <w:jc w:val="center"/>
              </w:trPr>
              <w:tc>
                <w:tcPr>
                  <w:tcW w:w="824" w:type="dxa"/>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噪 声</w:t>
                  </w:r>
                </w:p>
              </w:tc>
              <w:tc>
                <w:tcPr>
                  <w:tcW w:w="14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搅拌机等</w:t>
                  </w:r>
                </w:p>
              </w:tc>
              <w:tc>
                <w:tcPr>
                  <w:tcW w:w="11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设备噪声</w:t>
                  </w:r>
                </w:p>
              </w:tc>
              <w:tc>
                <w:tcPr>
                  <w:tcW w:w="4777" w:type="dxa"/>
                  <w:tcBorders>
                    <w:top w:val="single" w:color="auto" w:sz="4" w:space="0"/>
                    <w:left w:val="single" w:color="auto" w:sz="4" w:space="0"/>
                    <w:bottom w:val="single" w:color="auto" w:sz="4" w:space="0"/>
                    <w:right w:val="nil"/>
                  </w:tcBorders>
                  <w:vAlign w:val="center"/>
                </w:tcPr>
                <w:p>
                  <w:pPr>
                    <w:adjustRightInd w:val="0"/>
                    <w:snapToGrid w:val="0"/>
                    <w:jc w:val="center"/>
                    <w:rPr>
                      <w:sz w:val="21"/>
                      <w:szCs w:val="21"/>
                    </w:rPr>
                  </w:pPr>
                  <w:r>
                    <w:rPr>
                      <w:rFonts w:hint="eastAsia"/>
                      <w:sz w:val="21"/>
                      <w:szCs w:val="21"/>
                    </w:rPr>
                    <w:t>车间采用隔音材料密闭、距离衰减等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4"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固 废</w:t>
                  </w:r>
                </w:p>
              </w:tc>
              <w:tc>
                <w:tcPr>
                  <w:tcW w:w="14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沉淀池</w:t>
                  </w:r>
                </w:p>
              </w:tc>
              <w:tc>
                <w:tcPr>
                  <w:tcW w:w="11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沉渣</w:t>
                  </w:r>
                </w:p>
              </w:tc>
              <w:tc>
                <w:tcPr>
                  <w:tcW w:w="4777" w:type="dxa"/>
                  <w:tcBorders>
                    <w:top w:val="single" w:color="auto" w:sz="4" w:space="0"/>
                    <w:left w:val="single" w:color="auto" w:sz="4" w:space="0"/>
                    <w:bottom w:val="single" w:color="auto" w:sz="4" w:space="0"/>
                    <w:right w:val="nil"/>
                  </w:tcBorders>
                  <w:vAlign w:val="center"/>
                </w:tcPr>
                <w:p>
                  <w:pPr>
                    <w:adjustRightInd w:val="0"/>
                    <w:snapToGrid w:val="0"/>
                    <w:jc w:val="center"/>
                    <w:rPr>
                      <w:rFonts w:hint="default" w:eastAsia="宋体"/>
                      <w:sz w:val="21"/>
                      <w:szCs w:val="21"/>
                      <w:lang w:val="en-US" w:eastAsia="zh-CN"/>
                    </w:rPr>
                  </w:pPr>
                  <w:r>
                    <w:rPr>
                      <w:rFonts w:hint="eastAsia"/>
                      <w:sz w:val="21"/>
                      <w:szCs w:val="21"/>
                    </w:rPr>
                    <w:t>收集后回用生产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4" w:type="dxa"/>
                  <w:vMerge w:val="continue"/>
                  <w:tcBorders>
                    <w:top w:val="single" w:color="auto" w:sz="4" w:space="0"/>
                    <w:left w:val="nil"/>
                    <w:bottom w:val="single" w:color="auto" w:sz="4" w:space="0"/>
                    <w:right w:val="single" w:color="auto" w:sz="4" w:space="0"/>
                  </w:tcBorders>
                  <w:vAlign w:val="center"/>
                </w:tcPr>
                <w:p>
                  <w:pPr>
                    <w:widowControl/>
                    <w:jc w:val="left"/>
                    <w:rPr>
                      <w:sz w:val="21"/>
                      <w:szCs w:val="21"/>
                    </w:rPr>
                  </w:pPr>
                </w:p>
              </w:tc>
              <w:tc>
                <w:tcPr>
                  <w:tcW w:w="14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袋式除尘器</w:t>
                  </w:r>
                </w:p>
              </w:tc>
              <w:tc>
                <w:tcPr>
                  <w:tcW w:w="11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rFonts w:hint="eastAsia"/>
                      <w:sz w:val="21"/>
                      <w:szCs w:val="21"/>
                    </w:rPr>
                    <w:t>粉尘</w:t>
                  </w:r>
                </w:p>
              </w:tc>
              <w:tc>
                <w:tcPr>
                  <w:tcW w:w="4777" w:type="dxa"/>
                  <w:tcBorders>
                    <w:top w:val="single" w:color="auto" w:sz="4" w:space="0"/>
                    <w:left w:val="single" w:color="auto" w:sz="4" w:space="0"/>
                    <w:bottom w:val="single" w:color="auto" w:sz="4" w:space="0"/>
                    <w:right w:val="nil"/>
                  </w:tcBorders>
                  <w:vAlign w:val="center"/>
                </w:tcPr>
                <w:p>
                  <w:pPr>
                    <w:adjustRightInd w:val="0"/>
                    <w:snapToGrid w:val="0"/>
                    <w:jc w:val="center"/>
                    <w:rPr>
                      <w:sz w:val="21"/>
                      <w:szCs w:val="21"/>
                    </w:rPr>
                  </w:pPr>
                  <w:r>
                    <w:rPr>
                      <w:rFonts w:hint="eastAsia"/>
                      <w:sz w:val="21"/>
                      <w:szCs w:val="21"/>
                    </w:rPr>
                    <w:t>收集后回用生产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567" w:hRule="atLeast"/>
                <w:jc w:val="center"/>
              </w:trPr>
              <w:tc>
                <w:tcPr>
                  <w:tcW w:w="824" w:type="dxa"/>
                  <w:tcBorders>
                    <w:top w:val="single" w:color="auto" w:sz="4" w:space="0"/>
                    <w:left w:val="nil"/>
                    <w:bottom w:val="single" w:color="auto" w:sz="8" w:space="0"/>
                    <w:right w:val="single" w:color="auto" w:sz="4" w:space="0"/>
                  </w:tcBorders>
                  <w:vAlign w:val="center"/>
                </w:tcPr>
                <w:p>
                  <w:pPr>
                    <w:widowControl/>
                    <w:adjustRightInd w:val="0"/>
                    <w:snapToGrid w:val="0"/>
                    <w:jc w:val="left"/>
                    <w:rPr>
                      <w:rFonts w:hint="eastAsia"/>
                      <w:sz w:val="21"/>
                      <w:szCs w:val="21"/>
                    </w:rPr>
                  </w:pPr>
                  <w:r>
                    <w:rPr>
                      <w:rFonts w:hint="eastAsia"/>
                      <w:sz w:val="21"/>
                      <w:szCs w:val="21"/>
                    </w:rPr>
                    <w:t>管理</w:t>
                  </w:r>
                </w:p>
                <w:p>
                  <w:pPr>
                    <w:widowControl/>
                    <w:adjustRightInd w:val="0"/>
                    <w:snapToGrid w:val="0"/>
                    <w:jc w:val="left"/>
                    <w:rPr>
                      <w:rFonts w:hint="eastAsia" w:eastAsia="宋体"/>
                      <w:sz w:val="21"/>
                      <w:szCs w:val="21"/>
                      <w:lang w:val="en-US" w:eastAsia="zh-CN"/>
                    </w:rPr>
                  </w:pPr>
                  <w:r>
                    <w:rPr>
                      <w:rFonts w:hint="eastAsia"/>
                      <w:sz w:val="21"/>
                      <w:szCs w:val="21"/>
                      <w:lang w:val="en-US" w:eastAsia="zh-CN"/>
                    </w:rPr>
                    <w:t>要求</w:t>
                  </w:r>
                </w:p>
              </w:tc>
              <w:tc>
                <w:tcPr>
                  <w:tcW w:w="7395" w:type="dxa"/>
                  <w:gridSpan w:val="3"/>
                  <w:tcBorders>
                    <w:top w:val="single" w:color="auto" w:sz="4" w:space="0"/>
                    <w:left w:val="single" w:color="auto" w:sz="4" w:space="0"/>
                    <w:bottom w:val="single" w:color="auto" w:sz="8" w:space="0"/>
                    <w:right w:val="nil"/>
                  </w:tcBorders>
                  <w:vAlign w:val="center"/>
                </w:tcPr>
                <w:p>
                  <w:pPr>
                    <w:adjustRightInd w:val="0"/>
                    <w:snapToGrid w:val="0"/>
                    <w:jc w:val="center"/>
                    <w:rPr>
                      <w:rFonts w:hint="eastAsia" w:eastAsia="宋体"/>
                      <w:sz w:val="21"/>
                      <w:szCs w:val="21"/>
                      <w:lang w:eastAsia="zh-CN"/>
                    </w:rPr>
                  </w:pPr>
                  <w:r>
                    <w:rPr>
                      <w:rFonts w:hint="eastAsia"/>
                      <w:sz w:val="21"/>
                      <w:szCs w:val="21"/>
                    </w:rPr>
                    <w:t>根据环保部门要求安装用电量及视频监控系统、在线监控系统与</w:t>
                  </w:r>
                </w:p>
                <w:p>
                  <w:pPr>
                    <w:adjustRightInd w:val="0"/>
                    <w:snapToGrid w:val="0"/>
                    <w:jc w:val="center"/>
                    <w:rPr>
                      <w:sz w:val="21"/>
                      <w:szCs w:val="21"/>
                    </w:rPr>
                  </w:pPr>
                  <w:r>
                    <w:rPr>
                      <w:rFonts w:hint="eastAsia"/>
                      <w:sz w:val="21"/>
                      <w:szCs w:val="21"/>
                    </w:rPr>
                    <w:t>环保部门平台联网。</w:t>
                  </w:r>
                </w:p>
              </w:tc>
            </w:tr>
          </w:tbl>
          <w:p>
            <w:pPr>
              <w:spacing w:line="440" w:lineRule="exact"/>
              <w:ind w:firstLine="480" w:firstLineChars="200"/>
              <w:rPr>
                <w:sz w:val="24"/>
                <w:szCs w:val="24"/>
              </w:rPr>
            </w:pP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408" w:hRule="atLeast"/>
        </w:trPr>
        <w:tc>
          <w:tcPr>
            <w:tcW w:w="523" w:type="dxa"/>
            <w:tcBorders>
              <w:top w:val="single" w:color="auto" w:sz="4" w:space="0"/>
              <w:bottom w:val="single" w:color="auto" w:sz="8"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r>
              <w:rPr>
                <w:rFonts w:hint="eastAsia"/>
                <w:color w:val="000000"/>
                <w:sz w:val="21"/>
                <w:szCs w:val="21"/>
              </w:rPr>
              <w:br w:type="textWrapping"/>
            </w:r>
            <w:r>
              <w:rPr>
                <w:rFonts w:hint="eastAsia"/>
                <w:color w:val="000000"/>
                <w:sz w:val="21"/>
                <w:szCs w:val="21"/>
              </w:rPr>
              <w:t>与项目有关的原有环境污染问题</w:t>
            </w:r>
          </w:p>
        </w:tc>
        <w:tc>
          <w:tcPr>
            <w:tcW w:w="8604" w:type="dxa"/>
            <w:tcBorders>
              <w:top w:val="single" w:color="auto" w:sz="4" w:space="0"/>
              <w:left w:val="single" w:color="auto" w:sz="4" w:space="0"/>
              <w:bottom w:val="single" w:color="auto" w:sz="8" w:space="0"/>
            </w:tcBorders>
          </w:tcPr>
          <w:p>
            <w:pPr>
              <w:spacing w:line="440" w:lineRule="exact"/>
              <w:jc w:val="left"/>
              <w:rPr>
                <w:b/>
                <w:bCs/>
                <w:color w:val="000000"/>
                <w:sz w:val="24"/>
                <w:szCs w:val="24"/>
              </w:rPr>
            </w:pPr>
          </w:p>
          <w:p>
            <w:pPr>
              <w:spacing w:line="480" w:lineRule="exact"/>
              <w:rPr>
                <w:rFonts w:hint="eastAsia" w:eastAsia="宋体"/>
                <w:sz w:val="24"/>
                <w:szCs w:val="24"/>
                <w:lang w:eastAsia="zh-CN"/>
              </w:rPr>
            </w:pPr>
          </w:p>
          <w:p>
            <w:pPr>
              <w:spacing w:line="480" w:lineRule="exact"/>
              <w:rPr>
                <w:sz w:val="24"/>
                <w:szCs w:val="24"/>
              </w:rPr>
            </w:pPr>
            <w:r>
              <w:rPr>
                <w:rFonts w:hint="eastAsia"/>
                <w:sz w:val="24"/>
                <w:szCs w:val="24"/>
              </w:rPr>
              <w:t xml:space="preserve">                               无  </w:t>
            </w:r>
          </w:p>
          <w:p>
            <w:pPr>
              <w:spacing w:line="480" w:lineRule="exact"/>
              <w:rPr>
                <w:sz w:val="24"/>
                <w:szCs w:val="24"/>
              </w:rPr>
            </w:pPr>
          </w:p>
          <w:p>
            <w:pPr>
              <w:spacing w:line="480" w:lineRule="exact"/>
              <w:rPr>
                <w:sz w:val="24"/>
                <w:szCs w:val="24"/>
              </w:rPr>
            </w:pPr>
            <w:r>
              <w:rPr>
                <w:sz w:val="24"/>
                <w:szCs w:val="24"/>
              </w:rPr>
              <w:br w:type="textWrapping"/>
            </w:r>
            <w:r>
              <w:rPr>
                <w:sz w:val="24"/>
                <w:szCs w:val="24"/>
              </w:rPr>
              <w:br w:type="textWrapping"/>
            </w:r>
            <w:r>
              <w:rPr>
                <w:sz w:val="24"/>
                <w:szCs w:val="24"/>
              </w:rPr>
              <w:br w:type="textWrapping"/>
            </w:r>
          </w:p>
        </w:tc>
      </w:tr>
    </w:tbl>
    <w:p>
      <w:pPr>
        <w:ind w:firstLine="1405" w:firstLineChars="500"/>
        <w:jc w:val="left"/>
        <w:rPr>
          <w:b/>
          <w:color w:val="000000"/>
        </w:rPr>
      </w:pPr>
      <w:r>
        <w:rPr>
          <w:rFonts w:hint="eastAsia"/>
          <w:b/>
          <w:color w:val="000000"/>
        </w:rPr>
        <w:t>三、区域环境质量现状、环境保护目标及评价标准</w:t>
      </w:r>
    </w:p>
    <w:tbl>
      <w:tblPr>
        <w:tblStyle w:val="25"/>
        <w:tblW w:w="8735" w:type="dxa"/>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422"/>
        <w:gridCol w:w="8313"/>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2" w:type="dxa"/>
            <w:tcBorders>
              <w:bottom w:val="single" w:color="auto" w:sz="4" w:space="0"/>
              <w:right w:val="single" w:color="auto" w:sz="4" w:space="0"/>
            </w:tcBorders>
          </w:tcPr>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center"/>
              <w:rPr>
                <w:sz w:val="21"/>
                <w:szCs w:val="21"/>
              </w:rPr>
            </w:pPr>
            <w:r>
              <w:rPr>
                <w:rFonts w:hint="eastAsia"/>
                <w:sz w:val="21"/>
                <w:szCs w:val="21"/>
              </w:rPr>
              <w:t>区</w:t>
            </w:r>
          </w:p>
          <w:p>
            <w:pPr>
              <w:spacing w:line="440" w:lineRule="exact"/>
              <w:jc w:val="center"/>
              <w:rPr>
                <w:sz w:val="21"/>
                <w:szCs w:val="21"/>
              </w:rPr>
            </w:pPr>
            <w:r>
              <w:rPr>
                <w:rFonts w:hint="eastAsia"/>
                <w:sz w:val="21"/>
                <w:szCs w:val="21"/>
              </w:rPr>
              <w:t>域</w:t>
            </w:r>
          </w:p>
          <w:p>
            <w:pPr>
              <w:spacing w:line="440" w:lineRule="exact"/>
              <w:jc w:val="center"/>
              <w:rPr>
                <w:sz w:val="21"/>
                <w:szCs w:val="21"/>
              </w:rPr>
            </w:pPr>
            <w:r>
              <w:rPr>
                <w:rFonts w:hint="eastAsia"/>
                <w:sz w:val="21"/>
                <w:szCs w:val="21"/>
              </w:rPr>
              <w:t>环</w:t>
            </w:r>
          </w:p>
          <w:p>
            <w:pPr>
              <w:spacing w:line="440" w:lineRule="exact"/>
              <w:jc w:val="center"/>
              <w:rPr>
                <w:sz w:val="21"/>
                <w:szCs w:val="21"/>
              </w:rPr>
            </w:pPr>
            <w:r>
              <w:rPr>
                <w:rFonts w:hint="eastAsia"/>
                <w:sz w:val="21"/>
                <w:szCs w:val="21"/>
              </w:rPr>
              <w:t>境</w:t>
            </w:r>
          </w:p>
          <w:p>
            <w:pPr>
              <w:spacing w:line="440" w:lineRule="exact"/>
              <w:jc w:val="center"/>
              <w:rPr>
                <w:sz w:val="21"/>
                <w:szCs w:val="21"/>
              </w:rPr>
            </w:pPr>
            <w:r>
              <w:rPr>
                <w:rFonts w:hint="eastAsia"/>
                <w:sz w:val="21"/>
                <w:szCs w:val="21"/>
              </w:rPr>
              <w:t>质</w:t>
            </w:r>
          </w:p>
          <w:p>
            <w:pPr>
              <w:spacing w:line="440" w:lineRule="exact"/>
              <w:jc w:val="center"/>
              <w:rPr>
                <w:sz w:val="21"/>
                <w:szCs w:val="21"/>
              </w:rPr>
            </w:pPr>
            <w:r>
              <w:rPr>
                <w:rFonts w:hint="eastAsia"/>
                <w:sz w:val="21"/>
                <w:szCs w:val="21"/>
              </w:rPr>
              <w:t>量</w:t>
            </w:r>
          </w:p>
          <w:p>
            <w:pPr>
              <w:spacing w:line="440" w:lineRule="exact"/>
              <w:jc w:val="center"/>
              <w:rPr>
                <w:sz w:val="21"/>
                <w:szCs w:val="21"/>
              </w:rPr>
            </w:pPr>
            <w:r>
              <w:rPr>
                <w:rFonts w:hint="eastAsia"/>
                <w:sz w:val="21"/>
                <w:szCs w:val="21"/>
              </w:rPr>
              <w:t>现</w:t>
            </w:r>
          </w:p>
          <w:p>
            <w:pPr>
              <w:spacing w:line="440" w:lineRule="exact"/>
              <w:jc w:val="center"/>
              <w:rPr>
                <w:sz w:val="21"/>
                <w:szCs w:val="21"/>
              </w:rPr>
            </w:pPr>
            <w:r>
              <w:rPr>
                <w:rFonts w:hint="eastAsia"/>
                <w:sz w:val="21"/>
                <w:szCs w:val="21"/>
              </w:rPr>
              <w:t>状</w:t>
            </w:r>
          </w:p>
          <w:p>
            <w:pPr>
              <w:spacing w:line="440" w:lineRule="exact"/>
              <w:ind w:firstLine="420" w:firstLineChars="200"/>
              <w:jc w:val="left"/>
              <w:rPr>
                <w:sz w:val="21"/>
                <w:szCs w:val="21"/>
              </w:rPr>
            </w:pPr>
          </w:p>
          <w:p>
            <w:pPr>
              <w:spacing w:line="440" w:lineRule="exact"/>
              <w:ind w:firstLine="420" w:firstLineChars="200"/>
              <w:jc w:val="left"/>
              <w:rPr>
                <w:sz w:val="21"/>
                <w:szCs w:val="21"/>
              </w:rPr>
            </w:pPr>
          </w:p>
          <w:p>
            <w:pPr>
              <w:spacing w:line="440" w:lineRule="exact"/>
              <w:ind w:firstLine="420" w:firstLineChars="200"/>
              <w:jc w:val="left"/>
              <w:rPr>
                <w:sz w:val="21"/>
                <w:szCs w:val="21"/>
              </w:rPr>
            </w:pPr>
          </w:p>
          <w:p>
            <w:pPr>
              <w:spacing w:line="440" w:lineRule="exact"/>
              <w:ind w:firstLine="562" w:firstLineChars="200"/>
              <w:jc w:val="left"/>
              <w:rPr>
                <w:b/>
                <w:color w:val="000000"/>
              </w:rPr>
            </w:pPr>
          </w:p>
        </w:tc>
        <w:tc>
          <w:tcPr>
            <w:tcW w:w="8313" w:type="dxa"/>
            <w:tcBorders>
              <w:top w:val="single" w:color="auto" w:sz="8" w:space="0"/>
              <w:left w:val="single" w:color="auto" w:sz="4" w:space="0"/>
              <w:bottom w:val="single" w:color="auto" w:sz="8" w:space="0"/>
            </w:tcBorders>
          </w:tcPr>
          <w:p>
            <w:pPr>
              <w:spacing w:line="440" w:lineRule="exact"/>
              <w:ind w:firstLine="482" w:firstLineChars="200"/>
              <w:jc w:val="left"/>
              <w:rPr>
                <w:rFonts w:hint="default" w:eastAsia="宋体"/>
                <w:b/>
                <w:bCs/>
                <w:color w:val="000000"/>
                <w:sz w:val="24"/>
                <w:lang w:val="en-US" w:eastAsia="zh-CN"/>
              </w:rPr>
            </w:pPr>
            <w:r>
              <w:rPr>
                <w:b/>
                <w:bCs/>
                <w:color w:val="000000"/>
                <w:sz w:val="24"/>
              </w:rPr>
              <w:t>1</w:t>
            </w:r>
            <w:r>
              <w:rPr>
                <w:rFonts w:hint="eastAsia"/>
                <w:b/>
                <w:bCs/>
                <w:color w:val="000000"/>
                <w:sz w:val="24"/>
              </w:rPr>
              <w:t>、</w:t>
            </w:r>
            <w:r>
              <w:rPr>
                <w:rFonts w:hint="eastAsia"/>
                <w:b/>
                <w:color w:val="000000"/>
                <w:sz w:val="24"/>
              </w:rPr>
              <w:t>环境空气</w:t>
            </w:r>
            <w:r>
              <w:rPr>
                <w:rFonts w:hint="eastAsia"/>
                <w:b/>
                <w:color w:val="000000"/>
                <w:sz w:val="24"/>
                <w:lang w:val="en-US" w:eastAsia="zh-CN"/>
              </w:rPr>
              <w:t>质量现状</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pPr>
            <w:r>
              <w:rPr>
                <w:rFonts w:hint="eastAsia" w:ascii="Times New Roman" w:cs="Times New Roman" w:hAnsiTheme="minorHAnsi" w:eastAsiaTheme="minorEastAsia"/>
                <w:color w:val="000000"/>
                <w:kern w:val="2"/>
                <w:sz w:val="24"/>
                <w:szCs w:val="24"/>
                <w:lang w:val="en-US" w:eastAsia="zh-CN" w:bidi="ar-SA"/>
              </w:rPr>
              <w:t>根据大气功能区划分原则，项目所在区域为二类功能区，环境空气质量应执行《环境空气质量标准》（</w:t>
            </w:r>
            <w:r>
              <w:rPr>
                <w:rFonts w:hint="default" w:ascii="Times New Roman" w:cs="Times New Roman" w:hAnsiTheme="minorHAnsi" w:eastAsiaTheme="minorEastAsia"/>
                <w:color w:val="000000"/>
                <w:kern w:val="2"/>
                <w:sz w:val="24"/>
                <w:szCs w:val="24"/>
                <w:lang w:val="en-US" w:eastAsia="zh-CN" w:bidi="ar-SA"/>
              </w:rPr>
              <w:t>GB3095-2012</w:t>
            </w:r>
            <w:r>
              <w:rPr>
                <w:rFonts w:hint="eastAsia" w:ascii="Times New Roman" w:cs="Times New Roman" w:hAnsiTheme="minorHAnsi" w:eastAsiaTheme="minorEastAsia"/>
                <w:color w:val="000000"/>
                <w:kern w:val="2"/>
                <w:sz w:val="24"/>
                <w:szCs w:val="24"/>
                <w:lang w:val="en-US" w:eastAsia="zh-CN" w:bidi="ar-SA"/>
              </w:rPr>
              <w:t xml:space="preserve">）及其 </w:t>
            </w:r>
            <w:r>
              <w:rPr>
                <w:rFonts w:hint="default" w:ascii="Times New Roman" w:cs="Times New Roman" w:hAnsiTheme="minorHAnsi" w:eastAsiaTheme="minorEastAsia"/>
                <w:color w:val="000000"/>
                <w:kern w:val="2"/>
                <w:sz w:val="24"/>
                <w:szCs w:val="24"/>
                <w:lang w:val="en-US" w:eastAsia="zh-CN" w:bidi="ar-SA"/>
              </w:rPr>
              <w:t>2018</w:t>
            </w:r>
            <w:r>
              <w:rPr>
                <w:rFonts w:hint="eastAsia" w:ascii="Times New Roman" w:cs="Times New Roman" w:hAnsiTheme="minorHAnsi" w:eastAsiaTheme="minorEastAsia"/>
                <w:color w:val="000000"/>
                <w:kern w:val="2"/>
                <w:sz w:val="24"/>
                <w:szCs w:val="24"/>
                <w:lang w:val="en-US" w:eastAsia="zh-CN" w:bidi="ar-SA"/>
              </w:rPr>
              <w:t>年修改单二级标准。根据新乡市生态环境局发布的《新乡市</w:t>
            </w:r>
            <w:r>
              <w:rPr>
                <w:rFonts w:hint="default" w:ascii="Times New Roman" w:cs="Times New Roman" w:hAnsiTheme="minorHAnsi" w:eastAsiaTheme="minorEastAsia"/>
                <w:color w:val="000000"/>
                <w:kern w:val="2"/>
                <w:sz w:val="24"/>
                <w:szCs w:val="24"/>
                <w:lang w:val="en-US" w:eastAsia="zh-CN" w:bidi="ar-SA"/>
              </w:rPr>
              <w:t>202</w:t>
            </w:r>
            <w:r>
              <w:rPr>
                <w:rFonts w:hint="eastAsia" w:cs="Times New Roman" w:hAnsiTheme="minorHAnsi" w:eastAsiaTheme="minorEastAsia"/>
                <w:color w:val="000000"/>
                <w:kern w:val="2"/>
                <w:sz w:val="24"/>
                <w:szCs w:val="24"/>
                <w:lang w:val="en-US" w:eastAsia="zh-CN" w:bidi="ar-SA"/>
              </w:rPr>
              <w:t>2</w:t>
            </w:r>
            <w:r>
              <w:rPr>
                <w:rFonts w:hint="eastAsia" w:ascii="Times New Roman" w:cs="Times New Roman" w:hAnsiTheme="minorHAnsi" w:eastAsiaTheme="minorEastAsia"/>
                <w:color w:val="000000"/>
                <w:kern w:val="2"/>
                <w:sz w:val="24"/>
                <w:szCs w:val="24"/>
                <w:lang w:val="en-US" w:eastAsia="zh-CN" w:bidi="ar-SA"/>
              </w:rPr>
              <w:t>年环境质量年报》，区域空气质量现状数据如下表所示。</w:t>
            </w:r>
          </w:p>
          <w:p>
            <w:pPr>
              <w:pStyle w:val="122"/>
              <w:spacing w:line="440" w:lineRule="exact"/>
              <w:ind w:firstLine="0" w:firstLineChars="0"/>
              <w:jc w:val="left"/>
              <w:rPr>
                <w:rFonts w:ascii="Times New Roman" w:hAnsi="Times New Roman" w:eastAsia="宋体"/>
                <w:b w:val="0"/>
                <w:bCs/>
                <w:color w:val="000000"/>
                <w:sz w:val="24"/>
                <w:szCs w:val="24"/>
              </w:rPr>
            </w:pPr>
            <w:r>
              <w:rPr>
                <w:rFonts w:hint="eastAsia" w:ascii="Times New Roman" w:hAnsi="Times New Roman" w:eastAsia="宋体"/>
                <w:color w:val="000000"/>
                <w:sz w:val="24"/>
                <w:szCs w:val="24"/>
              </w:rPr>
              <w:t xml:space="preserve">    表</w:t>
            </w:r>
            <w:r>
              <w:rPr>
                <w:rFonts w:hint="eastAsia" w:ascii="Times New Roman" w:hAnsi="Times New Roman" w:eastAsia="宋体"/>
                <w:color w:val="000000"/>
                <w:sz w:val="24"/>
                <w:szCs w:val="24"/>
                <w:lang w:val="en-US" w:eastAsia="zh-CN"/>
              </w:rPr>
              <w:t xml:space="preserve">3-1       </w:t>
            </w:r>
            <w:r>
              <w:rPr>
                <w:rFonts w:hint="eastAsia" w:ascii="Times New Roman" w:hAnsi="Times New Roman" w:eastAsia="宋体"/>
                <w:color w:val="000000"/>
                <w:sz w:val="24"/>
                <w:szCs w:val="24"/>
              </w:rPr>
              <w:t>环境质量调查数据统计结果</w:t>
            </w:r>
          </w:p>
          <w:tbl>
            <w:tblPr>
              <w:tblStyle w:val="24"/>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220"/>
              <w:gridCol w:w="1757"/>
              <w:gridCol w:w="1251"/>
              <w:gridCol w:w="1481"/>
              <w:gridCol w:w="1113"/>
              <w:gridCol w:w="111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769" w:type="pct"/>
                  <w:tcBorders>
                    <w:top w:val="single" w:color="auto" w:sz="8" w:space="0"/>
                    <w:left w:val="nil"/>
                    <w:bottom w:val="single" w:color="auto" w:sz="8" w:space="0"/>
                    <w:right w:val="single" w:color="auto" w:sz="4" w:space="0"/>
                  </w:tcBorders>
                  <w:tcMar>
                    <w:top w:w="57" w:type="dxa"/>
                    <w:left w:w="85" w:type="dxa"/>
                    <w:bottom w:w="57" w:type="dxa"/>
                    <w:right w:w="85" w:type="dxa"/>
                  </w:tcMar>
                  <w:vAlign w:val="center"/>
                </w:tcPr>
                <w:p>
                  <w:pPr>
                    <w:jc w:val="center"/>
                    <w:rPr>
                      <w:b/>
                      <w:bCs/>
                      <w:color w:val="000000"/>
                      <w:sz w:val="21"/>
                      <w:szCs w:val="21"/>
                    </w:rPr>
                  </w:pPr>
                  <w:r>
                    <w:rPr>
                      <w:rFonts w:hint="eastAsia"/>
                      <w:b/>
                      <w:bCs/>
                      <w:color w:val="000000"/>
                      <w:sz w:val="21"/>
                      <w:szCs w:val="21"/>
                    </w:rPr>
                    <w:t>污染物</w:t>
                  </w:r>
                </w:p>
              </w:tc>
              <w:tc>
                <w:tcPr>
                  <w:tcW w:w="1107" w:type="pct"/>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b/>
                      <w:bCs/>
                      <w:color w:val="000000"/>
                      <w:sz w:val="21"/>
                      <w:szCs w:val="21"/>
                    </w:rPr>
                  </w:pPr>
                  <w:r>
                    <w:rPr>
                      <w:rFonts w:hint="eastAsia"/>
                      <w:b/>
                      <w:bCs/>
                      <w:color w:val="000000"/>
                      <w:sz w:val="21"/>
                      <w:szCs w:val="21"/>
                    </w:rPr>
                    <w:t>年评价指标</w:t>
                  </w:r>
                </w:p>
              </w:tc>
              <w:tc>
                <w:tcPr>
                  <w:tcW w:w="788" w:type="pct"/>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b/>
                      <w:bCs/>
                      <w:color w:val="000000"/>
                      <w:sz w:val="21"/>
                      <w:szCs w:val="21"/>
                    </w:rPr>
                  </w:pPr>
                  <w:r>
                    <w:rPr>
                      <w:rFonts w:hint="eastAsia"/>
                      <w:b/>
                      <w:bCs/>
                      <w:color w:val="000000"/>
                      <w:sz w:val="21"/>
                      <w:szCs w:val="21"/>
                    </w:rPr>
                    <w:t>现状浓度</w:t>
                  </w:r>
                  <w:r>
                    <w:rPr>
                      <w:b/>
                      <w:bCs/>
                      <w:color w:val="000000"/>
                      <w:sz w:val="21"/>
                      <w:szCs w:val="21"/>
                    </w:rPr>
                    <w:t>/</w:t>
                  </w:r>
                  <w:r>
                    <w:rPr>
                      <w:rFonts w:hint="eastAsia"/>
                      <w:b/>
                      <w:bCs/>
                      <w:color w:val="000000"/>
                      <w:sz w:val="21"/>
                      <w:szCs w:val="21"/>
                    </w:rPr>
                    <w:t>（</w:t>
                  </w:r>
                  <w:r>
                    <w:rPr>
                      <w:b/>
                      <w:bCs/>
                      <w:color w:val="000000"/>
                      <w:sz w:val="21"/>
                      <w:szCs w:val="21"/>
                    </w:rPr>
                    <w:t>μg/m</w:t>
                  </w:r>
                  <w:r>
                    <w:rPr>
                      <w:b/>
                      <w:bCs/>
                      <w:color w:val="000000"/>
                      <w:sz w:val="21"/>
                      <w:szCs w:val="21"/>
                      <w:vertAlign w:val="superscript"/>
                    </w:rPr>
                    <w:t>3</w:t>
                  </w:r>
                  <w:r>
                    <w:rPr>
                      <w:rFonts w:hint="eastAsia"/>
                      <w:b/>
                      <w:bCs/>
                      <w:color w:val="000000"/>
                      <w:sz w:val="21"/>
                      <w:szCs w:val="21"/>
                    </w:rPr>
                    <w:t>）</w:t>
                  </w:r>
                </w:p>
              </w:tc>
              <w:tc>
                <w:tcPr>
                  <w:tcW w:w="933" w:type="pct"/>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b/>
                      <w:bCs/>
                      <w:color w:val="000000"/>
                      <w:sz w:val="21"/>
                      <w:szCs w:val="21"/>
                    </w:rPr>
                  </w:pPr>
                  <w:r>
                    <w:rPr>
                      <w:rFonts w:hint="eastAsia"/>
                      <w:b/>
                      <w:bCs/>
                      <w:color w:val="000000"/>
                      <w:sz w:val="21"/>
                      <w:szCs w:val="21"/>
                    </w:rPr>
                    <w:t>标准值</w:t>
                  </w:r>
                  <w:r>
                    <w:rPr>
                      <w:b/>
                      <w:bCs/>
                      <w:color w:val="000000"/>
                      <w:sz w:val="21"/>
                      <w:szCs w:val="21"/>
                    </w:rPr>
                    <w:t>/</w:t>
                  </w:r>
                  <w:r>
                    <w:rPr>
                      <w:rFonts w:hint="eastAsia"/>
                      <w:b/>
                      <w:bCs/>
                      <w:color w:val="000000"/>
                      <w:sz w:val="21"/>
                      <w:szCs w:val="21"/>
                    </w:rPr>
                    <w:t>（</w:t>
                  </w:r>
                  <w:r>
                    <w:rPr>
                      <w:b/>
                      <w:bCs/>
                      <w:color w:val="000000"/>
                      <w:sz w:val="21"/>
                      <w:szCs w:val="21"/>
                    </w:rPr>
                    <w:t>μg/m</w:t>
                  </w:r>
                  <w:r>
                    <w:rPr>
                      <w:b/>
                      <w:bCs/>
                      <w:color w:val="000000"/>
                      <w:sz w:val="21"/>
                      <w:szCs w:val="21"/>
                      <w:vertAlign w:val="superscript"/>
                    </w:rPr>
                    <w:t>3</w:t>
                  </w:r>
                  <w:r>
                    <w:rPr>
                      <w:rFonts w:hint="eastAsia"/>
                      <w:b/>
                      <w:bCs/>
                      <w:color w:val="000000"/>
                      <w:sz w:val="21"/>
                      <w:szCs w:val="21"/>
                    </w:rPr>
                    <w:t>）</w:t>
                  </w:r>
                </w:p>
              </w:tc>
              <w:tc>
                <w:tcPr>
                  <w:tcW w:w="701" w:type="pct"/>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b/>
                      <w:bCs/>
                      <w:color w:val="000000"/>
                      <w:sz w:val="21"/>
                      <w:szCs w:val="21"/>
                    </w:rPr>
                  </w:pPr>
                  <w:r>
                    <w:rPr>
                      <w:rFonts w:hint="eastAsia"/>
                      <w:b/>
                      <w:bCs/>
                      <w:color w:val="000000"/>
                      <w:sz w:val="21"/>
                      <w:szCs w:val="21"/>
                    </w:rPr>
                    <w:t>占标率</w:t>
                  </w:r>
                </w:p>
                <w:p>
                  <w:pPr>
                    <w:jc w:val="center"/>
                    <w:rPr>
                      <w:b/>
                      <w:bCs/>
                      <w:color w:val="000000"/>
                      <w:sz w:val="21"/>
                      <w:szCs w:val="21"/>
                    </w:rPr>
                  </w:pPr>
                  <w:r>
                    <w:rPr>
                      <w:b/>
                      <w:bCs/>
                      <w:color w:val="000000"/>
                      <w:sz w:val="21"/>
                      <w:szCs w:val="21"/>
                    </w:rPr>
                    <w:t>%</w:t>
                  </w:r>
                </w:p>
              </w:tc>
              <w:tc>
                <w:tcPr>
                  <w:tcW w:w="701" w:type="pct"/>
                  <w:tcBorders>
                    <w:top w:val="single" w:color="auto" w:sz="8" w:space="0"/>
                    <w:left w:val="single" w:color="auto" w:sz="4" w:space="0"/>
                    <w:bottom w:val="single" w:color="auto" w:sz="8" w:space="0"/>
                    <w:right w:val="nil"/>
                  </w:tcBorders>
                  <w:tcMar>
                    <w:top w:w="57" w:type="dxa"/>
                    <w:left w:w="85" w:type="dxa"/>
                    <w:bottom w:w="57" w:type="dxa"/>
                    <w:right w:w="85" w:type="dxa"/>
                  </w:tcMar>
                  <w:vAlign w:val="center"/>
                </w:tcPr>
                <w:p>
                  <w:pPr>
                    <w:jc w:val="center"/>
                    <w:rPr>
                      <w:b/>
                      <w:bCs/>
                      <w:color w:val="000000"/>
                      <w:sz w:val="21"/>
                      <w:szCs w:val="21"/>
                    </w:rPr>
                  </w:pPr>
                  <w:r>
                    <w:rPr>
                      <w:rFonts w:hint="eastAsia"/>
                      <w:b/>
                      <w:bCs/>
                      <w:color w:val="000000"/>
                      <w:sz w:val="21"/>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769" w:type="pct"/>
                  <w:tcBorders>
                    <w:top w:val="single" w:color="auto" w:sz="8" w:space="0"/>
                    <w:left w:val="nil"/>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PM</w:t>
                  </w:r>
                  <w:r>
                    <w:rPr>
                      <w:sz w:val="21"/>
                      <w:szCs w:val="21"/>
                      <w:vertAlign w:val="subscript"/>
                    </w:rPr>
                    <w:t>10</w:t>
                  </w:r>
                </w:p>
              </w:tc>
              <w:tc>
                <w:tcPr>
                  <w:tcW w:w="1107"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rFonts w:hint="eastAsia"/>
                      <w:sz w:val="21"/>
                      <w:szCs w:val="21"/>
                    </w:rPr>
                    <w:t>年平均质量浓度</w:t>
                  </w:r>
                </w:p>
              </w:tc>
              <w:tc>
                <w:tcPr>
                  <w:tcW w:w="788"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hint="default" w:eastAsia="宋体"/>
                      <w:color w:val="000000"/>
                      <w:sz w:val="21"/>
                      <w:szCs w:val="21"/>
                      <w:lang w:val="en-US" w:eastAsia="zh-CN"/>
                    </w:rPr>
                  </w:pPr>
                  <w:r>
                    <w:rPr>
                      <w:rFonts w:hint="eastAsia"/>
                      <w:sz w:val="21"/>
                      <w:szCs w:val="21"/>
                      <w:lang w:val="en-US" w:eastAsia="zh-CN"/>
                    </w:rPr>
                    <w:t>89</w:t>
                  </w:r>
                </w:p>
              </w:tc>
              <w:tc>
                <w:tcPr>
                  <w:tcW w:w="933"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70</w:t>
                  </w:r>
                </w:p>
              </w:tc>
              <w:tc>
                <w:tcPr>
                  <w:tcW w:w="701" w:type="pct"/>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hint="default" w:eastAsia="宋体"/>
                      <w:color w:val="000000"/>
                      <w:sz w:val="21"/>
                      <w:szCs w:val="21"/>
                      <w:lang w:val="en-US" w:eastAsia="zh-CN"/>
                    </w:rPr>
                  </w:pPr>
                  <w:r>
                    <w:rPr>
                      <w:rFonts w:hint="eastAsia"/>
                      <w:sz w:val="21"/>
                      <w:szCs w:val="21"/>
                      <w:lang w:val="en-US" w:eastAsia="zh-CN"/>
                    </w:rPr>
                    <w:t>127.1</w:t>
                  </w:r>
                </w:p>
              </w:tc>
              <w:tc>
                <w:tcPr>
                  <w:tcW w:w="701" w:type="pct"/>
                  <w:tcBorders>
                    <w:top w:val="single" w:color="auto" w:sz="8" w:space="0"/>
                    <w:left w:val="single" w:color="auto" w:sz="4" w:space="0"/>
                    <w:bottom w:val="single" w:color="auto" w:sz="4" w:space="0"/>
                    <w:right w:val="nil"/>
                  </w:tcBorders>
                  <w:tcMar>
                    <w:top w:w="57" w:type="dxa"/>
                    <w:left w:w="85" w:type="dxa"/>
                    <w:bottom w:w="57" w:type="dxa"/>
                    <w:right w:w="85" w:type="dxa"/>
                  </w:tcMar>
                  <w:vAlign w:val="center"/>
                </w:tcPr>
                <w:p>
                  <w:pPr>
                    <w:jc w:val="center"/>
                    <w:rPr>
                      <w:color w:val="000000"/>
                      <w:sz w:val="21"/>
                      <w:szCs w:val="21"/>
                    </w:rPr>
                  </w:pPr>
                  <w:r>
                    <w:rPr>
                      <w:rFonts w:hint="eastAsia"/>
                      <w:sz w:val="21"/>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769" w:type="pct"/>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PM</w:t>
                  </w:r>
                  <w:r>
                    <w:rPr>
                      <w:sz w:val="21"/>
                      <w:szCs w:val="21"/>
                      <w:vertAlign w:val="subscript"/>
                    </w:rPr>
                    <w:t>2.5</w:t>
                  </w:r>
                </w:p>
              </w:tc>
              <w:tc>
                <w:tcPr>
                  <w:tcW w:w="1107"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rFonts w:hint="eastAsia"/>
                      <w:sz w:val="21"/>
                      <w:szCs w:val="21"/>
                    </w:rPr>
                    <w:t>年平均质量浓度</w:t>
                  </w:r>
                </w:p>
              </w:tc>
              <w:tc>
                <w:tcPr>
                  <w:tcW w:w="788"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hint="default" w:eastAsia="宋体"/>
                      <w:color w:val="000000"/>
                      <w:sz w:val="21"/>
                      <w:szCs w:val="21"/>
                      <w:lang w:val="en-US" w:eastAsia="zh-CN"/>
                    </w:rPr>
                  </w:pPr>
                  <w:r>
                    <w:rPr>
                      <w:rFonts w:hint="eastAsia"/>
                      <w:color w:val="000000"/>
                      <w:sz w:val="21"/>
                      <w:szCs w:val="21"/>
                      <w:lang w:val="en-US" w:eastAsia="zh-CN"/>
                    </w:rPr>
                    <w:t>50</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35</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keepNext w:val="0"/>
                    <w:keepLines w:val="0"/>
                    <w:widowControl/>
                    <w:suppressLineNumbers w:val="0"/>
                    <w:ind w:firstLine="210" w:firstLineChars="100"/>
                    <w:jc w:val="left"/>
                    <w:rPr>
                      <w:rFonts w:hint="default" w:eastAsia="宋体"/>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w:t>
                  </w:r>
                  <w:r>
                    <w:rPr>
                      <w:rFonts w:hint="eastAsia" w:cs="Times New Roman"/>
                      <w:color w:val="000000"/>
                      <w:kern w:val="0"/>
                      <w:sz w:val="21"/>
                      <w:szCs w:val="21"/>
                      <w:lang w:val="en-US" w:eastAsia="zh-CN" w:bidi="ar"/>
                    </w:rPr>
                    <w:t>42.9</w:t>
                  </w:r>
                </w:p>
              </w:tc>
              <w:tc>
                <w:tcPr>
                  <w:tcW w:w="701" w:type="pct"/>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rPr>
                      <w:color w:val="000000"/>
                      <w:sz w:val="21"/>
                      <w:szCs w:val="21"/>
                    </w:rPr>
                  </w:pPr>
                  <w:r>
                    <w:rPr>
                      <w:rFonts w:hint="eastAsia"/>
                      <w:sz w:val="21"/>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769" w:type="pct"/>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SO</w:t>
                  </w:r>
                  <w:r>
                    <w:rPr>
                      <w:sz w:val="21"/>
                      <w:szCs w:val="21"/>
                      <w:vertAlign w:val="subscript"/>
                    </w:rPr>
                    <w:t>2</w:t>
                  </w:r>
                </w:p>
              </w:tc>
              <w:tc>
                <w:tcPr>
                  <w:tcW w:w="1107"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rFonts w:hint="eastAsia"/>
                      <w:sz w:val="21"/>
                      <w:szCs w:val="21"/>
                    </w:rPr>
                    <w:t>年平均质量浓度</w:t>
                  </w:r>
                </w:p>
              </w:tc>
              <w:tc>
                <w:tcPr>
                  <w:tcW w:w="788"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hint="default" w:eastAsia="宋体"/>
                      <w:color w:val="000000"/>
                      <w:sz w:val="21"/>
                      <w:szCs w:val="21"/>
                      <w:lang w:val="en-US" w:eastAsia="zh-CN"/>
                    </w:rPr>
                  </w:pPr>
                  <w:r>
                    <w:rPr>
                      <w:rFonts w:hint="eastAsia"/>
                      <w:sz w:val="21"/>
                      <w:szCs w:val="21"/>
                      <w:lang w:val="en-US" w:eastAsia="zh-CN"/>
                    </w:rPr>
                    <w:t>10</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60</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keepNext w:val="0"/>
                    <w:keepLines w:val="0"/>
                    <w:widowControl/>
                    <w:suppressLineNumbers w:val="0"/>
                    <w:ind w:firstLine="210" w:firstLineChars="100"/>
                    <w:jc w:val="left"/>
                    <w:rPr>
                      <w:rFonts w:hint="default" w:eastAsia="宋体"/>
                      <w:color w:val="000000"/>
                      <w:sz w:val="21"/>
                      <w:szCs w:val="21"/>
                      <w:lang w:val="en-US" w:eastAsia="zh-CN"/>
                    </w:rPr>
                  </w:pPr>
                  <w:r>
                    <w:rPr>
                      <w:rFonts w:hint="default" w:ascii="Times New Roman" w:hAnsi="Times New Roman" w:eastAsia="宋体" w:cs="Times New Roman"/>
                      <w:color w:val="000000"/>
                      <w:kern w:val="0"/>
                      <w:sz w:val="21"/>
                      <w:szCs w:val="21"/>
                      <w:lang w:val="en-US" w:eastAsia="zh-CN" w:bidi="ar"/>
                    </w:rPr>
                    <w:t>1</w:t>
                  </w:r>
                  <w:r>
                    <w:rPr>
                      <w:rFonts w:hint="eastAsia" w:cs="Times New Roman"/>
                      <w:color w:val="000000"/>
                      <w:kern w:val="0"/>
                      <w:sz w:val="21"/>
                      <w:szCs w:val="21"/>
                      <w:lang w:val="en-US" w:eastAsia="zh-CN" w:bidi="ar"/>
                    </w:rPr>
                    <w:t>6.7</w:t>
                  </w:r>
                </w:p>
              </w:tc>
              <w:tc>
                <w:tcPr>
                  <w:tcW w:w="701" w:type="pct"/>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rPr>
                      <w:color w:val="000000"/>
                      <w:sz w:val="21"/>
                      <w:szCs w:val="21"/>
                    </w:rPr>
                  </w:pPr>
                  <w:r>
                    <w:rPr>
                      <w:rFonts w:hint="eastAsia"/>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769" w:type="pct"/>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NO</w:t>
                  </w:r>
                  <w:r>
                    <w:rPr>
                      <w:sz w:val="21"/>
                      <w:szCs w:val="21"/>
                      <w:vertAlign w:val="subscript"/>
                    </w:rPr>
                    <w:t>2</w:t>
                  </w:r>
                </w:p>
              </w:tc>
              <w:tc>
                <w:tcPr>
                  <w:tcW w:w="1107"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rFonts w:hint="eastAsia"/>
                      <w:sz w:val="21"/>
                      <w:szCs w:val="21"/>
                    </w:rPr>
                    <w:t>年平均质量浓度</w:t>
                  </w:r>
                </w:p>
              </w:tc>
              <w:tc>
                <w:tcPr>
                  <w:tcW w:w="788"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hint="default" w:eastAsia="宋体"/>
                      <w:color w:val="000000"/>
                      <w:sz w:val="21"/>
                      <w:szCs w:val="21"/>
                      <w:lang w:val="en-US" w:eastAsia="zh-CN"/>
                    </w:rPr>
                  </w:pPr>
                  <w:r>
                    <w:rPr>
                      <w:rFonts w:hint="eastAsia"/>
                      <w:sz w:val="21"/>
                      <w:szCs w:val="21"/>
                      <w:lang w:val="en-US" w:eastAsia="zh-CN"/>
                    </w:rPr>
                    <w:t>30</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40</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hint="default" w:eastAsia="宋体"/>
                      <w:color w:val="000000"/>
                      <w:sz w:val="21"/>
                      <w:szCs w:val="21"/>
                      <w:lang w:val="en-US" w:eastAsia="zh-CN"/>
                    </w:rPr>
                  </w:pPr>
                  <w:r>
                    <w:rPr>
                      <w:rFonts w:hint="eastAsia"/>
                      <w:sz w:val="21"/>
                      <w:szCs w:val="21"/>
                      <w:lang w:val="en-US" w:eastAsia="zh-CN"/>
                    </w:rPr>
                    <w:t>75</w:t>
                  </w:r>
                </w:p>
              </w:tc>
              <w:tc>
                <w:tcPr>
                  <w:tcW w:w="701" w:type="pct"/>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rPr>
                      <w:color w:val="000000"/>
                      <w:sz w:val="21"/>
                      <w:szCs w:val="21"/>
                    </w:rPr>
                  </w:pPr>
                  <w:r>
                    <w:rPr>
                      <w:rFonts w:hint="eastAsia"/>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769" w:type="pct"/>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CO</w:t>
                  </w:r>
                </w:p>
              </w:tc>
              <w:tc>
                <w:tcPr>
                  <w:tcW w:w="1107"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rFonts w:hint="eastAsia"/>
                      <w:sz w:val="21"/>
                      <w:szCs w:val="21"/>
                    </w:rPr>
                    <w:t>第</w:t>
                  </w:r>
                  <w:r>
                    <w:rPr>
                      <w:sz w:val="21"/>
                      <w:szCs w:val="21"/>
                    </w:rPr>
                    <w:t>95</w:t>
                  </w:r>
                  <w:r>
                    <w:rPr>
                      <w:rFonts w:hint="eastAsia"/>
                      <w:sz w:val="21"/>
                      <w:szCs w:val="21"/>
                    </w:rPr>
                    <w:t>百分位浓度</w:t>
                  </w:r>
                </w:p>
              </w:tc>
              <w:tc>
                <w:tcPr>
                  <w:tcW w:w="788"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1.</w:t>
                  </w:r>
                  <w:r>
                    <w:rPr>
                      <w:rFonts w:hint="eastAsia"/>
                      <w:sz w:val="21"/>
                      <w:szCs w:val="21"/>
                      <w:lang w:val="en-US" w:eastAsia="zh-CN"/>
                    </w:rPr>
                    <w:t>4</w:t>
                  </w:r>
                  <w:r>
                    <w:rPr>
                      <w:sz w:val="21"/>
                      <w:szCs w:val="21"/>
                    </w:rPr>
                    <w:t>mg/m</w:t>
                  </w:r>
                  <w:r>
                    <w:rPr>
                      <w:sz w:val="21"/>
                      <w:szCs w:val="21"/>
                      <w:vertAlign w:val="superscript"/>
                    </w:rPr>
                    <w:t>3</w:t>
                  </w:r>
                </w:p>
              </w:tc>
              <w:tc>
                <w:tcPr>
                  <w:tcW w:w="933"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4mg/m</w:t>
                  </w:r>
                  <w:r>
                    <w:rPr>
                      <w:sz w:val="21"/>
                      <w:szCs w:val="21"/>
                      <w:vertAlign w:val="superscript"/>
                    </w:rPr>
                    <w:t>3</w:t>
                  </w:r>
                </w:p>
              </w:tc>
              <w:tc>
                <w:tcPr>
                  <w:tcW w:w="701" w:type="pct"/>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hint="default" w:eastAsia="宋体"/>
                      <w:color w:val="000000"/>
                      <w:sz w:val="21"/>
                      <w:szCs w:val="21"/>
                      <w:lang w:val="en-US" w:eastAsia="zh-CN"/>
                    </w:rPr>
                  </w:pPr>
                  <w:r>
                    <w:rPr>
                      <w:rFonts w:hint="eastAsia"/>
                      <w:color w:val="000000"/>
                      <w:sz w:val="21"/>
                      <w:szCs w:val="21"/>
                      <w:lang w:val="en-US" w:eastAsia="zh-CN"/>
                    </w:rPr>
                    <w:t>35</w:t>
                  </w:r>
                </w:p>
              </w:tc>
              <w:tc>
                <w:tcPr>
                  <w:tcW w:w="701" w:type="pct"/>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rPr>
                      <w:color w:val="000000"/>
                      <w:sz w:val="21"/>
                      <w:szCs w:val="21"/>
                    </w:rPr>
                  </w:pPr>
                  <w:r>
                    <w:rPr>
                      <w:rFonts w:hint="eastAsia"/>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769" w:type="pct"/>
                  <w:tcBorders>
                    <w:top w:val="single" w:color="auto" w:sz="4" w:space="0"/>
                    <w:left w:val="nil"/>
                    <w:bottom w:val="single" w:color="auto" w:sz="8"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O</w:t>
                  </w:r>
                  <w:r>
                    <w:rPr>
                      <w:sz w:val="21"/>
                      <w:szCs w:val="21"/>
                      <w:vertAlign w:val="subscript"/>
                    </w:rPr>
                    <w:t>3</w:t>
                  </w:r>
                </w:p>
              </w:tc>
              <w:tc>
                <w:tcPr>
                  <w:tcW w:w="1107"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color w:val="000000"/>
                      <w:sz w:val="21"/>
                      <w:szCs w:val="21"/>
                    </w:rPr>
                  </w:pPr>
                  <w:r>
                    <w:rPr>
                      <w:rFonts w:hint="eastAsia"/>
                      <w:sz w:val="21"/>
                      <w:szCs w:val="21"/>
                    </w:rPr>
                    <w:t>第</w:t>
                  </w:r>
                  <w:r>
                    <w:rPr>
                      <w:sz w:val="21"/>
                      <w:szCs w:val="21"/>
                    </w:rPr>
                    <w:t>90</w:t>
                  </w:r>
                  <w:r>
                    <w:rPr>
                      <w:rFonts w:hint="eastAsia"/>
                      <w:sz w:val="21"/>
                      <w:szCs w:val="21"/>
                    </w:rPr>
                    <w:t>百分位浓度</w:t>
                  </w:r>
                </w:p>
              </w:tc>
              <w:tc>
                <w:tcPr>
                  <w:tcW w:w="788"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rFonts w:hint="default" w:eastAsia="宋体"/>
                      <w:color w:val="000000"/>
                      <w:sz w:val="21"/>
                      <w:szCs w:val="21"/>
                      <w:lang w:val="en-US" w:eastAsia="zh-CN"/>
                    </w:rPr>
                  </w:pPr>
                  <w:r>
                    <w:rPr>
                      <w:rFonts w:hint="eastAsia"/>
                      <w:color w:val="000000"/>
                      <w:sz w:val="21"/>
                      <w:szCs w:val="21"/>
                      <w:lang w:val="en-US" w:eastAsia="zh-CN"/>
                    </w:rPr>
                    <w:t>182</w:t>
                  </w:r>
                </w:p>
              </w:tc>
              <w:tc>
                <w:tcPr>
                  <w:tcW w:w="933"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color w:val="000000"/>
                      <w:sz w:val="21"/>
                      <w:szCs w:val="21"/>
                    </w:rPr>
                  </w:pPr>
                  <w:r>
                    <w:rPr>
                      <w:sz w:val="21"/>
                      <w:szCs w:val="21"/>
                    </w:rPr>
                    <w:t>160</w:t>
                  </w:r>
                </w:p>
              </w:tc>
              <w:tc>
                <w:tcPr>
                  <w:tcW w:w="701" w:type="pct"/>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rFonts w:hint="default" w:eastAsia="宋体"/>
                      <w:color w:val="000000"/>
                      <w:sz w:val="21"/>
                      <w:szCs w:val="21"/>
                      <w:lang w:val="en-US" w:eastAsia="zh-CN"/>
                    </w:rPr>
                  </w:pPr>
                  <w:r>
                    <w:rPr>
                      <w:rFonts w:hint="eastAsia"/>
                      <w:sz w:val="21"/>
                      <w:szCs w:val="21"/>
                      <w:lang w:val="en-US" w:eastAsia="zh-CN"/>
                    </w:rPr>
                    <w:t>113.8</w:t>
                  </w:r>
                </w:p>
              </w:tc>
              <w:tc>
                <w:tcPr>
                  <w:tcW w:w="701" w:type="pct"/>
                  <w:tcBorders>
                    <w:top w:val="single" w:color="auto" w:sz="4" w:space="0"/>
                    <w:left w:val="single" w:color="auto" w:sz="4" w:space="0"/>
                    <w:bottom w:val="single" w:color="auto" w:sz="8" w:space="0"/>
                    <w:right w:val="nil"/>
                  </w:tcBorders>
                  <w:tcMar>
                    <w:top w:w="57" w:type="dxa"/>
                    <w:left w:w="85" w:type="dxa"/>
                    <w:bottom w:w="57" w:type="dxa"/>
                    <w:right w:w="85" w:type="dxa"/>
                  </w:tcMar>
                  <w:vAlign w:val="center"/>
                </w:tcPr>
                <w:p>
                  <w:pPr>
                    <w:jc w:val="center"/>
                    <w:rPr>
                      <w:color w:val="000000"/>
                      <w:sz w:val="21"/>
                      <w:szCs w:val="21"/>
                    </w:rPr>
                  </w:pPr>
                  <w:r>
                    <w:rPr>
                      <w:rFonts w:hint="eastAsia"/>
                      <w:sz w:val="21"/>
                      <w:szCs w:val="21"/>
                    </w:rPr>
                    <w:t>超标</w:t>
                  </w:r>
                </w:p>
              </w:tc>
            </w:tr>
          </w:tbl>
          <w:p>
            <w:pPr>
              <w:spacing w:line="440" w:lineRule="exact"/>
              <w:ind w:firstLine="480" w:firstLineChars="200"/>
              <w:rPr>
                <w:rFonts w:hint="eastAsia"/>
                <w:color w:val="auto"/>
                <w:sz w:val="24"/>
                <w:szCs w:val="20"/>
              </w:rPr>
            </w:pPr>
            <w:r>
              <w:rPr>
                <w:rFonts w:hint="eastAsia"/>
                <w:color w:val="auto"/>
                <w:sz w:val="24"/>
                <w:szCs w:val="20"/>
                <w:lang w:val="en-US" w:eastAsia="zh-CN"/>
              </w:rPr>
              <w:t>由上表可知，其中</w:t>
            </w:r>
            <w:r>
              <w:rPr>
                <w:rFonts w:hint="default"/>
                <w:color w:val="auto"/>
                <w:sz w:val="24"/>
                <w:szCs w:val="20"/>
                <w:lang w:val="en-US" w:eastAsia="zh-CN"/>
              </w:rPr>
              <w:t>PM</w:t>
            </w:r>
            <w:r>
              <w:rPr>
                <w:rFonts w:hint="default"/>
                <w:color w:val="auto"/>
                <w:sz w:val="24"/>
                <w:szCs w:val="20"/>
                <w:vertAlign w:val="subscript"/>
                <w:lang w:val="en-US" w:eastAsia="zh-CN"/>
              </w:rPr>
              <w:t>10</w:t>
            </w:r>
            <w:r>
              <w:rPr>
                <w:rFonts w:hint="eastAsia"/>
                <w:color w:val="auto"/>
                <w:sz w:val="24"/>
                <w:szCs w:val="20"/>
                <w:lang w:val="en-US" w:eastAsia="zh-CN"/>
              </w:rPr>
              <w:t>、</w:t>
            </w:r>
            <w:r>
              <w:rPr>
                <w:rFonts w:hint="default"/>
                <w:color w:val="auto"/>
                <w:sz w:val="24"/>
                <w:szCs w:val="20"/>
                <w:lang w:val="en-US" w:eastAsia="zh-CN"/>
              </w:rPr>
              <w:t>PM</w:t>
            </w:r>
            <w:r>
              <w:rPr>
                <w:rFonts w:hint="default"/>
                <w:color w:val="auto"/>
                <w:sz w:val="24"/>
                <w:szCs w:val="20"/>
                <w:vertAlign w:val="subscript"/>
                <w:lang w:val="en-US" w:eastAsia="zh-CN"/>
              </w:rPr>
              <w:t>2.5</w:t>
            </w:r>
            <w:r>
              <w:rPr>
                <w:rFonts w:hint="eastAsia"/>
                <w:color w:val="auto"/>
                <w:sz w:val="24"/>
                <w:szCs w:val="20"/>
                <w:lang w:val="en-US" w:eastAsia="zh-CN"/>
              </w:rPr>
              <w:t>、</w:t>
            </w:r>
            <w:r>
              <w:rPr>
                <w:rFonts w:hint="default"/>
                <w:color w:val="auto"/>
                <w:sz w:val="24"/>
                <w:szCs w:val="20"/>
                <w:lang w:val="en-US" w:eastAsia="zh-CN"/>
              </w:rPr>
              <w:t>O</w:t>
            </w:r>
            <w:r>
              <w:rPr>
                <w:rFonts w:hint="default"/>
                <w:color w:val="auto"/>
                <w:sz w:val="24"/>
                <w:szCs w:val="20"/>
                <w:vertAlign w:val="subscript"/>
                <w:lang w:val="en-US" w:eastAsia="zh-CN"/>
              </w:rPr>
              <w:t>3</w:t>
            </w:r>
            <w:r>
              <w:rPr>
                <w:rFonts w:hint="eastAsia"/>
                <w:color w:val="auto"/>
                <w:sz w:val="24"/>
                <w:szCs w:val="20"/>
                <w:lang w:val="en-US" w:eastAsia="zh-CN"/>
              </w:rPr>
              <w:t>均不能够满足《环境空气质量标准》（</w:t>
            </w:r>
            <w:r>
              <w:rPr>
                <w:rFonts w:hint="default"/>
                <w:color w:val="auto"/>
                <w:sz w:val="24"/>
                <w:szCs w:val="20"/>
                <w:lang w:val="en-US" w:eastAsia="zh-CN"/>
              </w:rPr>
              <w:t>GB3095-2012</w:t>
            </w:r>
            <w:r>
              <w:rPr>
                <w:rFonts w:hint="eastAsia"/>
                <w:color w:val="auto"/>
                <w:sz w:val="24"/>
                <w:szCs w:val="20"/>
                <w:lang w:val="en-US" w:eastAsia="zh-CN"/>
              </w:rPr>
              <w:t>）二级标准要求。根据《环境影响评价技术导则大气环境》</w:t>
            </w:r>
          </w:p>
          <w:p>
            <w:pPr>
              <w:spacing w:line="440" w:lineRule="exact"/>
              <w:rPr>
                <w:rFonts w:hint="eastAsia"/>
                <w:color w:val="auto"/>
                <w:sz w:val="24"/>
                <w:szCs w:val="20"/>
              </w:rPr>
            </w:pPr>
            <w:r>
              <w:rPr>
                <w:rFonts w:hint="default"/>
                <w:color w:val="auto"/>
                <w:sz w:val="24"/>
                <w:szCs w:val="20"/>
                <w:lang w:val="en-US" w:eastAsia="zh-CN"/>
              </w:rPr>
              <w:t>(HJ2.2-2018)</w:t>
            </w:r>
            <w:r>
              <w:rPr>
                <w:rFonts w:hint="eastAsia"/>
                <w:color w:val="auto"/>
                <w:sz w:val="24"/>
                <w:szCs w:val="20"/>
                <w:lang w:val="en-US" w:eastAsia="zh-CN"/>
              </w:rPr>
              <w:t>，本项目所在区域属于不达标区。</w:t>
            </w:r>
          </w:p>
          <w:p>
            <w:pPr>
              <w:spacing w:line="440" w:lineRule="exact"/>
              <w:ind w:firstLine="480" w:firstLineChars="200"/>
              <w:rPr>
                <w:rFonts w:hint="eastAsia"/>
                <w:color w:val="auto"/>
                <w:sz w:val="24"/>
                <w:szCs w:val="20"/>
                <w:lang w:val="en-US" w:eastAsia="zh-CN"/>
              </w:rPr>
            </w:pPr>
            <w:r>
              <w:rPr>
                <w:rFonts w:hint="eastAsia"/>
                <w:color w:val="auto"/>
                <w:sz w:val="24"/>
                <w:szCs w:val="20"/>
                <w:lang w:val="en-US" w:eastAsia="zh-CN"/>
              </w:rPr>
              <w:t>目前，新乡市正在实施《新乡市环境污染防治攻坚指挥部办公室关于印发新乡市</w:t>
            </w:r>
            <w:r>
              <w:rPr>
                <w:rFonts w:hint="default"/>
                <w:color w:val="auto"/>
                <w:sz w:val="24"/>
                <w:szCs w:val="20"/>
                <w:lang w:val="en-US" w:eastAsia="zh-CN"/>
              </w:rPr>
              <w:t>2023</w:t>
            </w:r>
            <w:r>
              <w:rPr>
                <w:rFonts w:hint="eastAsia"/>
                <w:color w:val="auto"/>
                <w:sz w:val="24"/>
                <w:szCs w:val="20"/>
                <w:lang w:val="en-US" w:eastAsia="zh-CN"/>
              </w:rPr>
              <w:t>年蓝天保卫战实施方案的通知》（新环攻坚办〔</w:t>
            </w:r>
            <w:r>
              <w:rPr>
                <w:rFonts w:hint="default"/>
                <w:color w:val="auto"/>
                <w:sz w:val="24"/>
                <w:szCs w:val="20"/>
                <w:lang w:val="en-US" w:eastAsia="zh-CN"/>
              </w:rPr>
              <w:t>2023</w:t>
            </w:r>
            <w:r>
              <w:rPr>
                <w:rFonts w:hint="eastAsia"/>
                <w:color w:val="auto"/>
                <w:sz w:val="24"/>
                <w:szCs w:val="20"/>
                <w:lang w:val="en-US" w:eastAsia="zh-CN"/>
              </w:rPr>
              <w:t>〕</w:t>
            </w:r>
            <w:r>
              <w:rPr>
                <w:rFonts w:hint="default"/>
                <w:color w:val="auto"/>
                <w:sz w:val="24"/>
                <w:szCs w:val="20"/>
                <w:lang w:val="en-US" w:eastAsia="zh-CN"/>
              </w:rPr>
              <w:t>67</w:t>
            </w:r>
            <w:r>
              <w:rPr>
                <w:rFonts w:hint="eastAsia"/>
                <w:color w:val="auto"/>
                <w:sz w:val="24"/>
                <w:szCs w:val="20"/>
                <w:lang w:val="en-US" w:eastAsia="zh-CN"/>
              </w:rPr>
              <w:t xml:space="preserve">号）等一系列措施，将不断改善区域大气环境质量。 </w:t>
            </w:r>
          </w:p>
          <w:p>
            <w:pPr>
              <w:adjustRightInd w:val="0"/>
              <w:snapToGrid w:val="0"/>
              <w:spacing w:line="440" w:lineRule="exact"/>
              <w:ind w:firstLine="482" w:firstLineChars="200"/>
              <w:jc w:val="left"/>
              <w:rPr>
                <w:rFonts w:hint="default" w:eastAsia="宋体"/>
                <w:b/>
                <w:color w:val="000000"/>
                <w:sz w:val="24"/>
                <w:lang w:val="en-US" w:eastAsia="zh-CN"/>
              </w:rPr>
            </w:pPr>
            <w:r>
              <w:rPr>
                <w:b/>
                <w:bCs/>
                <w:sz w:val="24"/>
              </w:rPr>
              <w:t>2</w:t>
            </w:r>
            <w:r>
              <w:rPr>
                <w:rFonts w:hint="eastAsia"/>
                <w:b/>
                <w:bCs/>
                <w:sz w:val="24"/>
              </w:rPr>
              <w:t>、地表水</w:t>
            </w:r>
            <w:r>
              <w:rPr>
                <w:rFonts w:hint="eastAsia"/>
                <w:b/>
                <w:bCs/>
                <w:sz w:val="24"/>
                <w:lang w:val="en-US" w:eastAsia="zh-CN"/>
              </w:rPr>
              <w:t>环境质量现状</w:t>
            </w:r>
          </w:p>
          <w:p>
            <w:pPr>
              <w:spacing w:line="440" w:lineRule="exact"/>
              <w:ind w:firstLine="480" w:firstLineChars="200"/>
              <w:rPr>
                <w:rFonts w:hint="eastAsia"/>
                <w:color w:val="auto"/>
                <w:sz w:val="24"/>
                <w:szCs w:val="20"/>
                <w:lang w:eastAsia="zh-CN"/>
              </w:rPr>
            </w:pPr>
            <w:r>
              <w:rPr>
                <w:rFonts w:hint="eastAsia"/>
                <w:color w:val="auto"/>
                <w:sz w:val="24"/>
                <w:szCs w:val="20"/>
              </w:rPr>
              <w:t>本项目生产废水经沉淀池沉淀循环使用，生活污水经化粪池处理后定期清运不外排。经现场勘查，距离项目最近的地表水体为东孟姜女河，依据新乡市生态环境关于下达《202</w:t>
            </w:r>
            <w:r>
              <w:rPr>
                <w:rFonts w:hint="eastAsia"/>
                <w:color w:val="auto"/>
                <w:sz w:val="24"/>
                <w:szCs w:val="20"/>
                <w:lang w:val="en-US" w:eastAsia="zh-CN"/>
              </w:rPr>
              <w:t>3</w:t>
            </w:r>
            <w:r>
              <w:rPr>
                <w:rFonts w:hint="eastAsia"/>
                <w:color w:val="auto"/>
                <w:sz w:val="24"/>
                <w:szCs w:val="20"/>
              </w:rPr>
              <w:t>年地表水环境质量暂定目标》的函东孟姜女河202</w:t>
            </w:r>
            <w:r>
              <w:rPr>
                <w:rFonts w:hint="eastAsia"/>
                <w:color w:val="auto"/>
                <w:sz w:val="24"/>
                <w:szCs w:val="20"/>
                <w:lang w:val="en-US" w:eastAsia="zh-CN"/>
              </w:rPr>
              <w:t>3</w:t>
            </w:r>
            <w:r>
              <w:rPr>
                <w:rFonts w:hint="eastAsia"/>
                <w:color w:val="auto"/>
                <w:sz w:val="24"/>
                <w:szCs w:val="20"/>
              </w:rPr>
              <w:t>年地表水环境质量目标为IV类。本评价引用新乡市环境监测站对东孟青龙路化肥厂东断面2023年2月的监测数据，数据见下表</w:t>
            </w:r>
            <w:r>
              <w:rPr>
                <w:rFonts w:hint="eastAsia"/>
                <w:color w:val="auto"/>
                <w:sz w:val="24"/>
                <w:szCs w:val="20"/>
                <w:lang w:eastAsia="zh-CN"/>
              </w:rPr>
              <w:t>。</w:t>
            </w:r>
          </w:p>
          <w:p>
            <w:pPr>
              <w:spacing w:line="440" w:lineRule="exact"/>
              <w:ind w:firstLine="240" w:firstLineChars="100"/>
              <w:rPr>
                <w:color w:val="auto"/>
                <w:sz w:val="21"/>
              </w:rPr>
            </w:pPr>
            <w:r>
              <w:rPr>
                <w:rFonts w:hint="eastAsia" w:eastAsia="黑体"/>
                <w:color w:val="auto"/>
                <w:sz w:val="24"/>
              </w:rPr>
              <w:t>表</w:t>
            </w:r>
            <w:r>
              <w:rPr>
                <w:rFonts w:hint="eastAsia" w:eastAsia="黑体"/>
                <w:color w:val="auto"/>
                <w:sz w:val="24"/>
                <w:lang w:val="en-US" w:eastAsia="zh-CN"/>
              </w:rPr>
              <w:t xml:space="preserve">3-2 </w:t>
            </w:r>
            <w:r>
              <w:rPr>
                <w:rFonts w:hint="eastAsia" w:eastAsia="黑体"/>
                <w:color w:val="auto"/>
                <w:sz w:val="24"/>
              </w:rPr>
              <w:t>东孟青龙路化肥厂东断面</w:t>
            </w:r>
            <w:r>
              <w:rPr>
                <w:rFonts w:hint="eastAsia" w:eastAsia="黑体"/>
                <w:bCs/>
                <w:color w:val="auto"/>
                <w:sz w:val="24"/>
              </w:rPr>
              <w:t>监测数据</w:t>
            </w:r>
            <w:r>
              <w:rPr>
                <w:rFonts w:hint="eastAsia"/>
                <w:bCs/>
                <w:color w:val="auto"/>
                <w:sz w:val="24"/>
              </w:rPr>
              <w:t>（</w:t>
            </w:r>
            <w:r>
              <w:rPr>
                <w:rFonts w:hint="eastAsia" w:eastAsia="黑体"/>
                <w:color w:val="auto"/>
                <w:sz w:val="24"/>
                <w:lang w:val="en-US" w:eastAsia="zh-CN"/>
              </w:rPr>
              <w:t>2023</w:t>
            </w:r>
            <w:r>
              <w:rPr>
                <w:rFonts w:hint="eastAsia" w:eastAsia="黑体"/>
                <w:color w:val="auto"/>
                <w:sz w:val="24"/>
              </w:rPr>
              <w:t>年</w:t>
            </w:r>
            <w:r>
              <w:rPr>
                <w:rFonts w:hint="eastAsia" w:eastAsia="黑体"/>
                <w:color w:val="auto"/>
                <w:sz w:val="24"/>
                <w:lang w:val="en-US" w:eastAsia="zh-CN"/>
              </w:rPr>
              <w:t>2</w:t>
            </w:r>
            <w:r>
              <w:rPr>
                <w:rFonts w:hint="eastAsia" w:eastAsia="黑体"/>
                <w:color w:val="auto"/>
                <w:sz w:val="24"/>
              </w:rPr>
              <w:t>月）单位（</w:t>
            </w:r>
            <w:r>
              <w:rPr>
                <w:rFonts w:eastAsia="黑体"/>
                <w:color w:val="auto"/>
                <w:sz w:val="24"/>
              </w:rPr>
              <w:t>mg/L</w:t>
            </w:r>
            <w:r>
              <w:rPr>
                <w:rFonts w:hint="eastAsia" w:eastAsia="黑体"/>
                <w:color w:val="auto"/>
                <w:sz w:val="24"/>
              </w:rPr>
              <w:t>）</w:t>
            </w:r>
          </w:p>
          <w:tbl>
            <w:tblPr>
              <w:tblStyle w:val="24"/>
              <w:tblW w:w="8025" w:type="dxa"/>
              <w:tblInd w:w="0" w:type="dxa"/>
              <w:tblLayout w:type="fixed"/>
              <w:tblCellMar>
                <w:top w:w="0" w:type="dxa"/>
                <w:left w:w="108" w:type="dxa"/>
                <w:bottom w:w="0" w:type="dxa"/>
                <w:right w:w="108" w:type="dxa"/>
              </w:tblCellMar>
            </w:tblPr>
            <w:tblGrid>
              <w:gridCol w:w="2003"/>
              <w:gridCol w:w="2007"/>
              <w:gridCol w:w="2008"/>
              <w:gridCol w:w="2007"/>
            </w:tblGrid>
            <w:tr>
              <w:tblPrEx>
                <w:tblCellMar>
                  <w:top w:w="0" w:type="dxa"/>
                  <w:left w:w="108" w:type="dxa"/>
                  <w:bottom w:w="0" w:type="dxa"/>
                  <w:right w:w="108" w:type="dxa"/>
                </w:tblCellMar>
              </w:tblPrEx>
              <w:trPr>
                <w:trHeight w:val="392" w:hRule="atLeast"/>
              </w:trPr>
              <w:tc>
                <w:tcPr>
                  <w:tcW w:w="2003" w:type="dxa"/>
                  <w:tcBorders>
                    <w:top w:val="single" w:color="auto" w:sz="8" w:space="0"/>
                    <w:left w:val="nil"/>
                    <w:bottom w:val="single" w:color="auto" w:sz="8" w:space="0"/>
                    <w:right w:val="single" w:color="auto" w:sz="4" w:space="0"/>
                  </w:tcBorders>
                  <w:vAlign w:val="center"/>
                </w:tcPr>
                <w:p>
                  <w:pPr>
                    <w:jc w:val="center"/>
                    <w:rPr>
                      <w:color w:val="auto"/>
                      <w:sz w:val="21"/>
                      <w:szCs w:val="21"/>
                    </w:rPr>
                  </w:pPr>
                  <w:r>
                    <w:rPr>
                      <w:rFonts w:hint="eastAsia"/>
                      <w:color w:val="auto"/>
                      <w:sz w:val="21"/>
                      <w:szCs w:val="21"/>
                    </w:rPr>
                    <w:t>监测因子</w:t>
                  </w:r>
                </w:p>
              </w:tc>
              <w:tc>
                <w:tcPr>
                  <w:tcW w:w="2007" w:type="dxa"/>
                  <w:tcBorders>
                    <w:top w:val="single" w:color="auto" w:sz="8" w:space="0"/>
                    <w:left w:val="nil"/>
                    <w:bottom w:val="single" w:color="auto" w:sz="8" w:space="0"/>
                    <w:right w:val="single" w:color="auto" w:sz="4" w:space="0"/>
                  </w:tcBorders>
                  <w:vAlign w:val="center"/>
                </w:tcPr>
                <w:p>
                  <w:pPr>
                    <w:jc w:val="center"/>
                    <w:rPr>
                      <w:color w:val="auto"/>
                      <w:sz w:val="21"/>
                      <w:szCs w:val="21"/>
                    </w:rPr>
                  </w:pPr>
                  <w:r>
                    <w:rPr>
                      <w:color w:val="auto"/>
                      <w:sz w:val="21"/>
                      <w:szCs w:val="21"/>
                    </w:rPr>
                    <w:t>COD</w:t>
                  </w:r>
                </w:p>
              </w:tc>
              <w:tc>
                <w:tcPr>
                  <w:tcW w:w="2008" w:type="dxa"/>
                  <w:tcBorders>
                    <w:top w:val="single" w:color="auto" w:sz="8" w:space="0"/>
                    <w:left w:val="nil"/>
                    <w:bottom w:val="single" w:color="auto" w:sz="8" w:space="0"/>
                    <w:right w:val="single" w:color="auto" w:sz="4" w:space="0"/>
                  </w:tcBorders>
                  <w:vAlign w:val="center"/>
                </w:tcPr>
                <w:p>
                  <w:pPr>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2007" w:type="dxa"/>
                  <w:tcBorders>
                    <w:top w:val="single" w:color="auto" w:sz="8" w:space="0"/>
                    <w:left w:val="nil"/>
                    <w:bottom w:val="single" w:color="auto" w:sz="8" w:space="0"/>
                    <w:right w:val="nil"/>
                  </w:tcBorders>
                  <w:vAlign w:val="center"/>
                </w:tcPr>
                <w:p>
                  <w:pPr>
                    <w:jc w:val="center"/>
                    <w:rPr>
                      <w:color w:val="auto"/>
                      <w:sz w:val="21"/>
                      <w:szCs w:val="21"/>
                    </w:rPr>
                  </w:pPr>
                  <w:r>
                    <w:rPr>
                      <w:color w:val="auto"/>
                      <w:sz w:val="21"/>
                      <w:szCs w:val="21"/>
                    </w:rPr>
                    <w:t>TP</w:t>
                  </w:r>
                </w:p>
              </w:tc>
            </w:tr>
            <w:tr>
              <w:tblPrEx>
                <w:tblCellMar>
                  <w:top w:w="0" w:type="dxa"/>
                  <w:left w:w="108" w:type="dxa"/>
                  <w:bottom w:w="0" w:type="dxa"/>
                  <w:right w:w="108" w:type="dxa"/>
                </w:tblCellMar>
              </w:tblPrEx>
              <w:trPr>
                <w:trHeight w:val="392" w:hRule="atLeast"/>
              </w:trPr>
              <w:tc>
                <w:tcPr>
                  <w:tcW w:w="2003" w:type="dxa"/>
                  <w:tcBorders>
                    <w:top w:val="single" w:color="auto" w:sz="8" w:space="0"/>
                    <w:left w:val="nil"/>
                    <w:bottom w:val="single" w:color="auto" w:sz="4" w:space="0"/>
                    <w:right w:val="single" w:color="auto" w:sz="4" w:space="0"/>
                  </w:tcBorders>
                  <w:vAlign w:val="center"/>
                </w:tcPr>
                <w:p>
                  <w:pPr>
                    <w:jc w:val="center"/>
                    <w:rPr>
                      <w:color w:val="auto"/>
                      <w:sz w:val="21"/>
                      <w:szCs w:val="21"/>
                    </w:rPr>
                  </w:pPr>
                  <w:r>
                    <w:rPr>
                      <w:rFonts w:hint="eastAsia"/>
                      <w:color w:val="auto"/>
                      <w:sz w:val="21"/>
                      <w:szCs w:val="21"/>
                    </w:rPr>
                    <w:t>监测数据</w:t>
                  </w:r>
                </w:p>
              </w:tc>
              <w:tc>
                <w:tcPr>
                  <w:tcW w:w="2007" w:type="dxa"/>
                  <w:tcBorders>
                    <w:top w:val="single" w:color="auto" w:sz="8" w:space="0"/>
                    <w:left w:val="nil"/>
                    <w:bottom w:val="single" w:color="auto" w:sz="4" w:space="0"/>
                    <w:right w:val="single" w:color="auto" w:sz="4" w:space="0"/>
                  </w:tcBorders>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14.8</w:t>
                  </w:r>
                </w:p>
              </w:tc>
              <w:tc>
                <w:tcPr>
                  <w:tcW w:w="2008" w:type="dxa"/>
                  <w:tcBorders>
                    <w:top w:val="single" w:color="auto" w:sz="8" w:space="0"/>
                    <w:left w:val="nil"/>
                    <w:bottom w:val="single" w:color="auto" w:sz="4" w:space="0"/>
                    <w:right w:val="single" w:color="auto" w:sz="4" w:space="0"/>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2.36</w:t>
                  </w:r>
                </w:p>
              </w:tc>
              <w:tc>
                <w:tcPr>
                  <w:tcW w:w="2007" w:type="dxa"/>
                  <w:tcBorders>
                    <w:top w:val="single" w:color="auto" w:sz="8" w:space="0"/>
                    <w:left w:val="nil"/>
                    <w:bottom w:val="single" w:color="auto" w:sz="4" w:space="0"/>
                    <w:right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0.15</w:t>
                  </w:r>
                </w:p>
              </w:tc>
            </w:tr>
            <w:tr>
              <w:tblPrEx>
                <w:tblCellMar>
                  <w:top w:w="0" w:type="dxa"/>
                  <w:left w:w="108" w:type="dxa"/>
                  <w:bottom w:w="0" w:type="dxa"/>
                  <w:right w:w="108" w:type="dxa"/>
                </w:tblCellMar>
              </w:tblPrEx>
              <w:trPr>
                <w:trHeight w:val="392" w:hRule="atLeast"/>
              </w:trPr>
              <w:tc>
                <w:tcPr>
                  <w:tcW w:w="2003" w:type="dxa"/>
                  <w:tcBorders>
                    <w:top w:val="single" w:color="auto" w:sz="4" w:space="0"/>
                    <w:left w:val="nil"/>
                    <w:bottom w:val="single" w:color="auto" w:sz="4" w:space="0"/>
                    <w:right w:val="single" w:color="auto" w:sz="4" w:space="0"/>
                  </w:tcBorders>
                  <w:vAlign w:val="center"/>
                </w:tcPr>
                <w:p>
                  <w:pPr>
                    <w:jc w:val="center"/>
                    <w:rPr>
                      <w:color w:val="auto"/>
                      <w:sz w:val="21"/>
                      <w:szCs w:val="21"/>
                    </w:rPr>
                  </w:pPr>
                  <w:r>
                    <w:rPr>
                      <w:rFonts w:hint="eastAsia"/>
                      <w:color w:val="auto"/>
                      <w:sz w:val="21"/>
                      <w:szCs w:val="21"/>
                    </w:rPr>
                    <w:t>执行标准</w:t>
                  </w:r>
                </w:p>
              </w:tc>
              <w:tc>
                <w:tcPr>
                  <w:tcW w:w="2007" w:type="dxa"/>
                  <w:tcBorders>
                    <w:top w:val="single" w:color="auto" w:sz="4" w:space="0"/>
                    <w:left w:val="nil"/>
                    <w:bottom w:val="single" w:color="auto" w:sz="4" w:space="0"/>
                    <w:right w:val="single" w:color="auto" w:sz="4" w:space="0"/>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30</w:t>
                  </w:r>
                </w:p>
              </w:tc>
              <w:tc>
                <w:tcPr>
                  <w:tcW w:w="2008" w:type="dxa"/>
                  <w:tcBorders>
                    <w:top w:val="single" w:color="auto" w:sz="4" w:space="0"/>
                    <w:left w:val="nil"/>
                    <w:bottom w:val="single" w:color="auto" w:sz="4" w:space="0"/>
                    <w:right w:val="single" w:color="auto" w:sz="4" w:space="0"/>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1.5</w:t>
                  </w:r>
                </w:p>
              </w:tc>
              <w:tc>
                <w:tcPr>
                  <w:tcW w:w="2007" w:type="dxa"/>
                  <w:tcBorders>
                    <w:top w:val="single" w:color="auto" w:sz="4" w:space="0"/>
                    <w:left w:val="nil"/>
                    <w:bottom w:val="single" w:color="auto" w:sz="4" w:space="0"/>
                    <w:right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0.3</w:t>
                  </w:r>
                </w:p>
              </w:tc>
            </w:tr>
            <w:tr>
              <w:tblPrEx>
                <w:tblCellMar>
                  <w:top w:w="0" w:type="dxa"/>
                  <w:left w:w="108" w:type="dxa"/>
                  <w:bottom w:w="0" w:type="dxa"/>
                  <w:right w:w="108" w:type="dxa"/>
                </w:tblCellMar>
              </w:tblPrEx>
              <w:trPr>
                <w:trHeight w:val="392" w:hRule="atLeast"/>
              </w:trPr>
              <w:tc>
                <w:tcPr>
                  <w:tcW w:w="2003" w:type="dxa"/>
                  <w:tcBorders>
                    <w:top w:val="single" w:color="auto" w:sz="4" w:space="0"/>
                    <w:left w:val="nil"/>
                    <w:bottom w:val="single" w:color="auto" w:sz="8" w:space="0"/>
                    <w:right w:val="single" w:color="auto" w:sz="4" w:space="0"/>
                  </w:tcBorders>
                  <w:vAlign w:val="center"/>
                </w:tcPr>
                <w:p>
                  <w:pPr>
                    <w:jc w:val="center"/>
                    <w:rPr>
                      <w:color w:val="auto"/>
                      <w:sz w:val="21"/>
                      <w:szCs w:val="21"/>
                    </w:rPr>
                  </w:pPr>
                  <w:r>
                    <w:rPr>
                      <w:rFonts w:hint="eastAsia"/>
                      <w:color w:val="auto"/>
                      <w:sz w:val="21"/>
                      <w:szCs w:val="21"/>
                    </w:rPr>
                    <w:t>达标情况</w:t>
                  </w:r>
                </w:p>
              </w:tc>
              <w:tc>
                <w:tcPr>
                  <w:tcW w:w="2007" w:type="dxa"/>
                  <w:tcBorders>
                    <w:top w:val="single" w:color="auto" w:sz="4" w:space="0"/>
                    <w:left w:val="nil"/>
                    <w:bottom w:val="single" w:color="auto" w:sz="8" w:space="0"/>
                    <w:right w:val="single" w:color="auto" w:sz="4" w:space="0"/>
                  </w:tcBorders>
                  <w:vAlign w:val="center"/>
                </w:tcPr>
                <w:p>
                  <w:pPr>
                    <w:jc w:val="center"/>
                    <w:rPr>
                      <w:rFonts w:hint="eastAsia" w:eastAsia="宋体"/>
                      <w:color w:val="auto"/>
                      <w:sz w:val="21"/>
                      <w:szCs w:val="21"/>
                      <w:lang w:eastAsia="zh-CN"/>
                    </w:rPr>
                  </w:pPr>
                  <w:r>
                    <w:rPr>
                      <w:rFonts w:hint="eastAsia"/>
                      <w:color w:val="auto"/>
                      <w:sz w:val="21"/>
                      <w:szCs w:val="21"/>
                    </w:rPr>
                    <w:t>达标</w:t>
                  </w:r>
                </w:p>
              </w:tc>
              <w:tc>
                <w:tcPr>
                  <w:tcW w:w="2008" w:type="dxa"/>
                  <w:tcBorders>
                    <w:top w:val="single" w:color="auto" w:sz="4" w:space="0"/>
                    <w:left w:val="nil"/>
                    <w:bottom w:val="single" w:color="auto" w:sz="8" w:space="0"/>
                    <w:right w:val="single" w:color="auto" w:sz="4" w:space="0"/>
                  </w:tcBorders>
                  <w:vAlign w:val="center"/>
                </w:tcPr>
                <w:p>
                  <w:pPr>
                    <w:jc w:val="center"/>
                    <w:rPr>
                      <w:color w:val="auto"/>
                      <w:sz w:val="21"/>
                      <w:szCs w:val="21"/>
                    </w:rPr>
                  </w:pPr>
                  <w:r>
                    <w:rPr>
                      <w:rFonts w:hint="eastAsia"/>
                      <w:color w:val="auto"/>
                      <w:sz w:val="21"/>
                      <w:szCs w:val="21"/>
                      <w:lang w:val="en-US" w:eastAsia="zh-CN"/>
                    </w:rPr>
                    <w:t>超标</w:t>
                  </w:r>
                </w:p>
              </w:tc>
              <w:tc>
                <w:tcPr>
                  <w:tcW w:w="2007" w:type="dxa"/>
                  <w:tcBorders>
                    <w:top w:val="single" w:color="auto" w:sz="4" w:space="0"/>
                    <w:left w:val="nil"/>
                    <w:bottom w:val="single" w:color="auto" w:sz="8" w:space="0"/>
                    <w:right w:val="nil"/>
                  </w:tcBorders>
                  <w:vAlign w:val="center"/>
                </w:tcPr>
                <w:p>
                  <w:pPr>
                    <w:jc w:val="center"/>
                    <w:rPr>
                      <w:color w:val="auto"/>
                      <w:sz w:val="21"/>
                      <w:szCs w:val="21"/>
                    </w:rPr>
                  </w:pPr>
                  <w:r>
                    <w:rPr>
                      <w:rFonts w:hint="eastAsia"/>
                      <w:color w:val="auto"/>
                      <w:sz w:val="21"/>
                      <w:szCs w:val="21"/>
                    </w:rPr>
                    <w:t>达标</w:t>
                  </w:r>
                </w:p>
              </w:tc>
            </w:tr>
          </w:tbl>
          <w:p>
            <w:pPr>
              <w:spacing w:line="440" w:lineRule="exact"/>
              <w:ind w:firstLine="480" w:firstLineChars="200"/>
              <w:rPr>
                <w:color w:val="auto"/>
                <w:sz w:val="24"/>
              </w:rPr>
            </w:pPr>
            <w:r>
              <w:rPr>
                <w:rFonts w:hint="eastAsia"/>
                <w:color w:val="auto"/>
                <w:sz w:val="24"/>
              </w:rPr>
              <w:t>由上表可知，2</w:t>
            </w:r>
            <w:r>
              <w:rPr>
                <w:rFonts w:hint="eastAsia"/>
                <w:color w:val="auto"/>
                <w:sz w:val="24"/>
                <w:lang w:val="en-US" w:eastAsia="zh-CN"/>
              </w:rPr>
              <w:t>023年2月东孟青龙路化肥厂东断面数据COD达标，NH</w:t>
            </w:r>
            <w:r>
              <w:rPr>
                <w:rFonts w:hint="eastAsia"/>
                <w:color w:val="auto"/>
                <w:sz w:val="24"/>
                <w:vertAlign w:val="subscript"/>
                <w:lang w:val="en-US" w:eastAsia="zh-CN"/>
              </w:rPr>
              <w:t>3</w:t>
            </w:r>
            <w:r>
              <w:rPr>
                <w:rFonts w:hint="eastAsia"/>
                <w:color w:val="auto"/>
                <w:sz w:val="24"/>
                <w:lang w:val="en-US" w:eastAsia="zh-CN"/>
              </w:rPr>
              <w:t>-N超标、TP达标达标。目前</w:t>
            </w:r>
            <w:r>
              <w:rPr>
                <w:rFonts w:hint="eastAsia"/>
                <w:color w:val="auto"/>
                <w:sz w:val="24"/>
              </w:rPr>
              <w:t>新乡市</w:t>
            </w:r>
            <w:r>
              <w:rPr>
                <w:rFonts w:hint="eastAsia"/>
                <w:color w:val="auto"/>
                <w:sz w:val="24"/>
                <w:lang w:val="en-US" w:eastAsia="zh-CN"/>
              </w:rPr>
              <w:t>正在推进实施《新乡市2023年度污染防治攻坚战工作要点》（新欢攻坚办【2023】57号）</w:t>
            </w:r>
            <w:r>
              <w:rPr>
                <w:rFonts w:hint="eastAsia"/>
                <w:color w:val="auto"/>
                <w:sz w:val="24"/>
              </w:rPr>
              <w:t>，将继续改善新乡市水环境质量。</w:t>
            </w:r>
          </w:p>
          <w:p>
            <w:pPr>
              <w:spacing w:line="440" w:lineRule="exact"/>
              <w:ind w:firstLine="482" w:firstLineChars="200"/>
              <w:rPr>
                <w:color w:val="auto"/>
                <w:sz w:val="24"/>
              </w:rPr>
            </w:pPr>
            <w:r>
              <w:rPr>
                <w:b/>
                <w:bCs/>
                <w:color w:val="auto"/>
                <w:sz w:val="24"/>
              </w:rPr>
              <w:t>3</w:t>
            </w:r>
            <w:r>
              <w:rPr>
                <w:rFonts w:hint="eastAsia"/>
                <w:b/>
                <w:bCs/>
                <w:color w:val="auto"/>
                <w:sz w:val="24"/>
              </w:rPr>
              <w:t>、声环境</w:t>
            </w:r>
          </w:p>
          <w:p>
            <w:pPr>
              <w:pStyle w:val="3"/>
              <w:keepNext/>
              <w:keepLines w:val="0"/>
              <w:pageBreakBefore w:val="0"/>
              <w:widowControl w:val="0"/>
              <w:kinsoku/>
              <w:wordWrap/>
              <w:overflowPunct w:val="0"/>
              <w:topLinePunct w:val="0"/>
              <w:autoSpaceDE/>
              <w:autoSpaceDN/>
              <w:bidi w:val="0"/>
              <w:adjustRightInd w:val="0"/>
              <w:snapToGrid w:val="0"/>
              <w:spacing w:before="0" w:after="0" w:line="440" w:lineRule="exact"/>
              <w:ind w:left="0" w:firstLine="480" w:firstLineChars="200"/>
              <w:jc w:val="both"/>
              <w:textAlignment w:val="auto"/>
              <w:rPr>
                <w:rFonts w:hint="eastAsia" w:ascii="Times New Roman" w:hAnsi="Times New Roman" w:eastAsia="宋体" w:cs="Times New Roman"/>
                <w:b w:val="0"/>
                <w:bCs w:val="0"/>
                <w:color w:val="auto"/>
                <w:kern w:val="2"/>
                <w:sz w:val="24"/>
                <w:szCs w:val="28"/>
                <w:lang w:val="en-US" w:eastAsia="zh-CN" w:bidi="ar-SA"/>
              </w:rPr>
            </w:pPr>
            <w:r>
              <w:rPr>
                <w:rFonts w:hint="eastAsia" w:ascii="Times New Roman" w:hAnsi="Times New Roman" w:eastAsia="宋体" w:cs="Times New Roman"/>
                <w:b w:val="0"/>
                <w:bCs w:val="0"/>
                <w:color w:val="auto"/>
                <w:kern w:val="2"/>
                <w:sz w:val="24"/>
                <w:szCs w:val="28"/>
                <w:lang w:val="en-US" w:eastAsia="zh-CN" w:bidi="ar-SA"/>
              </w:rPr>
              <w:t>本项目位于新乡市新乡县七里营镇敦留店村1151号，本项目50m范围内的环境敏感点为西北20m处的敦留店居民点；根据《声环境质量标准》（GB3096-2008），本项目所在区域为2类声功能区，声环境应执行《声环境质量标准》（GB3096-2008）2类标准。</w:t>
            </w:r>
          </w:p>
          <w:p>
            <w:pPr>
              <w:pStyle w:val="3"/>
              <w:keepNext/>
              <w:keepLines w:val="0"/>
              <w:pageBreakBefore w:val="0"/>
              <w:widowControl w:val="0"/>
              <w:kinsoku/>
              <w:wordWrap/>
              <w:overflowPunct w:val="0"/>
              <w:topLinePunct w:val="0"/>
              <w:autoSpaceDE/>
              <w:autoSpaceDN/>
              <w:bidi w:val="0"/>
              <w:adjustRightInd w:val="0"/>
              <w:snapToGrid w:val="0"/>
              <w:spacing w:before="0" w:after="0" w:line="440" w:lineRule="exact"/>
              <w:ind w:left="0" w:firstLine="480" w:firstLineChars="200"/>
              <w:jc w:val="both"/>
              <w:textAlignment w:val="auto"/>
              <w:rPr>
                <w:rFonts w:hint="eastAsia" w:ascii="Times New Roman" w:hAnsi="Times New Roman" w:eastAsia="宋体" w:cs="Times New Roman"/>
                <w:b w:val="0"/>
                <w:bCs w:val="0"/>
                <w:color w:val="auto"/>
                <w:kern w:val="2"/>
                <w:sz w:val="24"/>
                <w:szCs w:val="28"/>
                <w:lang w:val="en-US" w:eastAsia="zh-CN" w:bidi="ar-SA"/>
              </w:rPr>
            </w:pPr>
            <w:r>
              <w:rPr>
                <w:rFonts w:hint="eastAsia" w:ascii="Times New Roman" w:hAnsi="Times New Roman" w:eastAsia="宋体" w:cs="Times New Roman"/>
                <w:b w:val="0"/>
                <w:bCs w:val="0"/>
                <w:color w:val="auto"/>
                <w:kern w:val="2"/>
                <w:sz w:val="24"/>
                <w:szCs w:val="28"/>
                <w:lang w:val="en-US" w:eastAsia="zh-CN" w:bidi="ar-SA"/>
              </w:rPr>
              <w:t>为了解保护目标声环境质量现状，委托河南析源环境检测有限公司于2023年10月6日~7日对环境敏感点的声环境进行了监测，检测结果见下表。</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723" w:firstLineChars="300"/>
              <w:jc w:val="both"/>
              <w:textAlignment w:val="auto"/>
              <w:rPr>
                <w:rFonts w:hint="eastAsia" w:ascii="Times New Roman" w:hAnsi="Times New Roman" w:eastAsia="宋体" w:cs="Times New Roman"/>
                <w:b/>
                <w:color w:val="000000"/>
                <w:kern w:val="2"/>
                <w:sz w:val="24"/>
                <w:szCs w:val="24"/>
                <w:lang w:val="en-US" w:eastAsia="zh-CN" w:bidi="ar-SA"/>
              </w:rPr>
            </w:pPr>
            <w:r>
              <w:rPr>
                <w:rFonts w:hint="eastAsia" w:ascii="Times New Roman" w:hAnsi="Times New Roman" w:eastAsia="宋体" w:cs="Times New Roman"/>
                <w:b/>
                <w:color w:val="000000"/>
                <w:kern w:val="2"/>
                <w:sz w:val="24"/>
                <w:szCs w:val="24"/>
                <w:lang w:val="en-US" w:eastAsia="zh-CN" w:bidi="ar-SA"/>
              </w:rPr>
              <w:t>表3-3              声环境质量现状检测结果</w:t>
            </w:r>
          </w:p>
          <w:tbl>
            <w:tblPr>
              <w:tblStyle w:val="2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2948"/>
              <w:gridCol w:w="1113"/>
              <w:gridCol w:w="1103"/>
              <w:gridCol w:w="110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pct"/>
                  <w:vMerge w:val="restart"/>
                  <w:tcBorders>
                    <w:tl2br w:val="nil"/>
                    <w:tr2bl w:val="nil"/>
                  </w:tcBorders>
                  <w:noWrap w:val="0"/>
                  <w:vAlign w:val="center"/>
                </w:tcPr>
                <w:p>
                  <w:pPr>
                    <w:jc w:val="center"/>
                    <w:rPr>
                      <w:b/>
                      <w:bCs/>
                      <w:color w:val="000000"/>
                      <w:sz w:val="21"/>
                      <w:szCs w:val="21"/>
                    </w:rPr>
                  </w:pPr>
                  <w:r>
                    <w:rPr>
                      <w:b/>
                      <w:bCs/>
                      <w:color w:val="000000"/>
                      <w:sz w:val="21"/>
                      <w:szCs w:val="21"/>
                    </w:rPr>
                    <w:t>检测日期</w:t>
                  </w:r>
                </w:p>
              </w:tc>
              <w:tc>
                <w:tcPr>
                  <w:tcW w:w="1820" w:type="pct"/>
                  <w:vMerge w:val="restart"/>
                  <w:tcBorders>
                    <w:tl2br w:val="nil"/>
                    <w:tr2bl w:val="nil"/>
                  </w:tcBorders>
                  <w:noWrap w:val="0"/>
                  <w:vAlign w:val="center"/>
                </w:tcPr>
                <w:p>
                  <w:pPr>
                    <w:jc w:val="center"/>
                    <w:rPr>
                      <w:b/>
                      <w:bCs/>
                      <w:color w:val="000000"/>
                      <w:sz w:val="21"/>
                      <w:szCs w:val="21"/>
                    </w:rPr>
                  </w:pPr>
                  <w:r>
                    <w:rPr>
                      <w:b/>
                      <w:bCs/>
                      <w:color w:val="000000"/>
                      <w:sz w:val="21"/>
                      <w:szCs w:val="21"/>
                    </w:rPr>
                    <w:t>检测点位</w:t>
                  </w:r>
                </w:p>
              </w:tc>
              <w:tc>
                <w:tcPr>
                  <w:tcW w:w="687" w:type="pct"/>
                  <w:vMerge w:val="restart"/>
                  <w:tcBorders>
                    <w:tl2br w:val="nil"/>
                    <w:tr2bl w:val="nil"/>
                  </w:tcBorders>
                  <w:noWrap w:val="0"/>
                  <w:vAlign w:val="center"/>
                </w:tcPr>
                <w:p>
                  <w:pPr>
                    <w:jc w:val="center"/>
                    <w:rPr>
                      <w:b/>
                      <w:bCs/>
                      <w:color w:val="000000"/>
                      <w:sz w:val="21"/>
                      <w:szCs w:val="21"/>
                    </w:rPr>
                  </w:pPr>
                  <w:r>
                    <w:rPr>
                      <w:b/>
                      <w:bCs/>
                      <w:color w:val="000000"/>
                      <w:sz w:val="21"/>
                      <w:szCs w:val="21"/>
                    </w:rPr>
                    <w:t>单位</w:t>
                  </w:r>
                </w:p>
              </w:tc>
              <w:tc>
                <w:tcPr>
                  <w:tcW w:w="1363" w:type="pct"/>
                  <w:gridSpan w:val="2"/>
                  <w:tcBorders>
                    <w:tl2br w:val="nil"/>
                    <w:tr2bl w:val="nil"/>
                  </w:tcBorders>
                  <w:noWrap w:val="0"/>
                  <w:vAlign w:val="center"/>
                </w:tcPr>
                <w:p>
                  <w:pPr>
                    <w:jc w:val="center"/>
                    <w:rPr>
                      <w:b/>
                      <w:bCs/>
                      <w:color w:val="000000"/>
                      <w:sz w:val="21"/>
                      <w:szCs w:val="21"/>
                    </w:rPr>
                  </w:pPr>
                  <w:r>
                    <w:rPr>
                      <w:b/>
                      <w:bCs/>
                      <w:color w:val="000000"/>
                      <w:sz w:val="21"/>
                      <w:szCs w:val="21"/>
                    </w:rPr>
                    <w:t>检测结果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pct"/>
                  <w:vMerge w:val="continue"/>
                  <w:tcBorders>
                    <w:tl2br w:val="nil"/>
                    <w:tr2bl w:val="nil"/>
                  </w:tcBorders>
                  <w:noWrap w:val="0"/>
                  <w:vAlign w:val="center"/>
                </w:tcPr>
                <w:p>
                  <w:pPr>
                    <w:jc w:val="center"/>
                    <w:rPr>
                      <w:b/>
                      <w:bCs/>
                      <w:color w:val="000000"/>
                      <w:sz w:val="21"/>
                      <w:szCs w:val="21"/>
                    </w:rPr>
                  </w:pPr>
                </w:p>
              </w:tc>
              <w:tc>
                <w:tcPr>
                  <w:tcW w:w="1820" w:type="pct"/>
                  <w:vMerge w:val="continue"/>
                  <w:tcBorders>
                    <w:tl2br w:val="nil"/>
                    <w:tr2bl w:val="nil"/>
                  </w:tcBorders>
                  <w:noWrap w:val="0"/>
                  <w:vAlign w:val="center"/>
                </w:tcPr>
                <w:p>
                  <w:pPr>
                    <w:jc w:val="center"/>
                    <w:rPr>
                      <w:b/>
                      <w:bCs/>
                      <w:color w:val="000000"/>
                      <w:sz w:val="21"/>
                      <w:szCs w:val="21"/>
                    </w:rPr>
                  </w:pPr>
                </w:p>
              </w:tc>
              <w:tc>
                <w:tcPr>
                  <w:tcW w:w="687" w:type="pct"/>
                  <w:vMerge w:val="continue"/>
                  <w:tcBorders>
                    <w:tl2br w:val="nil"/>
                    <w:tr2bl w:val="nil"/>
                  </w:tcBorders>
                  <w:noWrap w:val="0"/>
                  <w:vAlign w:val="center"/>
                </w:tcPr>
                <w:p>
                  <w:pPr>
                    <w:jc w:val="center"/>
                    <w:rPr>
                      <w:b/>
                      <w:bCs/>
                      <w:color w:val="000000"/>
                      <w:sz w:val="21"/>
                      <w:szCs w:val="21"/>
                    </w:rPr>
                  </w:pPr>
                </w:p>
              </w:tc>
              <w:tc>
                <w:tcPr>
                  <w:tcW w:w="681" w:type="pct"/>
                  <w:tcBorders>
                    <w:tl2br w:val="nil"/>
                    <w:tr2bl w:val="nil"/>
                  </w:tcBorders>
                  <w:noWrap w:val="0"/>
                  <w:vAlign w:val="center"/>
                </w:tcPr>
                <w:p>
                  <w:pPr>
                    <w:jc w:val="center"/>
                    <w:rPr>
                      <w:b/>
                      <w:bCs/>
                      <w:color w:val="000000"/>
                      <w:sz w:val="21"/>
                      <w:szCs w:val="21"/>
                    </w:rPr>
                  </w:pPr>
                  <w:r>
                    <w:rPr>
                      <w:b/>
                      <w:bCs/>
                      <w:color w:val="000000"/>
                      <w:sz w:val="21"/>
                      <w:szCs w:val="21"/>
                    </w:rPr>
                    <w:t>昼间</w:t>
                  </w:r>
                </w:p>
              </w:tc>
              <w:tc>
                <w:tcPr>
                  <w:tcW w:w="682" w:type="pct"/>
                  <w:tcBorders>
                    <w:tl2br w:val="nil"/>
                    <w:tr2bl w:val="nil"/>
                  </w:tcBorders>
                  <w:noWrap w:val="0"/>
                  <w:vAlign w:val="center"/>
                </w:tcPr>
                <w:p>
                  <w:pPr>
                    <w:jc w:val="center"/>
                    <w:rPr>
                      <w:b/>
                      <w:bCs/>
                      <w:color w:val="000000"/>
                      <w:sz w:val="21"/>
                      <w:szCs w:val="21"/>
                    </w:rPr>
                  </w:pPr>
                  <w:r>
                    <w:rPr>
                      <w:rFonts w:hint="eastAsia"/>
                      <w:b/>
                      <w:bCs/>
                      <w:color w:val="000000"/>
                      <w:sz w:val="21"/>
                      <w:szCs w:val="21"/>
                    </w:rPr>
                    <w:t>夜间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128" w:type="pct"/>
                  <w:tcBorders>
                    <w:tl2br w:val="nil"/>
                    <w:tr2bl w:val="nil"/>
                  </w:tcBorders>
                  <w:noWrap w:val="0"/>
                  <w:vAlign w:val="center"/>
                </w:tcPr>
                <w:p>
                  <w:pPr>
                    <w:jc w:val="center"/>
                    <w:rPr>
                      <w:rFonts w:hint="default" w:eastAsia="宋体"/>
                      <w:color w:val="000000"/>
                      <w:sz w:val="21"/>
                      <w:szCs w:val="21"/>
                      <w:lang w:val="en-US" w:eastAsia="zh-CN"/>
                    </w:rPr>
                  </w:pPr>
                  <w:r>
                    <w:rPr>
                      <w:rFonts w:hint="eastAsia" w:eastAsia="宋体"/>
                      <w:color w:val="000000"/>
                      <w:sz w:val="21"/>
                      <w:szCs w:val="21"/>
                      <w:lang w:val="en-US" w:eastAsia="zh-CN"/>
                    </w:rPr>
                    <w:t>2023.10.6</w:t>
                  </w:r>
                </w:p>
              </w:tc>
              <w:tc>
                <w:tcPr>
                  <w:tcW w:w="1820" w:type="pct"/>
                  <w:vMerge w:val="restart"/>
                  <w:tcBorders>
                    <w:tl2br w:val="nil"/>
                    <w:tr2bl w:val="nil"/>
                  </w:tcBorders>
                  <w:noWrap w:val="0"/>
                  <w:vAlign w:val="center"/>
                </w:tcPr>
                <w:p>
                  <w:pPr>
                    <w:jc w:val="center"/>
                    <w:rPr>
                      <w:rFonts w:hint="default" w:eastAsia="宋体"/>
                      <w:color w:val="000000"/>
                      <w:sz w:val="21"/>
                      <w:szCs w:val="21"/>
                      <w:lang w:val="en-US" w:eastAsia="zh-CN"/>
                    </w:rPr>
                  </w:pPr>
                  <w:r>
                    <w:rPr>
                      <w:rFonts w:hint="eastAsia"/>
                      <w:color w:val="000000"/>
                      <w:sz w:val="21"/>
                      <w:szCs w:val="21"/>
                      <w:lang w:val="en-US" w:eastAsia="zh-CN"/>
                    </w:rPr>
                    <w:t>西北20m处敦留店村</w:t>
                  </w:r>
                  <w:r>
                    <w:rPr>
                      <w:rFonts w:hint="eastAsia" w:eastAsia="宋体"/>
                      <w:b w:val="0"/>
                      <w:bCs w:val="0"/>
                      <w:color w:val="000000"/>
                      <w:kern w:val="2"/>
                      <w:sz w:val="21"/>
                      <w:szCs w:val="21"/>
                      <w:lang w:val="en-US" w:eastAsia="zh-CN"/>
                    </w:rPr>
                    <w:t>居民点</w:t>
                  </w:r>
                </w:p>
              </w:tc>
              <w:tc>
                <w:tcPr>
                  <w:tcW w:w="687" w:type="pct"/>
                  <w:tcBorders>
                    <w:tl2br w:val="nil"/>
                    <w:tr2bl w:val="nil"/>
                  </w:tcBorders>
                  <w:noWrap w:val="0"/>
                  <w:vAlign w:val="center"/>
                </w:tcPr>
                <w:p>
                  <w:pPr>
                    <w:jc w:val="center"/>
                    <w:rPr>
                      <w:color w:val="000000"/>
                      <w:sz w:val="21"/>
                      <w:szCs w:val="21"/>
                    </w:rPr>
                  </w:pPr>
                  <w:r>
                    <w:rPr>
                      <w:color w:val="000000"/>
                      <w:sz w:val="21"/>
                      <w:szCs w:val="21"/>
                    </w:rPr>
                    <w:t>dB(A)</w:t>
                  </w:r>
                </w:p>
              </w:tc>
              <w:tc>
                <w:tcPr>
                  <w:tcW w:w="681" w:type="pct"/>
                  <w:tcBorders>
                    <w:tl2br w:val="nil"/>
                    <w:tr2bl w:val="nil"/>
                  </w:tcBorders>
                  <w:noWrap w:val="0"/>
                  <w:vAlign w:val="center"/>
                </w:tcPr>
                <w:p>
                  <w:pPr>
                    <w:jc w:val="center"/>
                    <w:rPr>
                      <w:rFonts w:hint="default" w:eastAsia="宋体"/>
                      <w:color w:val="000000"/>
                      <w:sz w:val="21"/>
                      <w:szCs w:val="21"/>
                      <w:lang w:val="en-US" w:eastAsia="zh-CN"/>
                    </w:rPr>
                  </w:pPr>
                  <w:r>
                    <w:rPr>
                      <w:rFonts w:hint="eastAsia" w:eastAsia="宋体"/>
                      <w:color w:val="000000"/>
                      <w:sz w:val="21"/>
                      <w:szCs w:val="21"/>
                      <w:lang w:val="en-US" w:eastAsia="zh-CN"/>
                    </w:rPr>
                    <w:t>54.1</w:t>
                  </w:r>
                </w:p>
              </w:tc>
              <w:tc>
                <w:tcPr>
                  <w:tcW w:w="682" w:type="pct"/>
                  <w:tcBorders>
                    <w:tl2br w:val="nil"/>
                    <w:tr2bl w:val="nil"/>
                  </w:tcBorders>
                  <w:noWrap w:val="0"/>
                  <w:vAlign w:val="center"/>
                </w:tcPr>
                <w:p>
                  <w:pPr>
                    <w:jc w:val="center"/>
                    <w:rPr>
                      <w:rFonts w:hint="default" w:eastAsia="宋体"/>
                      <w:color w:val="000000"/>
                      <w:sz w:val="21"/>
                      <w:szCs w:val="21"/>
                      <w:lang w:val="en-US" w:eastAsia="zh-CN"/>
                    </w:rPr>
                  </w:pPr>
                  <w:r>
                    <w:rPr>
                      <w:rFonts w:hint="eastAsia" w:eastAsia="宋体"/>
                      <w:color w:val="000000"/>
                      <w:sz w:val="21"/>
                      <w:szCs w:val="21"/>
                      <w:lang w:val="en-US" w:eastAsia="zh-CN"/>
                    </w:rPr>
                    <w:t>44.8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pct"/>
                  <w:tcBorders>
                    <w:tl2br w:val="nil"/>
                    <w:tr2bl w:val="nil"/>
                  </w:tcBorders>
                  <w:noWrap w:val="0"/>
                  <w:vAlign w:val="center"/>
                </w:tcPr>
                <w:p>
                  <w:pPr>
                    <w:jc w:val="center"/>
                    <w:rPr>
                      <w:rFonts w:hint="default" w:eastAsia="宋体"/>
                      <w:color w:val="000000"/>
                      <w:sz w:val="21"/>
                      <w:szCs w:val="21"/>
                      <w:lang w:val="en-US" w:eastAsia="zh-CN"/>
                    </w:rPr>
                  </w:pPr>
                  <w:r>
                    <w:rPr>
                      <w:rFonts w:hint="eastAsia" w:eastAsia="宋体"/>
                      <w:color w:val="000000"/>
                      <w:sz w:val="21"/>
                      <w:szCs w:val="21"/>
                      <w:lang w:val="en-US" w:eastAsia="zh-CN"/>
                    </w:rPr>
                    <w:t>2023.10.7</w:t>
                  </w:r>
                </w:p>
              </w:tc>
              <w:tc>
                <w:tcPr>
                  <w:tcW w:w="1820" w:type="pct"/>
                  <w:vMerge w:val="continue"/>
                  <w:tcBorders>
                    <w:tl2br w:val="nil"/>
                    <w:tr2bl w:val="nil"/>
                  </w:tcBorders>
                  <w:noWrap w:val="0"/>
                  <w:vAlign w:val="center"/>
                </w:tcPr>
                <w:p>
                  <w:pPr>
                    <w:jc w:val="center"/>
                    <w:rPr>
                      <w:rFonts w:hint="eastAsia"/>
                      <w:color w:val="000000"/>
                      <w:sz w:val="21"/>
                      <w:szCs w:val="21"/>
                      <w:lang w:val="en-US" w:eastAsia="zh-CN"/>
                    </w:rPr>
                  </w:pPr>
                </w:p>
              </w:tc>
              <w:tc>
                <w:tcPr>
                  <w:tcW w:w="687" w:type="pct"/>
                  <w:tcBorders>
                    <w:tl2br w:val="nil"/>
                    <w:tr2bl w:val="nil"/>
                  </w:tcBorders>
                  <w:noWrap w:val="0"/>
                  <w:vAlign w:val="center"/>
                </w:tcPr>
                <w:p>
                  <w:pPr>
                    <w:jc w:val="center"/>
                    <w:rPr>
                      <w:color w:val="000000"/>
                      <w:sz w:val="21"/>
                      <w:szCs w:val="21"/>
                    </w:rPr>
                  </w:pPr>
                  <w:r>
                    <w:rPr>
                      <w:color w:val="000000"/>
                      <w:sz w:val="21"/>
                      <w:szCs w:val="21"/>
                    </w:rPr>
                    <w:t>dB(A)</w:t>
                  </w:r>
                </w:p>
              </w:tc>
              <w:tc>
                <w:tcPr>
                  <w:tcW w:w="681" w:type="pct"/>
                  <w:tcBorders>
                    <w:tl2br w:val="nil"/>
                    <w:tr2bl w:val="nil"/>
                  </w:tcBorders>
                  <w:noWrap w:val="0"/>
                  <w:vAlign w:val="center"/>
                </w:tcPr>
                <w:p>
                  <w:pPr>
                    <w:jc w:val="center"/>
                    <w:rPr>
                      <w:rFonts w:hint="default" w:eastAsia="宋体"/>
                      <w:color w:val="000000"/>
                      <w:sz w:val="21"/>
                      <w:szCs w:val="21"/>
                      <w:lang w:val="en-US" w:eastAsia="zh-CN"/>
                    </w:rPr>
                  </w:pPr>
                  <w:r>
                    <w:rPr>
                      <w:rFonts w:hint="eastAsia" w:eastAsia="宋体"/>
                      <w:color w:val="000000"/>
                      <w:sz w:val="21"/>
                      <w:szCs w:val="21"/>
                      <w:lang w:val="en-US" w:eastAsia="zh-CN"/>
                    </w:rPr>
                    <w:t>54.4</w:t>
                  </w:r>
                </w:p>
              </w:tc>
              <w:tc>
                <w:tcPr>
                  <w:tcW w:w="682" w:type="pct"/>
                  <w:tcBorders>
                    <w:tl2br w:val="nil"/>
                    <w:tr2bl w:val="nil"/>
                  </w:tcBorders>
                  <w:noWrap w:val="0"/>
                  <w:vAlign w:val="center"/>
                </w:tcPr>
                <w:p>
                  <w:pPr>
                    <w:jc w:val="center"/>
                    <w:rPr>
                      <w:rFonts w:hint="default" w:eastAsia="宋体"/>
                      <w:color w:val="000000"/>
                      <w:sz w:val="21"/>
                      <w:szCs w:val="21"/>
                      <w:lang w:val="en-US" w:eastAsia="zh-CN"/>
                    </w:rPr>
                  </w:pPr>
                  <w:r>
                    <w:rPr>
                      <w:rFonts w:hint="eastAsia" w:eastAsia="宋体"/>
                      <w:color w:val="000000"/>
                      <w:sz w:val="21"/>
                      <w:szCs w:val="21"/>
                      <w:lang w:val="en-US" w:eastAsia="zh-CN"/>
                    </w:rPr>
                    <w:t>44.6</w:t>
                  </w:r>
                </w:p>
              </w:tc>
            </w:tr>
          </w:tbl>
          <w:p>
            <w:pPr>
              <w:pStyle w:val="3"/>
              <w:keepNext/>
              <w:keepLines w:val="0"/>
              <w:pageBreakBefore w:val="0"/>
              <w:widowControl w:val="0"/>
              <w:kinsoku/>
              <w:wordWrap/>
              <w:overflowPunct w:val="0"/>
              <w:topLinePunct w:val="0"/>
              <w:autoSpaceDE/>
              <w:autoSpaceDN/>
              <w:bidi w:val="0"/>
              <w:adjustRightInd w:val="0"/>
              <w:snapToGrid w:val="0"/>
              <w:spacing w:before="0" w:after="0" w:line="440" w:lineRule="exact"/>
              <w:ind w:left="0" w:firstLine="480" w:firstLineChars="200"/>
              <w:jc w:val="left"/>
              <w:textAlignment w:val="auto"/>
              <w:rPr>
                <w:rFonts w:hint="eastAsia" w:eastAsia="宋体"/>
                <w:b w:val="0"/>
                <w:bCs w:val="0"/>
                <w:color w:val="auto"/>
                <w:kern w:val="2"/>
                <w:sz w:val="24"/>
                <w:szCs w:val="22"/>
              </w:rPr>
            </w:pPr>
            <w:r>
              <w:rPr>
                <w:rFonts w:hint="eastAsia" w:eastAsia="宋体"/>
                <w:b w:val="0"/>
                <w:bCs w:val="0"/>
                <w:color w:val="auto"/>
                <w:kern w:val="2"/>
                <w:sz w:val="24"/>
                <w:szCs w:val="22"/>
              </w:rPr>
              <w:t>由上表数据可知，项目周边环境敏感点</w:t>
            </w:r>
            <w:r>
              <w:rPr>
                <w:rFonts w:hint="eastAsia" w:eastAsia="宋体"/>
                <w:b w:val="0"/>
                <w:bCs w:val="0"/>
                <w:color w:val="auto"/>
                <w:kern w:val="2"/>
                <w:sz w:val="24"/>
                <w:szCs w:val="22"/>
                <w:lang w:val="en-US" w:eastAsia="zh-CN"/>
              </w:rPr>
              <w:t>的</w:t>
            </w:r>
            <w:r>
              <w:rPr>
                <w:rFonts w:hint="eastAsia" w:eastAsia="宋体"/>
                <w:b w:val="0"/>
                <w:bCs w:val="0"/>
                <w:color w:val="auto"/>
                <w:kern w:val="2"/>
                <w:sz w:val="24"/>
                <w:szCs w:val="22"/>
              </w:rPr>
              <w:t>声环境</w:t>
            </w:r>
            <w:r>
              <w:rPr>
                <w:rFonts w:hint="eastAsia" w:eastAsia="宋体"/>
                <w:b w:val="0"/>
                <w:bCs w:val="0"/>
                <w:color w:val="auto"/>
                <w:kern w:val="2"/>
                <w:sz w:val="24"/>
                <w:szCs w:val="22"/>
                <w:lang w:val="en-US" w:eastAsia="zh-CN"/>
              </w:rPr>
              <w:t>质量</w:t>
            </w:r>
            <w:r>
              <w:rPr>
                <w:rFonts w:hint="eastAsia" w:eastAsia="宋体"/>
                <w:b w:val="0"/>
                <w:bCs w:val="0"/>
                <w:color w:val="auto"/>
                <w:kern w:val="2"/>
                <w:sz w:val="24"/>
                <w:szCs w:val="22"/>
              </w:rPr>
              <w:t>现状满足《声环境质量标准》（GB3096-2008）</w:t>
            </w:r>
            <w:r>
              <w:rPr>
                <w:rFonts w:hint="eastAsia" w:eastAsia="宋体"/>
                <w:b w:val="0"/>
                <w:bCs w:val="0"/>
                <w:color w:val="auto"/>
                <w:kern w:val="2"/>
                <w:sz w:val="24"/>
                <w:szCs w:val="22"/>
                <w:lang w:val="en-US" w:eastAsia="zh-CN"/>
              </w:rPr>
              <w:t>2</w:t>
            </w:r>
            <w:r>
              <w:rPr>
                <w:rFonts w:hint="eastAsia" w:eastAsia="宋体"/>
                <w:b w:val="0"/>
                <w:bCs w:val="0"/>
                <w:color w:val="auto"/>
                <w:kern w:val="2"/>
                <w:sz w:val="24"/>
                <w:szCs w:val="22"/>
              </w:rPr>
              <w:t>类</w:t>
            </w:r>
            <w:r>
              <w:rPr>
                <w:rFonts w:hint="eastAsia" w:eastAsia="宋体"/>
                <w:b w:val="0"/>
                <w:bCs w:val="0"/>
                <w:color w:val="auto"/>
                <w:kern w:val="2"/>
                <w:sz w:val="24"/>
                <w:szCs w:val="22"/>
                <w:lang w:val="en-US" w:eastAsia="zh-CN"/>
              </w:rPr>
              <w:t>昼</w:t>
            </w:r>
            <w:r>
              <w:rPr>
                <w:rFonts w:hint="eastAsia" w:ascii="Times New Roman" w:hAnsi="Times New Roman" w:eastAsia="宋体" w:cs="Times New Roman"/>
                <w:b w:val="0"/>
                <w:bCs w:val="0"/>
                <w:color w:val="auto"/>
                <w:kern w:val="2"/>
                <w:sz w:val="24"/>
                <w:szCs w:val="22"/>
                <w:lang w:val="en-US" w:eastAsia="zh-CN"/>
              </w:rPr>
              <w:t>间60</w:t>
            </w:r>
            <w:r>
              <w:rPr>
                <w:rFonts w:hint="eastAsia" w:ascii="Times New Roman" w:hAnsi="Times New Roman" w:eastAsia="宋体" w:cs="Times New Roman"/>
                <w:b w:val="0"/>
                <w:bCs w:val="0"/>
                <w:color w:val="auto"/>
                <w:kern w:val="2"/>
                <w:sz w:val="24"/>
                <w:szCs w:val="22"/>
              </w:rPr>
              <w:t>dB(A)</w:t>
            </w:r>
            <w:r>
              <w:rPr>
                <w:rFonts w:hint="eastAsia" w:ascii="Times New Roman" w:hAnsi="Times New Roman" w:eastAsia="宋体" w:cs="Times New Roman"/>
                <w:b w:val="0"/>
                <w:bCs w:val="0"/>
                <w:color w:val="auto"/>
                <w:kern w:val="2"/>
                <w:sz w:val="24"/>
                <w:szCs w:val="22"/>
                <w:lang w:val="en-US" w:eastAsia="zh-CN"/>
              </w:rPr>
              <w:t>、夜间50</w:t>
            </w:r>
            <w:r>
              <w:rPr>
                <w:rFonts w:hint="eastAsia" w:ascii="Times New Roman" w:hAnsi="Times New Roman" w:eastAsia="宋体" w:cs="Times New Roman"/>
                <w:b w:val="0"/>
                <w:bCs w:val="0"/>
                <w:color w:val="auto"/>
                <w:kern w:val="2"/>
                <w:sz w:val="24"/>
                <w:szCs w:val="22"/>
              </w:rPr>
              <w:t>dB(A)标准</w:t>
            </w:r>
            <w:r>
              <w:rPr>
                <w:rFonts w:hint="eastAsia" w:ascii="Times New Roman" w:hAnsi="Times New Roman" w:eastAsia="宋体" w:cs="Times New Roman"/>
                <w:b w:val="0"/>
                <w:bCs w:val="0"/>
                <w:color w:val="auto"/>
                <w:kern w:val="2"/>
                <w:sz w:val="24"/>
                <w:szCs w:val="22"/>
                <w:lang w:val="en-US" w:eastAsia="zh-CN"/>
              </w:rPr>
              <w:t>要求</w:t>
            </w:r>
            <w:r>
              <w:rPr>
                <w:rFonts w:hint="eastAsia" w:ascii="Times New Roman" w:hAnsi="Times New Roman" w:eastAsia="宋体" w:cs="Times New Roman"/>
                <w:b w:val="0"/>
                <w:bCs w:val="0"/>
                <w:color w:val="auto"/>
                <w:kern w:val="2"/>
                <w:sz w:val="24"/>
                <w:szCs w:val="22"/>
              </w:rPr>
              <w:t>。</w:t>
            </w:r>
          </w:p>
          <w:p>
            <w:pPr>
              <w:spacing w:line="440" w:lineRule="exact"/>
              <w:ind w:firstLine="482" w:firstLineChars="200"/>
              <w:rPr>
                <w:b/>
                <w:bCs/>
                <w:sz w:val="24"/>
              </w:rPr>
            </w:pPr>
            <w:r>
              <w:rPr>
                <w:b/>
                <w:bCs/>
                <w:sz w:val="24"/>
              </w:rPr>
              <w:t>4</w:t>
            </w:r>
            <w:r>
              <w:rPr>
                <w:rFonts w:hint="eastAsia"/>
                <w:b/>
                <w:bCs/>
                <w:sz w:val="24"/>
              </w:rPr>
              <w:t>、生态环境</w:t>
            </w:r>
          </w:p>
          <w:p>
            <w:pPr>
              <w:spacing w:line="440" w:lineRule="exact"/>
              <w:ind w:firstLine="480" w:firstLineChars="200"/>
              <w:rPr>
                <w:sz w:val="24"/>
              </w:rPr>
            </w:pPr>
            <w:r>
              <w:rPr>
                <w:rFonts w:hint="eastAsia"/>
                <w:sz w:val="24"/>
              </w:rPr>
              <w:t>评价区域生态环境主要以人工生态环境为主，主要植被为大面积的农田等。评价区域内无野生植被、大型野生动物以及受国家保护的动植物种类。</w:t>
            </w:r>
          </w:p>
          <w:p>
            <w:pPr>
              <w:spacing w:line="440" w:lineRule="exact"/>
              <w:ind w:firstLine="482" w:firstLineChars="200"/>
              <w:jc w:val="left"/>
              <w:rPr>
                <w:b/>
                <w:bCs/>
                <w:color w:val="000000"/>
                <w:sz w:val="24"/>
              </w:rPr>
            </w:pPr>
            <w:r>
              <w:rPr>
                <w:b/>
                <w:bCs/>
                <w:sz w:val="24"/>
              </w:rPr>
              <w:t>5</w:t>
            </w:r>
            <w:r>
              <w:rPr>
                <w:rFonts w:hint="eastAsia"/>
                <w:b/>
                <w:bCs/>
                <w:sz w:val="24"/>
              </w:rPr>
              <w:t>、地下水、土壤</w:t>
            </w:r>
          </w:p>
          <w:p>
            <w:pPr>
              <w:spacing w:line="440" w:lineRule="exact"/>
              <w:ind w:firstLine="480" w:firstLineChars="200"/>
              <w:rPr>
                <w:b/>
                <w:color w:val="000000"/>
              </w:rPr>
            </w:pPr>
            <w:r>
              <w:rPr>
                <w:rFonts w:hint="eastAsia"/>
                <w:sz w:val="24"/>
              </w:rPr>
              <w:t>建设项目所在区域地下水、土壤现状环境质量良好。本项目不涉及地下水、土壤污染。</w:t>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2" w:type="dxa"/>
            <w:tcBorders>
              <w:top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环</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境</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保</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护</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目</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标</w:t>
            </w:r>
          </w:p>
        </w:tc>
        <w:tc>
          <w:tcPr>
            <w:tcW w:w="8313" w:type="dxa"/>
            <w:tcBorders>
              <w:top w:val="single" w:color="auto" w:sz="8" w:space="0"/>
              <w:left w:val="single" w:color="auto" w:sz="4" w:space="0"/>
              <w:bottom w:val="single" w:color="auto" w:sz="8" w:space="0"/>
            </w:tcBorders>
          </w:tcPr>
          <w:p>
            <w:pPr>
              <w:spacing w:line="440" w:lineRule="exact"/>
              <w:ind w:firstLine="480" w:firstLineChars="200"/>
              <w:rPr>
                <w:rFonts w:hint="eastAsia"/>
                <w:sz w:val="24"/>
                <w:lang w:val="en-US" w:eastAsia="zh-CN"/>
              </w:rPr>
            </w:pPr>
            <w:r>
              <w:rPr>
                <w:rFonts w:hint="eastAsia"/>
                <w:sz w:val="24"/>
              </w:rPr>
              <w:t>本项目位于新乡市新乡县七里营镇敦留店村1151号，根据现场踏勘，项目四周环境为：西</w:t>
            </w:r>
            <w:r>
              <w:rPr>
                <w:rFonts w:hint="eastAsia"/>
                <w:sz w:val="24"/>
                <w:lang w:eastAsia="zh-CN"/>
              </w:rPr>
              <w:t>、</w:t>
            </w:r>
            <w:r>
              <w:rPr>
                <w:rFonts w:hint="eastAsia"/>
                <w:sz w:val="24"/>
                <w:lang w:val="en-US" w:eastAsia="zh-CN"/>
              </w:rPr>
              <w:t>北临农田，南临空地</w:t>
            </w:r>
            <w:r>
              <w:rPr>
                <w:rFonts w:hint="eastAsia"/>
                <w:sz w:val="24"/>
              </w:rPr>
              <w:t>，</w:t>
            </w:r>
            <w:r>
              <w:rPr>
                <w:rFonts w:hint="eastAsia"/>
                <w:sz w:val="24"/>
                <w:lang w:val="en-US" w:eastAsia="zh-CN"/>
              </w:rPr>
              <w:t>东面一路之隔为闲置建材厂。项目500m范围内的环境敏感点为东北20m处的敦留店村及西北450m处的李道堤村。</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1、大气环境、声环境</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eastAsia="宋体"/>
                <w:sz w:val="24"/>
                <w:szCs w:val="24"/>
                <w:lang w:val="en-US" w:eastAsia="zh-CN"/>
              </w:rPr>
            </w:pPr>
            <w:r>
              <w:rPr>
                <w:rFonts w:hint="eastAsia"/>
                <w:sz w:val="24"/>
                <w:szCs w:val="24"/>
                <w:lang w:val="en-US" w:eastAsia="zh-CN"/>
              </w:rPr>
              <w:t>大气环境及声环境保护目标分布情况见下表。</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723" w:firstLineChars="300"/>
              <w:jc w:val="both"/>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表3-4        本项目周围大气环境保护目标一览表</w:t>
            </w:r>
          </w:p>
          <w:tbl>
            <w:tblPr>
              <w:tblStyle w:val="24"/>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407"/>
              <w:gridCol w:w="830"/>
              <w:gridCol w:w="1162"/>
              <w:gridCol w:w="975"/>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57" w:type="pct"/>
                  <w:vMerge w:val="restart"/>
                  <w:noWrap w:val="0"/>
                  <w:vAlign w:val="center"/>
                </w:tcPr>
                <w:p>
                  <w:pPr>
                    <w:adjustRightInd w:val="0"/>
                    <w:snapToGrid w:val="0"/>
                    <w:jc w:val="center"/>
                    <w:rPr>
                      <w:sz w:val="21"/>
                      <w:szCs w:val="21"/>
                    </w:rPr>
                  </w:pPr>
                  <w:r>
                    <w:rPr>
                      <w:sz w:val="21"/>
                      <w:szCs w:val="21"/>
                    </w:rPr>
                    <w:t>保护类别</w:t>
                  </w:r>
                </w:p>
              </w:tc>
              <w:tc>
                <w:tcPr>
                  <w:tcW w:w="887" w:type="pct"/>
                  <w:vMerge w:val="restart"/>
                  <w:noWrap w:val="0"/>
                  <w:vAlign w:val="center"/>
                </w:tcPr>
                <w:p>
                  <w:pPr>
                    <w:adjustRightInd w:val="0"/>
                    <w:snapToGrid w:val="0"/>
                    <w:jc w:val="center"/>
                    <w:rPr>
                      <w:sz w:val="21"/>
                      <w:szCs w:val="21"/>
                    </w:rPr>
                  </w:pPr>
                  <w:r>
                    <w:rPr>
                      <w:sz w:val="21"/>
                      <w:szCs w:val="21"/>
                    </w:rPr>
                    <w:t>环境保护</w:t>
                  </w:r>
                </w:p>
                <w:p>
                  <w:pPr>
                    <w:adjustRightInd w:val="0"/>
                    <w:snapToGrid w:val="0"/>
                    <w:jc w:val="center"/>
                    <w:rPr>
                      <w:sz w:val="21"/>
                      <w:szCs w:val="21"/>
                    </w:rPr>
                  </w:pPr>
                  <w:r>
                    <w:rPr>
                      <w:sz w:val="21"/>
                      <w:szCs w:val="21"/>
                    </w:rPr>
                    <w:t>目标</w:t>
                  </w:r>
                </w:p>
              </w:tc>
              <w:tc>
                <w:tcPr>
                  <w:tcW w:w="523" w:type="pct"/>
                  <w:vMerge w:val="restart"/>
                  <w:noWrap w:val="0"/>
                  <w:vAlign w:val="center"/>
                </w:tcPr>
                <w:p>
                  <w:pPr>
                    <w:adjustRightInd w:val="0"/>
                    <w:snapToGrid w:val="0"/>
                    <w:jc w:val="center"/>
                    <w:rPr>
                      <w:sz w:val="21"/>
                      <w:szCs w:val="21"/>
                    </w:rPr>
                  </w:pPr>
                  <w:r>
                    <w:rPr>
                      <w:sz w:val="21"/>
                      <w:szCs w:val="21"/>
                    </w:rPr>
                    <w:t>保护</w:t>
                  </w:r>
                </w:p>
                <w:p>
                  <w:pPr>
                    <w:adjustRightInd w:val="0"/>
                    <w:snapToGrid w:val="0"/>
                    <w:jc w:val="center"/>
                    <w:rPr>
                      <w:sz w:val="21"/>
                      <w:szCs w:val="21"/>
                    </w:rPr>
                  </w:pPr>
                  <w:r>
                    <w:rPr>
                      <w:sz w:val="21"/>
                      <w:szCs w:val="21"/>
                    </w:rPr>
                    <w:t>内容</w:t>
                  </w:r>
                </w:p>
              </w:tc>
              <w:tc>
                <w:tcPr>
                  <w:tcW w:w="733" w:type="pct"/>
                  <w:vMerge w:val="restart"/>
                  <w:noWrap w:val="0"/>
                  <w:vAlign w:val="center"/>
                </w:tcPr>
                <w:p>
                  <w:pPr>
                    <w:adjustRightInd w:val="0"/>
                    <w:snapToGrid w:val="0"/>
                    <w:jc w:val="center"/>
                    <w:rPr>
                      <w:sz w:val="21"/>
                      <w:szCs w:val="21"/>
                    </w:rPr>
                  </w:pPr>
                  <w:r>
                    <w:rPr>
                      <w:sz w:val="21"/>
                      <w:szCs w:val="21"/>
                    </w:rPr>
                    <w:t>方位</w:t>
                  </w:r>
                </w:p>
              </w:tc>
              <w:tc>
                <w:tcPr>
                  <w:tcW w:w="615" w:type="pct"/>
                  <w:vMerge w:val="restart"/>
                  <w:noWrap w:val="0"/>
                  <w:vAlign w:val="center"/>
                </w:tcPr>
                <w:p>
                  <w:pPr>
                    <w:adjustRightInd w:val="0"/>
                    <w:snapToGrid w:val="0"/>
                    <w:jc w:val="center"/>
                    <w:rPr>
                      <w:sz w:val="21"/>
                      <w:szCs w:val="21"/>
                    </w:rPr>
                  </w:pPr>
                  <w:r>
                    <w:rPr>
                      <w:sz w:val="21"/>
                      <w:szCs w:val="21"/>
                    </w:rPr>
                    <w:t>距离</w:t>
                  </w:r>
                </w:p>
                <w:p>
                  <w:pPr>
                    <w:adjustRightInd w:val="0"/>
                    <w:snapToGrid w:val="0"/>
                    <w:jc w:val="center"/>
                    <w:rPr>
                      <w:sz w:val="21"/>
                      <w:szCs w:val="21"/>
                    </w:rPr>
                  </w:pPr>
                  <w:r>
                    <w:rPr>
                      <w:sz w:val="21"/>
                      <w:szCs w:val="21"/>
                    </w:rPr>
                    <w:t>（m）</w:t>
                  </w:r>
                </w:p>
              </w:tc>
              <w:tc>
                <w:tcPr>
                  <w:tcW w:w="1582" w:type="pct"/>
                  <w:vMerge w:val="restart"/>
                  <w:noWrap w:val="0"/>
                  <w:vAlign w:val="center"/>
                </w:tcPr>
                <w:p>
                  <w:pPr>
                    <w:jc w:val="center"/>
                    <w:rPr>
                      <w:sz w:val="21"/>
                      <w:szCs w:val="21"/>
                    </w:rPr>
                  </w:pPr>
                  <w:r>
                    <w:rPr>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57" w:type="pct"/>
                  <w:vMerge w:val="continue"/>
                  <w:noWrap w:val="0"/>
                  <w:vAlign w:val="center"/>
                </w:tcPr>
                <w:p>
                  <w:pPr>
                    <w:adjustRightInd w:val="0"/>
                    <w:snapToGrid w:val="0"/>
                    <w:jc w:val="center"/>
                    <w:rPr>
                      <w:sz w:val="21"/>
                      <w:szCs w:val="21"/>
                    </w:rPr>
                  </w:pPr>
                </w:p>
              </w:tc>
              <w:tc>
                <w:tcPr>
                  <w:tcW w:w="887" w:type="pct"/>
                  <w:vMerge w:val="continue"/>
                  <w:noWrap w:val="0"/>
                  <w:vAlign w:val="center"/>
                </w:tcPr>
                <w:p>
                  <w:pPr>
                    <w:adjustRightInd w:val="0"/>
                    <w:snapToGrid w:val="0"/>
                    <w:jc w:val="center"/>
                    <w:rPr>
                      <w:sz w:val="21"/>
                      <w:szCs w:val="21"/>
                    </w:rPr>
                  </w:pPr>
                </w:p>
              </w:tc>
              <w:tc>
                <w:tcPr>
                  <w:tcW w:w="523" w:type="pct"/>
                  <w:vMerge w:val="continue"/>
                  <w:noWrap w:val="0"/>
                  <w:vAlign w:val="center"/>
                </w:tcPr>
                <w:p>
                  <w:pPr>
                    <w:adjustRightInd w:val="0"/>
                    <w:snapToGrid w:val="0"/>
                    <w:jc w:val="center"/>
                    <w:rPr>
                      <w:sz w:val="21"/>
                      <w:szCs w:val="21"/>
                    </w:rPr>
                  </w:pPr>
                </w:p>
              </w:tc>
              <w:tc>
                <w:tcPr>
                  <w:tcW w:w="733" w:type="pct"/>
                  <w:vMerge w:val="continue"/>
                  <w:noWrap w:val="0"/>
                  <w:vAlign w:val="center"/>
                </w:tcPr>
                <w:p>
                  <w:pPr>
                    <w:adjustRightInd w:val="0"/>
                    <w:snapToGrid w:val="0"/>
                    <w:jc w:val="center"/>
                    <w:rPr>
                      <w:sz w:val="21"/>
                      <w:szCs w:val="21"/>
                    </w:rPr>
                  </w:pPr>
                </w:p>
              </w:tc>
              <w:tc>
                <w:tcPr>
                  <w:tcW w:w="615" w:type="pct"/>
                  <w:vMerge w:val="continue"/>
                  <w:noWrap w:val="0"/>
                  <w:vAlign w:val="center"/>
                </w:tcPr>
                <w:p>
                  <w:pPr>
                    <w:adjustRightInd w:val="0"/>
                    <w:snapToGrid w:val="0"/>
                    <w:jc w:val="center"/>
                    <w:rPr>
                      <w:sz w:val="21"/>
                      <w:szCs w:val="21"/>
                    </w:rPr>
                  </w:pPr>
                </w:p>
              </w:tc>
              <w:tc>
                <w:tcPr>
                  <w:tcW w:w="1582" w:type="pct"/>
                  <w:vMerge w:val="continue"/>
                  <w:noWrap w:val="0"/>
                  <w:vAlign w:val="center"/>
                </w:tcPr>
                <w:p>
                  <w:pPr>
                    <w:adjustRightInd w:val="0"/>
                    <w:snapToGrid w:val="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7" w:type="pct"/>
                  <w:noWrap w:val="0"/>
                  <w:vAlign w:val="center"/>
                </w:tcPr>
                <w:p>
                  <w:pPr>
                    <w:adjustRightInd w:val="0"/>
                    <w:snapToGrid w:val="0"/>
                    <w:jc w:val="center"/>
                    <w:rPr>
                      <w:rFonts w:hint="eastAsia"/>
                      <w:sz w:val="21"/>
                      <w:szCs w:val="21"/>
                    </w:rPr>
                  </w:pPr>
                  <w:r>
                    <w:rPr>
                      <w:sz w:val="21"/>
                      <w:szCs w:val="21"/>
                    </w:rPr>
                    <w:t>大气</w:t>
                  </w:r>
                </w:p>
                <w:p>
                  <w:pPr>
                    <w:adjustRightInd w:val="0"/>
                    <w:snapToGrid w:val="0"/>
                    <w:jc w:val="center"/>
                    <w:rPr>
                      <w:rFonts w:hint="eastAsia"/>
                      <w:sz w:val="21"/>
                      <w:szCs w:val="21"/>
                      <w:lang w:eastAsia="zh-CN"/>
                    </w:rPr>
                  </w:pPr>
                  <w:r>
                    <w:rPr>
                      <w:sz w:val="21"/>
                      <w:szCs w:val="21"/>
                    </w:rPr>
                    <w:t>环境</w:t>
                  </w:r>
                  <w:r>
                    <w:rPr>
                      <w:rFonts w:hint="eastAsia"/>
                      <w:sz w:val="21"/>
                      <w:szCs w:val="21"/>
                      <w:lang w:eastAsia="zh-CN"/>
                    </w:rPr>
                    <w:t>、</w:t>
                  </w:r>
                </w:p>
                <w:p>
                  <w:pPr>
                    <w:adjustRightInd w:val="0"/>
                    <w:snapToGrid w:val="0"/>
                    <w:jc w:val="center"/>
                    <w:rPr>
                      <w:rFonts w:hint="eastAsia" w:eastAsia="宋体"/>
                      <w:sz w:val="21"/>
                      <w:szCs w:val="21"/>
                      <w:lang w:eastAsia="zh-CN"/>
                    </w:rPr>
                  </w:pPr>
                  <w:r>
                    <w:rPr>
                      <w:rFonts w:hint="eastAsia"/>
                      <w:sz w:val="21"/>
                      <w:szCs w:val="21"/>
                      <w:lang w:val="en-US" w:eastAsia="zh-CN"/>
                    </w:rPr>
                    <w:t>声环境</w:t>
                  </w:r>
                </w:p>
              </w:tc>
              <w:tc>
                <w:tcPr>
                  <w:tcW w:w="887" w:type="pct"/>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敦留店村</w:t>
                  </w:r>
                </w:p>
              </w:tc>
              <w:tc>
                <w:tcPr>
                  <w:tcW w:w="523" w:type="pct"/>
                  <w:noWrap w:val="0"/>
                  <w:vAlign w:val="center"/>
                </w:tcPr>
                <w:p>
                  <w:pPr>
                    <w:adjustRightInd w:val="0"/>
                    <w:snapToGrid w:val="0"/>
                    <w:jc w:val="center"/>
                    <w:rPr>
                      <w:sz w:val="21"/>
                      <w:szCs w:val="21"/>
                    </w:rPr>
                  </w:pPr>
                  <w:r>
                    <w:rPr>
                      <w:sz w:val="21"/>
                      <w:szCs w:val="21"/>
                    </w:rPr>
                    <w:t>居民</w:t>
                  </w:r>
                </w:p>
              </w:tc>
              <w:tc>
                <w:tcPr>
                  <w:tcW w:w="733" w:type="pct"/>
                  <w:noWrap w:val="0"/>
                  <w:vAlign w:val="center"/>
                </w:tcPr>
                <w:p>
                  <w:pPr>
                    <w:jc w:val="center"/>
                    <w:rPr>
                      <w:rFonts w:hint="eastAsia" w:eastAsia="宋体"/>
                      <w:sz w:val="21"/>
                      <w:szCs w:val="21"/>
                      <w:lang w:val="en-US" w:eastAsia="zh-CN"/>
                    </w:rPr>
                  </w:pPr>
                  <w:r>
                    <w:rPr>
                      <w:rFonts w:hint="eastAsia"/>
                      <w:sz w:val="21"/>
                      <w:szCs w:val="21"/>
                      <w:lang w:val="en-US" w:eastAsia="zh-CN"/>
                    </w:rPr>
                    <w:t>东北</w:t>
                  </w:r>
                </w:p>
              </w:tc>
              <w:tc>
                <w:tcPr>
                  <w:tcW w:w="615" w:type="pct"/>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20</w:t>
                  </w:r>
                </w:p>
              </w:tc>
              <w:tc>
                <w:tcPr>
                  <w:tcW w:w="1582" w:type="pct"/>
                  <w:noWrap w:val="0"/>
                  <w:vAlign w:val="center"/>
                </w:tcPr>
                <w:p>
                  <w:pPr>
                    <w:adjustRightInd w:val="0"/>
                    <w:snapToGrid w:val="0"/>
                    <w:jc w:val="center"/>
                    <w:rPr>
                      <w:rFonts w:hint="eastAsia" w:eastAsia="宋体"/>
                      <w:sz w:val="21"/>
                      <w:szCs w:val="21"/>
                      <w:lang w:eastAsia="zh-CN"/>
                    </w:rPr>
                  </w:pPr>
                  <w:r>
                    <w:rPr>
                      <w:sz w:val="21"/>
                      <w:szCs w:val="21"/>
                    </w:rPr>
                    <w:t>《环境空气质量标准》（GB3095-2012）二级</w:t>
                  </w:r>
                  <w:r>
                    <w:rPr>
                      <w:rFonts w:hint="eastAsia"/>
                      <w:sz w:val="21"/>
                      <w:szCs w:val="21"/>
                      <w:lang w:eastAsia="zh-CN"/>
                    </w:rPr>
                    <w:t>、《</w:t>
                  </w:r>
                  <w:r>
                    <w:rPr>
                      <w:rFonts w:hint="eastAsia"/>
                      <w:sz w:val="21"/>
                      <w:szCs w:val="21"/>
                      <w:lang w:val="en-US" w:eastAsia="zh-CN"/>
                    </w:rPr>
                    <w:t>声环境质量标准</w:t>
                  </w:r>
                  <w:r>
                    <w:rPr>
                      <w:rFonts w:hint="eastAsia"/>
                      <w:sz w:val="21"/>
                      <w:szCs w:val="21"/>
                      <w:lang w:eastAsia="zh-CN"/>
                    </w:rPr>
                    <w:t>》</w:t>
                  </w:r>
                  <w:r>
                    <w:rPr>
                      <w:rFonts w:hint="eastAsia"/>
                      <w:color w:val="000000"/>
                      <w:sz w:val="21"/>
                      <w:szCs w:val="21"/>
                    </w:rPr>
                    <w:t>（</w:t>
                  </w:r>
                  <w:r>
                    <w:rPr>
                      <w:color w:val="000000"/>
                      <w:sz w:val="21"/>
                      <w:szCs w:val="21"/>
                    </w:rPr>
                    <w:t>GB3096-2008</w:t>
                  </w:r>
                  <w:r>
                    <w:rPr>
                      <w:rFonts w:hint="eastAsia"/>
                      <w:color w:val="000000"/>
                      <w:sz w:val="21"/>
                      <w:szCs w:val="21"/>
                    </w:rPr>
                    <w:t>）</w:t>
                  </w:r>
                  <w:r>
                    <w:rPr>
                      <w:color w:val="000000"/>
                      <w:sz w:val="21"/>
                      <w:szCs w:val="21"/>
                    </w:rPr>
                    <w:t>2</w:t>
                  </w:r>
                  <w:r>
                    <w:rPr>
                      <w:rFonts w:hint="eastAsia"/>
                      <w:color w:val="000000"/>
                      <w:sz w:val="21"/>
                      <w:szCs w:val="21"/>
                    </w:rPr>
                    <w:t>类</w:t>
                  </w:r>
                  <w:r>
                    <w:rPr>
                      <w:rFonts w:hint="eastAsia"/>
                      <w:color w:val="000000"/>
                      <w:sz w:val="21"/>
                      <w:szCs w:val="21"/>
                      <w:lang w:val="en-US" w:eastAsia="zh-CN"/>
                    </w:rPr>
                    <w:t xml:space="preserve"> </w:t>
                  </w:r>
                  <w:r>
                    <w:rPr>
                      <w:rFonts w:hint="eastAsia"/>
                      <w:color w:val="000000"/>
                      <w:sz w:val="21"/>
                      <w:szCs w:val="21"/>
                    </w:rPr>
                    <w:t>昼间</w:t>
                  </w:r>
                  <w:r>
                    <w:rPr>
                      <w:color w:val="000000"/>
                      <w:sz w:val="21"/>
                      <w:szCs w:val="21"/>
                    </w:rPr>
                    <w:t>60dB</w:t>
                  </w:r>
                  <w:r>
                    <w:rPr>
                      <w:rFonts w:hint="eastAsia"/>
                      <w:color w:val="000000"/>
                      <w:sz w:val="21"/>
                      <w:szCs w:val="21"/>
                    </w:rPr>
                    <w:t>（</w:t>
                  </w:r>
                  <w:r>
                    <w:rPr>
                      <w:color w:val="000000"/>
                      <w:sz w:val="21"/>
                      <w:szCs w:val="21"/>
                    </w:rPr>
                    <w:t>A</w:t>
                  </w: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7" w:type="pct"/>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大气环境</w:t>
                  </w:r>
                </w:p>
              </w:tc>
              <w:tc>
                <w:tcPr>
                  <w:tcW w:w="887" w:type="pct"/>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李道堤村</w:t>
                  </w:r>
                </w:p>
              </w:tc>
              <w:tc>
                <w:tcPr>
                  <w:tcW w:w="523" w:type="pct"/>
                  <w:noWrap w:val="0"/>
                  <w:vAlign w:val="center"/>
                </w:tcPr>
                <w:p>
                  <w:pPr>
                    <w:adjustRightInd w:val="0"/>
                    <w:snapToGrid w:val="0"/>
                    <w:jc w:val="center"/>
                    <w:rPr>
                      <w:sz w:val="21"/>
                      <w:szCs w:val="21"/>
                    </w:rPr>
                  </w:pPr>
                  <w:r>
                    <w:rPr>
                      <w:sz w:val="21"/>
                      <w:szCs w:val="21"/>
                    </w:rPr>
                    <w:t>居民</w:t>
                  </w:r>
                </w:p>
              </w:tc>
              <w:tc>
                <w:tcPr>
                  <w:tcW w:w="733" w:type="pct"/>
                  <w:noWrap w:val="0"/>
                  <w:vAlign w:val="center"/>
                </w:tcPr>
                <w:p>
                  <w:pPr>
                    <w:jc w:val="center"/>
                    <w:rPr>
                      <w:rFonts w:hint="default"/>
                      <w:sz w:val="21"/>
                      <w:szCs w:val="21"/>
                      <w:lang w:val="en-US" w:eastAsia="zh-CN"/>
                    </w:rPr>
                  </w:pPr>
                  <w:r>
                    <w:rPr>
                      <w:rFonts w:hint="eastAsia"/>
                      <w:sz w:val="21"/>
                      <w:szCs w:val="21"/>
                      <w:lang w:val="en-US" w:eastAsia="zh-CN"/>
                    </w:rPr>
                    <w:t>西北</w:t>
                  </w:r>
                </w:p>
              </w:tc>
              <w:tc>
                <w:tcPr>
                  <w:tcW w:w="615" w:type="pct"/>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450</w:t>
                  </w:r>
                </w:p>
              </w:tc>
              <w:tc>
                <w:tcPr>
                  <w:tcW w:w="1582" w:type="pct"/>
                  <w:noWrap w:val="0"/>
                  <w:vAlign w:val="center"/>
                </w:tcPr>
                <w:p>
                  <w:pPr>
                    <w:adjustRightInd w:val="0"/>
                    <w:snapToGrid w:val="0"/>
                    <w:jc w:val="center"/>
                    <w:rPr>
                      <w:sz w:val="21"/>
                      <w:szCs w:val="21"/>
                    </w:rPr>
                  </w:pPr>
                  <w:r>
                    <w:rPr>
                      <w:sz w:val="21"/>
                      <w:szCs w:val="21"/>
                    </w:rPr>
                    <w:t>《环境空气质量标准》（GB3095-2012）二级</w:t>
                  </w:r>
                </w:p>
              </w:tc>
            </w:tr>
          </w:tbl>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2、地下水环境</w:t>
            </w:r>
          </w:p>
          <w:p>
            <w:pPr>
              <w:keepNext w:val="0"/>
              <w:keepLines w:val="0"/>
              <w:pageBreakBefore w:val="0"/>
              <w:widowControl w:val="0"/>
              <w:kinsoku/>
              <w:wordWrap/>
              <w:overflowPunct/>
              <w:topLinePunct w:val="0"/>
              <w:autoSpaceDE/>
              <w:autoSpaceDN/>
              <w:bidi w:val="0"/>
              <w:adjustRightInd w:val="0"/>
              <w:snapToGrid w:val="0"/>
              <w:spacing w:line="460" w:lineRule="exact"/>
              <w:ind w:left="476" w:leftChars="170" w:firstLine="0" w:firstLineChars="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本项目厂界外500米范围内无地下水保护目标。</w:t>
            </w:r>
            <w:r>
              <w:rPr>
                <w:rFonts w:hint="eastAsia" w:ascii="Times New Roman" w:hAnsi="Times New Roman" w:eastAsia="宋体" w:cs="Times New Roman"/>
                <w:sz w:val="24"/>
                <w:szCs w:val="24"/>
                <w:lang w:val="en-US" w:eastAsia="zh-CN"/>
              </w:rPr>
              <w:br w:type="textWrapping"/>
            </w: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生态环境</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color w:val="000000"/>
                <w:sz w:val="21"/>
                <w:szCs w:val="21"/>
              </w:rPr>
            </w:pPr>
            <w:r>
              <w:rPr>
                <w:rFonts w:hint="eastAsia" w:ascii="Times New Roman" w:hAnsi="Times New Roman" w:eastAsia="宋体" w:cs="Times New Roman"/>
                <w:sz w:val="24"/>
                <w:szCs w:val="24"/>
                <w:lang w:val="en-US" w:eastAsia="zh-CN"/>
              </w:rPr>
              <w:t>项目用地范围内无生态环境环保目标。</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756" w:hRule="atLeast"/>
        </w:trPr>
        <w:tc>
          <w:tcPr>
            <w:tcW w:w="422" w:type="dxa"/>
            <w:tcBorders>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染</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物</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排</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放</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控</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制</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标</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准</w:t>
            </w:r>
          </w:p>
        </w:tc>
        <w:tc>
          <w:tcPr>
            <w:tcW w:w="8313" w:type="dxa"/>
            <w:tcBorders>
              <w:top w:val="single" w:color="auto" w:sz="8" w:space="0"/>
              <w:left w:val="single" w:color="auto" w:sz="4" w:space="0"/>
              <w:bottom w:val="single" w:color="auto" w:sz="8" w:space="0"/>
            </w:tcBorders>
          </w:tcPr>
          <w:p>
            <w:pPr>
              <w:pStyle w:val="84"/>
              <w:spacing w:afterLines="0" w:line="460" w:lineRule="exact"/>
              <w:ind w:firstLine="0"/>
              <w:rPr>
                <w:sz w:val="21"/>
                <w:szCs w:val="21"/>
              </w:rPr>
            </w:pPr>
            <w:r>
              <w:rPr>
                <w:rFonts w:hint="eastAsia"/>
              </w:rPr>
              <w:t>本项目污染物排放标准见下表。</w:t>
            </w:r>
          </w:p>
          <w:p>
            <w:pPr>
              <w:spacing w:line="440" w:lineRule="exact"/>
              <w:ind w:firstLine="723" w:firstLineChars="300"/>
              <w:rPr>
                <w:rFonts w:eastAsia="黑体"/>
                <w:sz w:val="24"/>
                <w:szCs w:val="24"/>
              </w:rPr>
            </w:pPr>
            <w:r>
              <w:rPr>
                <w:rFonts w:hint="eastAsia" w:ascii="Times New Roman" w:hAnsi="Times New Roman" w:eastAsia="宋体" w:cs="Times New Roman"/>
                <w:b/>
                <w:bCs w:val="0"/>
                <w:color w:val="auto"/>
                <w:sz w:val="24"/>
                <w:szCs w:val="24"/>
                <w:lang w:val="en-US" w:eastAsia="zh-CN"/>
              </w:rPr>
              <w:t>表3-5         污染物排放标准一览表</w:t>
            </w:r>
          </w:p>
          <w:tbl>
            <w:tblPr>
              <w:tblStyle w:val="24"/>
              <w:tblW w:w="4899" w:type="pct"/>
              <w:jc w:val="center"/>
              <w:tblLayout w:type="fixed"/>
              <w:tblCellMar>
                <w:top w:w="0" w:type="dxa"/>
                <w:left w:w="108" w:type="dxa"/>
                <w:bottom w:w="0" w:type="dxa"/>
                <w:right w:w="108" w:type="dxa"/>
              </w:tblCellMar>
            </w:tblPr>
            <w:tblGrid>
              <w:gridCol w:w="1116"/>
              <w:gridCol w:w="2700"/>
              <w:gridCol w:w="1353"/>
              <w:gridCol w:w="788"/>
              <w:gridCol w:w="1976"/>
            </w:tblGrid>
            <w:tr>
              <w:tblPrEx>
                <w:tblCellMar>
                  <w:top w:w="0" w:type="dxa"/>
                  <w:left w:w="108" w:type="dxa"/>
                  <w:bottom w:w="0" w:type="dxa"/>
                  <w:right w:w="108" w:type="dxa"/>
                </w:tblCellMar>
              </w:tblPrEx>
              <w:trPr>
                <w:trHeight w:val="396" w:hRule="atLeast"/>
                <w:jc w:val="center"/>
              </w:trPr>
              <w:tc>
                <w:tcPr>
                  <w:tcW w:w="1087" w:type="dxa"/>
                  <w:tcBorders>
                    <w:top w:val="single" w:color="auto" w:sz="8" w:space="0"/>
                    <w:left w:val="nil"/>
                    <w:bottom w:val="single" w:color="auto" w:sz="8" w:space="0"/>
                    <w:right w:val="single" w:color="auto" w:sz="6" w:space="0"/>
                  </w:tcBorders>
                  <w:vAlign w:val="center"/>
                </w:tcPr>
                <w:p>
                  <w:pPr>
                    <w:jc w:val="center"/>
                    <w:rPr>
                      <w:b/>
                      <w:color w:val="000000"/>
                      <w:sz w:val="21"/>
                      <w:szCs w:val="21"/>
                    </w:rPr>
                  </w:pPr>
                  <w:r>
                    <w:rPr>
                      <w:rFonts w:hint="eastAsia"/>
                      <w:b/>
                      <w:color w:val="000000"/>
                      <w:sz w:val="21"/>
                      <w:szCs w:val="21"/>
                    </w:rPr>
                    <w:t>污染类别</w:t>
                  </w:r>
                </w:p>
              </w:tc>
              <w:tc>
                <w:tcPr>
                  <w:tcW w:w="2629" w:type="dxa"/>
                  <w:tcBorders>
                    <w:top w:val="single" w:color="auto" w:sz="8" w:space="0"/>
                    <w:left w:val="nil"/>
                    <w:bottom w:val="single" w:color="auto" w:sz="8" w:space="0"/>
                    <w:right w:val="single" w:color="auto" w:sz="6" w:space="0"/>
                  </w:tcBorders>
                  <w:vAlign w:val="center"/>
                </w:tcPr>
                <w:p>
                  <w:pPr>
                    <w:jc w:val="center"/>
                    <w:rPr>
                      <w:b/>
                      <w:color w:val="000000"/>
                      <w:sz w:val="21"/>
                      <w:szCs w:val="21"/>
                    </w:rPr>
                  </w:pPr>
                  <w:r>
                    <w:rPr>
                      <w:rFonts w:hint="eastAsia"/>
                      <w:b/>
                      <w:color w:val="000000"/>
                      <w:sz w:val="21"/>
                      <w:szCs w:val="21"/>
                    </w:rPr>
                    <w:t>标准名称及级（类）别</w:t>
                  </w:r>
                </w:p>
              </w:tc>
              <w:tc>
                <w:tcPr>
                  <w:tcW w:w="1318" w:type="dxa"/>
                  <w:tcBorders>
                    <w:top w:val="single" w:color="auto" w:sz="8" w:space="0"/>
                    <w:left w:val="nil"/>
                    <w:bottom w:val="single" w:color="auto" w:sz="8" w:space="0"/>
                    <w:right w:val="single" w:color="auto" w:sz="6" w:space="0"/>
                  </w:tcBorders>
                  <w:vAlign w:val="center"/>
                </w:tcPr>
                <w:p>
                  <w:pPr>
                    <w:jc w:val="center"/>
                    <w:rPr>
                      <w:b/>
                      <w:color w:val="000000"/>
                      <w:sz w:val="21"/>
                      <w:szCs w:val="21"/>
                    </w:rPr>
                  </w:pPr>
                  <w:r>
                    <w:rPr>
                      <w:rFonts w:hint="eastAsia"/>
                      <w:b/>
                      <w:color w:val="000000"/>
                      <w:sz w:val="21"/>
                      <w:szCs w:val="21"/>
                    </w:rPr>
                    <w:t>污染因子</w:t>
                  </w:r>
                </w:p>
              </w:tc>
              <w:tc>
                <w:tcPr>
                  <w:tcW w:w="2691" w:type="dxa"/>
                  <w:gridSpan w:val="2"/>
                  <w:tcBorders>
                    <w:top w:val="single" w:color="auto" w:sz="8" w:space="0"/>
                    <w:left w:val="nil"/>
                    <w:bottom w:val="single" w:color="auto" w:sz="8" w:space="0"/>
                    <w:right w:val="nil"/>
                  </w:tcBorders>
                  <w:vAlign w:val="center"/>
                </w:tcPr>
                <w:p>
                  <w:pPr>
                    <w:jc w:val="center"/>
                    <w:rPr>
                      <w:b/>
                      <w:color w:val="000000"/>
                      <w:sz w:val="21"/>
                      <w:szCs w:val="21"/>
                    </w:rPr>
                  </w:pPr>
                  <w:r>
                    <w:rPr>
                      <w:rFonts w:hint="eastAsia"/>
                      <w:b/>
                      <w:color w:val="000000"/>
                      <w:sz w:val="21"/>
                      <w:szCs w:val="21"/>
                    </w:rPr>
                    <w:t>标准限值</w:t>
                  </w:r>
                </w:p>
              </w:tc>
            </w:tr>
            <w:tr>
              <w:tblPrEx>
                <w:tblCellMar>
                  <w:top w:w="0" w:type="dxa"/>
                  <w:left w:w="108" w:type="dxa"/>
                  <w:bottom w:w="0" w:type="dxa"/>
                  <w:right w:w="108" w:type="dxa"/>
                </w:tblCellMar>
              </w:tblPrEx>
              <w:trPr>
                <w:trHeight w:val="668" w:hRule="atLeast"/>
                <w:jc w:val="center"/>
              </w:trPr>
              <w:tc>
                <w:tcPr>
                  <w:tcW w:w="1087" w:type="dxa"/>
                  <w:vMerge w:val="restart"/>
                  <w:tcBorders>
                    <w:top w:val="single" w:color="auto" w:sz="8" w:space="0"/>
                    <w:left w:val="nil"/>
                    <w:right w:val="single" w:color="auto" w:sz="6" w:space="0"/>
                  </w:tcBorders>
                  <w:vAlign w:val="center"/>
                </w:tcPr>
                <w:p>
                  <w:pPr>
                    <w:jc w:val="center"/>
                    <w:rPr>
                      <w:b/>
                      <w:color w:val="000000"/>
                      <w:sz w:val="21"/>
                      <w:szCs w:val="21"/>
                    </w:rPr>
                  </w:pPr>
                  <w:r>
                    <w:rPr>
                      <w:rFonts w:hint="eastAsia" w:hAnsi="宋体"/>
                      <w:sz w:val="21"/>
                      <w:szCs w:val="21"/>
                    </w:rPr>
                    <w:t>废气</w:t>
                  </w:r>
                </w:p>
              </w:tc>
              <w:tc>
                <w:tcPr>
                  <w:tcW w:w="2629" w:type="dxa"/>
                  <w:vMerge w:val="restart"/>
                  <w:tcBorders>
                    <w:top w:val="single" w:color="auto" w:sz="8" w:space="0"/>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sz w:val="21"/>
                      <w:szCs w:val="21"/>
                    </w:rPr>
                  </w:pPr>
                  <w:r>
                    <w:rPr>
                      <w:rFonts w:hint="eastAsia" w:hAnsi="宋体"/>
                      <w:color w:val="000000"/>
                      <w:sz w:val="21"/>
                      <w:szCs w:val="21"/>
                    </w:rPr>
                    <w:t>《水泥工业大气污染物排放标准》</w:t>
                  </w:r>
                  <w:r>
                    <w:rPr>
                      <w:rFonts w:hint="eastAsia"/>
                      <w:sz w:val="21"/>
                      <w:szCs w:val="21"/>
                    </w:rPr>
                    <w:t>（</w:t>
                  </w:r>
                  <w:r>
                    <w:rPr>
                      <w:sz w:val="21"/>
                      <w:szCs w:val="21"/>
                    </w:rPr>
                    <w:t>DB41/1953-2020</w:t>
                  </w:r>
                  <w:r>
                    <w:rPr>
                      <w:rFonts w:hint="eastAsia"/>
                      <w:sz w:val="21"/>
                      <w:szCs w:val="21"/>
                    </w:rPr>
                    <w:t>）</w:t>
                  </w:r>
                </w:p>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color w:val="000000"/>
                      <w:sz w:val="21"/>
                      <w:szCs w:val="21"/>
                    </w:rPr>
                  </w:pPr>
                  <w:r>
                    <w:rPr>
                      <w:rFonts w:hint="eastAsia"/>
                      <w:sz w:val="21"/>
                      <w:szCs w:val="21"/>
                    </w:rPr>
                    <w:t>表1、表2</w:t>
                  </w:r>
                </w:p>
              </w:tc>
              <w:tc>
                <w:tcPr>
                  <w:tcW w:w="1318" w:type="dxa"/>
                  <w:vMerge w:val="restart"/>
                  <w:tcBorders>
                    <w:top w:val="single" w:color="auto" w:sz="8" w:space="0"/>
                    <w:left w:val="nil"/>
                    <w:right w:val="single" w:color="auto" w:sz="6" w:space="0"/>
                  </w:tcBorders>
                  <w:vAlign w:val="center"/>
                </w:tcPr>
                <w:p>
                  <w:pPr>
                    <w:jc w:val="center"/>
                    <w:rPr>
                      <w:b/>
                      <w:color w:val="000000"/>
                      <w:sz w:val="21"/>
                      <w:szCs w:val="21"/>
                    </w:rPr>
                  </w:pPr>
                  <w:r>
                    <w:rPr>
                      <w:rFonts w:hint="eastAsia" w:hAnsi="宋体"/>
                      <w:color w:val="000000"/>
                      <w:sz w:val="21"/>
                      <w:szCs w:val="21"/>
                    </w:rPr>
                    <w:t>颗粒物</w:t>
                  </w:r>
                </w:p>
              </w:tc>
              <w:tc>
                <w:tcPr>
                  <w:tcW w:w="767" w:type="dxa"/>
                  <w:tcBorders>
                    <w:top w:val="single" w:color="auto" w:sz="8" w:space="0"/>
                    <w:left w:val="nil"/>
                    <w:bottom w:val="nil"/>
                    <w:right w:val="single" w:color="auto" w:sz="4" w:space="0"/>
                  </w:tcBorders>
                  <w:vAlign w:val="center"/>
                </w:tcPr>
                <w:p>
                  <w:pPr>
                    <w:snapToGrid w:val="0"/>
                    <w:jc w:val="center"/>
                    <w:rPr>
                      <w:rFonts w:hAnsi="宋体"/>
                      <w:color w:val="000000"/>
                      <w:sz w:val="21"/>
                      <w:szCs w:val="21"/>
                    </w:rPr>
                  </w:pPr>
                  <w:r>
                    <w:rPr>
                      <w:rFonts w:hint="eastAsia" w:hAnsi="宋体"/>
                      <w:color w:val="000000"/>
                      <w:sz w:val="21"/>
                      <w:szCs w:val="21"/>
                    </w:rPr>
                    <w:t>有组织</w:t>
                  </w:r>
                </w:p>
              </w:tc>
              <w:tc>
                <w:tcPr>
                  <w:tcW w:w="1924" w:type="dxa"/>
                  <w:tcBorders>
                    <w:top w:val="single" w:color="auto" w:sz="8" w:space="0"/>
                    <w:left w:val="single" w:color="auto" w:sz="4" w:space="0"/>
                    <w:bottom w:val="nil"/>
                    <w:right w:val="nil"/>
                  </w:tcBorders>
                  <w:vAlign w:val="center"/>
                </w:tcPr>
                <w:p>
                  <w:pPr>
                    <w:snapToGrid w:val="0"/>
                    <w:jc w:val="center"/>
                    <w:rPr>
                      <w:rFonts w:hAnsi="宋体"/>
                      <w:color w:val="000000"/>
                      <w:sz w:val="21"/>
                      <w:szCs w:val="21"/>
                    </w:rPr>
                  </w:pPr>
                  <w:r>
                    <w:rPr>
                      <w:rFonts w:hint="eastAsia" w:hAnsi="宋体"/>
                      <w:color w:val="000000"/>
                      <w:sz w:val="21"/>
                      <w:szCs w:val="21"/>
                    </w:rPr>
                    <w:t>散装水泥中转站及水泥制品生产水泥仓及其他通风生产设备：</w:t>
                  </w:r>
                  <w:r>
                    <w:rPr>
                      <w:rFonts w:hAnsi="宋体"/>
                      <w:color w:val="000000"/>
                      <w:sz w:val="21"/>
                      <w:szCs w:val="21"/>
                    </w:rPr>
                    <w:t>10mg/m</w:t>
                  </w:r>
                  <w:r>
                    <w:rPr>
                      <w:rFonts w:hAnsi="宋体"/>
                      <w:color w:val="000000"/>
                      <w:sz w:val="21"/>
                      <w:szCs w:val="21"/>
                      <w:vertAlign w:val="superscript"/>
                    </w:rPr>
                    <w:t>3</w:t>
                  </w:r>
                </w:p>
              </w:tc>
            </w:tr>
            <w:tr>
              <w:trPr>
                <w:trHeight w:val="667" w:hRule="atLeast"/>
                <w:jc w:val="center"/>
              </w:trPr>
              <w:tc>
                <w:tcPr>
                  <w:tcW w:w="1087" w:type="dxa"/>
                  <w:vMerge w:val="continue"/>
                  <w:tcBorders>
                    <w:left w:val="nil"/>
                    <w:bottom w:val="nil"/>
                    <w:right w:val="single" w:color="auto" w:sz="6" w:space="0"/>
                  </w:tcBorders>
                  <w:vAlign w:val="center"/>
                </w:tcPr>
                <w:p>
                  <w:pPr>
                    <w:jc w:val="center"/>
                    <w:rPr>
                      <w:rFonts w:hAnsi="宋体"/>
                      <w:sz w:val="21"/>
                      <w:szCs w:val="21"/>
                    </w:rPr>
                  </w:pPr>
                </w:p>
              </w:tc>
              <w:tc>
                <w:tcPr>
                  <w:tcW w:w="2629" w:type="dxa"/>
                  <w:vMerge w:val="continue"/>
                  <w:tcBorders>
                    <w:left w:val="nil"/>
                    <w:bottom w:val="nil"/>
                    <w:right w:val="single" w:color="auto" w:sz="6" w:space="0"/>
                  </w:tcBorders>
                  <w:vAlign w:val="center"/>
                </w:tcPr>
                <w:p>
                  <w:pPr>
                    <w:snapToGrid w:val="0"/>
                    <w:spacing w:beforeLines="50"/>
                    <w:jc w:val="center"/>
                    <w:rPr>
                      <w:rFonts w:hAnsi="宋体"/>
                      <w:color w:val="000000"/>
                      <w:sz w:val="21"/>
                      <w:szCs w:val="21"/>
                    </w:rPr>
                  </w:pPr>
                </w:p>
              </w:tc>
              <w:tc>
                <w:tcPr>
                  <w:tcW w:w="1318" w:type="dxa"/>
                  <w:vMerge w:val="continue"/>
                  <w:tcBorders>
                    <w:left w:val="nil"/>
                    <w:bottom w:val="nil"/>
                    <w:right w:val="single" w:color="auto" w:sz="6" w:space="0"/>
                  </w:tcBorders>
                  <w:vAlign w:val="center"/>
                </w:tcPr>
                <w:p>
                  <w:pPr>
                    <w:jc w:val="center"/>
                    <w:rPr>
                      <w:rFonts w:hAnsi="宋体"/>
                      <w:color w:val="000000"/>
                      <w:sz w:val="21"/>
                      <w:szCs w:val="21"/>
                    </w:rPr>
                  </w:pPr>
                </w:p>
              </w:tc>
              <w:tc>
                <w:tcPr>
                  <w:tcW w:w="767" w:type="dxa"/>
                  <w:tcBorders>
                    <w:top w:val="single" w:color="auto" w:sz="8" w:space="0"/>
                    <w:left w:val="nil"/>
                    <w:bottom w:val="nil"/>
                    <w:right w:val="single" w:color="auto" w:sz="4" w:space="0"/>
                  </w:tcBorders>
                  <w:vAlign w:val="center"/>
                </w:tcPr>
                <w:p>
                  <w:pPr>
                    <w:snapToGrid w:val="0"/>
                    <w:jc w:val="center"/>
                    <w:rPr>
                      <w:rFonts w:hAnsi="宋体"/>
                      <w:color w:val="000000"/>
                      <w:sz w:val="21"/>
                      <w:szCs w:val="21"/>
                    </w:rPr>
                  </w:pPr>
                  <w:r>
                    <w:rPr>
                      <w:rFonts w:hint="eastAsia" w:hAnsi="宋体"/>
                      <w:color w:val="000000"/>
                      <w:sz w:val="21"/>
                      <w:szCs w:val="21"/>
                    </w:rPr>
                    <w:t>无组织</w:t>
                  </w:r>
                </w:p>
              </w:tc>
              <w:tc>
                <w:tcPr>
                  <w:tcW w:w="1924" w:type="dxa"/>
                  <w:tcBorders>
                    <w:top w:val="single" w:color="auto" w:sz="8" w:space="0"/>
                    <w:left w:val="single" w:color="auto" w:sz="4" w:space="0"/>
                    <w:bottom w:val="nil"/>
                    <w:right w:val="nil"/>
                  </w:tcBorders>
                  <w:vAlign w:val="center"/>
                </w:tcPr>
                <w:p>
                  <w:pPr>
                    <w:snapToGrid w:val="0"/>
                    <w:jc w:val="center"/>
                    <w:rPr>
                      <w:rFonts w:hAnsi="宋体"/>
                      <w:color w:val="000000"/>
                      <w:sz w:val="21"/>
                      <w:szCs w:val="21"/>
                    </w:rPr>
                  </w:pPr>
                  <w:r>
                    <w:rPr>
                      <w:rFonts w:hint="eastAsia" w:hAnsi="宋体"/>
                      <w:color w:val="000000"/>
                      <w:sz w:val="21"/>
                      <w:szCs w:val="21"/>
                    </w:rPr>
                    <w:t>厂界：</w:t>
                  </w:r>
                  <w:r>
                    <w:rPr>
                      <w:bCs/>
                      <w:sz w:val="21"/>
                      <w:szCs w:val="21"/>
                    </w:rPr>
                    <w:t>0.5mg/m</w:t>
                  </w:r>
                  <w:r>
                    <w:rPr>
                      <w:bCs/>
                      <w:sz w:val="21"/>
                      <w:szCs w:val="21"/>
                      <w:vertAlign w:val="superscript"/>
                    </w:rPr>
                    <w:t>3</w:t>
                  </w:r>
                </w:p>
              </w:tc>
            </w:tr>
            <w:tr>
              <w:tblPrEx>
                <w:tblCellMar>
                  <w:top w:w="0" w:type="dxa"/>
                  <w:left w:w="108" w:type="dxa"/>
                  <w:bottom w:w="0" w:type="dxa"/>
                  <w:right w:w="108" w:type="dxa"/>
                </w:tblCellMar>
              </w:tblPrEx>
              <w:trPr>
                <w:trHeight w:val="396" w:hRule="atLeast"/>
                <w:jc w:val="center"/>
              </w:trPr>
              <w:tc>
                <w:tcPr>
                  <w:tcW w:w="1087" w:type="dxa"/>
                  <w:tcBorders>
                    <w:top w:val="single" w:color="auto" w:sz="8" w:space="0"/>
                    <w:left w:val="nil"/>
                    <w:bottom w:val="single" w:color="auto" w:sz="8" w:space="0"/>
                    <w:right w:val="single" w:color="auto" w:sz="6" w:space="0"/>
                  </w:tcBorders>
                  <w:vAlign w:val="center"/>
                </w:tcPr>
                <w:p>
                  <w:pPr>
                    <w:adjustRightInd w:val="0"/>
                    <w:snapToGrid w:val="0"/>
                    <w:jc w:val="center"/>
                    <w:rPr>
                      <w:sz w:val="21"/>
                      <w:szCs w:val="21"/>
                    </w:rPr>
                  </w:pPr>
                  <w:r>
                    <w:rPr>
                      <w:rFonts w:hint="eastAsia" w:hAnsi="宋体"/>
                      <w:sz w:val="21"/>
                      <w:szCs w:val="21"/>
                    </w:rPr>
                    <w:t>噪声</w:t>
                  </w:r>
                </w:p>
              </w:tc>
              <w:tc>
                <w:tcPr>
                  <w:tcW w:w="2629" w:type="dxa"/>
                  <w:tcBorders>
                    <w:top w:val="single" w:color="auto" w:sz="8" w:space="0"/>
                    <w:left w:val="nil"/>
                    <w:bottom w:val="single" w:color="auto" w:sz="8" w:space="0"/>
                    <w:right w:val="single" w:color="auto" w:sz="6" w:space="0"/>
                  </w:tcBorders>
                  <w:vAlign w:val="center"/>
                </w:tcPr>
                <w:p>
                  <w:pPr>
                    <w:tabs>
                      <w:tab w:val="left" w:pos="792"/>
                    </w:tabs>
                    <w:adjustRightInd w:val="0"/>
                    <w:snapToGrid w:val="0"/>
                    <w:jc w:val="center"/>
                    <w:rPr>
                      <w:sz w:val="21"/>
                      <w:szCs w:val="21"/>
                    </w:rPr>
                  </w:pPr>
                  <w:r>
                    <w:rPr>
                      <w:rFonts w:hint="eastAsia" w:hAnsi="宋体"/>
                      <w:sz w:val="21"/>
                      <w:szCs w:val="21"/>
                    </w:rPr>
                    <w:t>《工业企业厂界环境噪声排放标准》（</w:t>
                  </w:r>
                  <w:r>
                    <w:rPr>
                      <w:sz w:val="21"/>
                      <w:szCs w:val="21"/>
                    </w:rPr>
                    <w:t>GB12348-2008</w:t>
                  </w:r>
                  <w:r>
                    <w:rPr>
                      <w:rFonts w:hint="eastAsia" w:hAnsi="宋体"/>
                      <w:sz w:val="21"/>
                      <w:szCs w:val="21"/>
                    </w:rPr>
                    <w:t>）</w:t>
                  </w:r>
                  <w:r>
                    <w:rPr>
                      <w:sz w:val="21"/>
                      <w:szCs w:val="21"/>
                    </w:rPr>
                    <w:t>2</w:t>
                  </w:r>
                  <w:r>
                    <w:rPr>
                      <w:rFonts w:hint="eastAsia" w:hAnsi="宋体"/>
                      <w:sz w:val="21"/>
                      <w:szCs w:val="21"/>
                    </w:rPr>
                    <w:t>类</w:t>
                  </w:r>
                </w:p>
              </w:tc>
              <w:tc>
                <w:tcPr>
                  <w:tcW w:w="1318" w:type="dxa"/>
                  <w:tcBorders>
                    <w:top w:val="single" w:color="auto" w:sz="8" w:space="0"/>
                    <w:left w:val="nil"/>
                    <w:bottom w:val="single" w:color="auto" w:sz="8" w:space="0"/>
                    <w:right w:val="single" w:color="auto" w:sz="6" w:space="0"/>
                  </w:tcBorders>
                  <w:vAlign w:val="center"/>
                </w:tcPr>
                <w:p>
                  <w:pPr>
                    <w:adjustRightInd w:val="0"/>
                    <w:snapToGrid w:val="0"/>
                    <w:jc w:val="center"/>
                    <w:rPr>
                      <w:sz w:val="21"/>
                      <w:szCs w:val="21"/>
                    </w:rPr>
                  </w:pPr>
                  <w:r>
                    <w:rPr>
                      <w:rFonts w:hint="eastAsia" w:hAnsi="宋体"/>
                      <w:sz w:val="21"/>
                      <w:szCs w:val="21"/>
                    </w:rPr>
                    <w:t>噪声</w:t>
                  </w:r>
                </w:p>
              </w:tc>
              <w:tc>
                <w:tcPr>
                  <w:tcW w:w="2691" w:type="dxa"/>
                  <w:gridSpan w:val="2"/>
                  <w:tcBorders>
                    <w:top w:val="single" w:color="auto" w:sz="8" w:space="0"/>
                    <w:left w:val="nil"/>
                    <w:bottom w:val="single" w:color="auto" w:sz="8" w:space="0"/>
                    <w:right w:val="nil"/>
                  </w:tcBorders>
                  <w:vAlign w:val="center"/>
                </w:tcPr>
                <w:p>
                  <w:pPr>
                    <w:adjustRightInd w:val="0"/>
                    <w:snapToGrid w:val="0"/>
                    <w:jc w:val="center"/>
                    <w:rPr>
                      <w:sz w:val="21"/>
                      <w:szCs w:val="21"/>
                    </w:rPr>
                  </w:pPr>
                  <w:r>
                    <w:rPr>
                      <w:rFonts w:hint="eastAsia" w:hAnsi="宋体"/>
                      <w:sz w:val="21"/>
                      <w:szCs w:val="21"/>
                    </w:rPr>
                    <w:t>昼间</w:t>
                  </w:r>
                  <w:r>
                    <w:rPr>
                      <w:sz w:val="21"/>
                      <w:szCs w:val="21"/>
                    </w:rPr>
                    <w:t xml:space="preserve"> 60dB(A)</w:t>
                  </w:r>
                </w:p>
              </w:tc>
            </w:tr>
            <w:tr>
              <w:tblPrEx>
                <w:tblCellMar>
                  <w:top w:w="0" w:type="dxa"/>
                  <w:left w:w="108" w:type="dxa"/>
                  <w:bottom w:w="0" w:type="dxa"/>
                  <w:right w:w="108" w:type="dxa"/>
                </w:tblCellMar>
              </w:tblPrEx>
              <w:trPr>
                <w:trHeight w:val="454" w:hRule="atLeast"/>
                <w:jc w:val="center"/>
              </w:trPr>
              <w:tc>
                <w:tcPr>
                  <w:tcW w:w="1087" w:type="dxa"/>
                  <w:tcBorders>
                    <w:top w:val="single" w:color="auto" w:sz="6" w:space="0"/>
                    <w:left w:val="nil"/>
                    <w:bottom w:val="single" w:color="auto" w:sz="8" w:space="0"/>
                    <w:right w:val="single" w:color="auto" w:sz="6" w:space="0"/>
                  </w:tcBorders>
                  <w:vAlign w:val="center"/>
                </w:tcPr>
                <w:p>
                  <w:pPr>
                    <w:jc w:val="center"/>
                    <w:rPr>
                      <w:color w:val="000000"/>
                      <w:sz w:val="21"/>
                      <w:szCs w:val="21"/>
                    </w:rPr>
                  </w:pPr>
                  <w:r>
                    <w:rPr>
                      <w:rFonts w:hint="eastAsia"/>
                      <w:color w:val="000000"/>
                      <w:sz w:val="21"/>
                      <w:szCs w:val="21"/>
                    </w:rPr>
                    <w:t>固废</w:t>
                  </w:r>
                </w:p>
              </w:tc>
              <w:tc>
                <w:tcPr>
                  <w:tcW w:w="6638" w:type="dxa"/>
                  <w:gridSpan w:val="4"/>
                  <w:tcBorders>
                    <w:top w:val="single" w:color="auto" w:sz="6" w:space="0"/>
                    <w:left w:val="nil"/>
                    <w:bottom w:val="single" w:color="auto" w:sz="8" w:space="0"/>
                    <w:right w:val="nil"/>
                  </w:tcBorders>
                  <w:vAlign w:val="center"/>
                </w:tcPr>
                <w:p>
                  <w:pPr>
                    <w:jc w:val="center"/>
                    <w:rPr>
                      <w:color w:val="000000"/>
                      <w:sz w:val="21"/>
                      <w:szCs w:val="21"/>
                    </w:rPr>
                  </w:pPr>
                  <w:r>
                    <w:rPr>
                      <w:rFonts w:hint="eastAsia"/>
                      <w:color w:val="000000"/>
                      <w:sz w:val="21"/>
                      <w:szCs w:val="21"/>
                    </w:rPr>
                    <w:t>《一般工业固体废物贮存和填埋污染控制标准》（GB18599-2020）；</w:t>
                  </w:r>
                </w:p>
              </w:tc>
            </w:tr>
          </w:tbl>
          <w:p>
            <w:pPr>
              <w:spacing w:line="440" w:lineRule="exact"/>
              <w:ind w:firstLine="420" w:firstLineChars="200"/>
              <w:rPr>
                <w:color w:val="000000"/>
                <w:sz w:val="21"/>
                <w:szCs w:val="21"/>
              </w:rPr>
            </w:pPr>
            <w:r>
              <w:rPr>
                <w:color w:val="000000"/>
                <w:sz w:val="21"/>
                <w:szCs w:val="21"/>
              </w:rPr>
              <w:br w:type="textWrapping"/>
            </w:r>
            <w:r>
              <w:rPr>
                <w:color w:val="000000"/>
                <w:sz w:val="21"/>
                <w:szCs w:val="21"/>
              </w:rPr>
              <w:br w:type="textWrapping"/>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2" w:type="dxa"/>
            <w:tcBorders>
              <w:top w:val="single" w:color="auto" w:sz="4" w:space="0"/>
              <w:bottom w:val="single" w:color="auto" w:sz="8"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1"/>
                <w:szCs w:val="21"/>
              </w:rPr>
            </w:pPr>
            <w:r>
              <w:rPr>
                <w:rFonts w:hint="eastAsia"/>
                <w:sz w:val="21"/>
                <w:szCs w:val="21"/>
              </w:rPr>
              <w:t>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染</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物</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排</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放</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控</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制</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1"/>
                <w:szCs w:val="21"/>
              </w:rPr>
            </w:pPr>
            <w:r>
              <w:rPr>
                <w:rFonts w:hint="eastAsia"/>
                <w:sz w:val="21"/>
                <w:szCs w:val="21"/>
              </w:rPr>
              <w:t>指</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sz w:val="21"/>
                <w:szCs w:val="21"/>
              </w:rPr>
            </w:pPr>
            <w:r>
              <w:rPr>
                <w:rFonts w:hint="eastAsia"/>
                <w:sz w:val="21"/>
                <w:szCs w:val="21"/>
              </w:rPr>
              <w:t>标</w:t>
            </w:r>
          </w:p>
        </w:tc>
        <w:tc>
          <w:tcPr>
            <w:tcW w:w="8313" w:type="dxa"/>
            <w:tcBorders>
              <w:top w:val="single" w:color="auto" w:sz="8" w:space="0"/>
              <w:left w:val="single" w:color="auto" w:sz="4" w:space="0"/>
              <w:bottom w:val="single" w:color="auto" w:sz="8" w:space="0"/>
            </w:tcBorders>
          </w:tcPr>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sz w:val="24"/>
                <w:szCs w:val="24"/>
              </w:rPr>
            </w:pP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lang w:val="en-US" w:eastAsia="zh-CN"/>
              </w:rPr>
              <w:t xml:space="preserve">    </w:t>
            </w:r>
            <w:r>
              <w:rPr>
                <w:rFonts w:hint="eastAsia"/>
                <w:sz w:val="24"/>
                <w:szCs w:val="24"/>
                <w:lang w:val="en-US" w:eastAsia="zh-CN"/>
              </w:rPr>
              <w:t xml:space="preserve">根据新乡市生态环境局关于转发《河南省生态环境厅关于引印发建设项目 </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lang w:val="en-US" w:eastAsia="zh-CN"/>
              </w:rPr>
              <w:t xml:space="preserve">主要污染物排放总量指标管理工作内部规程的通知》的通知和《新乡市建设项 </w:t>
            </w:r>
          </w:p>
          <w:p>
            <w:pPr>
              <w:keepNext w:val="0"/>
              <w:keepLines w:val="0"/>
              <w:pageBreakBefore w:val="0"/>
              <w:numPr>
                <w:ilvl w:val="0"/>
                <w:numId w:val="0"/>
              </w:numPr>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sz w:val="24"/>
                <w:szCs w:val="24"/>
                <w:lang w:val="en-US" w:eastAsia="zh-CN"/>
              </w:rPr>
              <w:t>目新增总量指标替代管理指导意见（试行）》的要求，污染物排放量实施区域 内双倍替代。新乡市鑫瑞新型建材有限公司年生产60万立方米商品混凝土项目属于新建项目，新增废气污染物排放量为颗粒物0.3703t/a。颗粒物来自河南省新乡天泰水泥有限公司无组织排放治理产生的减排量剩余量2.92208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sz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pP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p>
          <w:p>
            <w:pPr>
              <w:spacing w:line="440" w:lineRule="exact"/>
              <w:ind w:firstLine="480" w:firstLineChars="200"/>
              <w:rPr>
                <w:rFonts w:hint="eastAsia"/>
                <w:lang w:eastAsia="zh-CN"/>
              </w:rPr>
            </w:pP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r>
              <w:rPr>
                <w:rFonts w:hint="eastAsia"/>
                <w:sz w:val="24"/>
              </w:rPr>
              <w:br w:type="textWrapping"/>
            </w:r>
          </w:p>
        </w:tc>
      </w:tr>
    </w:tbl>
    <w:p>
      <w:pPr>
        <w:jc w:val="left"/>
        <w:rPr>
          <w:b/>
          <w:color w:val="00000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adjustRightInd w:val="0"/>
        <w:snapToGrid w:val="0"/>
        <w:jc w:val="left"/>
        <w:rPr>
          <w:b/>
          <w:color w:val="000000"/>
        </w:rPr>
      </w:pPr>
      <w:r>
        <w:rPr>
          <w:rFonts w:hint="eastAsia"/>
          <w:b/>
          <w:color w:val="000000"/>
        </w:rPr>
        <w:t xml:space="preserve">                四、主要环境影响和保护措施</w:t>
      </w:r>
    </w:p>
    <w:tbl>
      <w:tblPr>
        <w:tblStyle w:val="2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534" w:type="dxa"/>
            <w:tcBorders>
              <w:top w:val="single" w:color="auto" w:sz="8" w:space="0"/>
              <w:left w:val="single" w:color="auto" w:sz="8" w:space="0"/>
              <w:bottom w:val="single" w:color="auto" w:sz="4" w:space="0"/>
              <w:right w:val="single" w:color="auto" w:sz="4" w:space="0"/>
            </w:tcBorders>
          </w:tcPr>
          <w:p>
            <w:pPr>
              <w:adjustRightInd w:val="0"/>
              <w:snapToGrid w:val="0"/>
              <w:jc w:val="center"/>
              <w:rPr>
                <w:color w:val="000000"/>
                <w:sz w:val="21"/>
                <w:szCs w:val="21"/>
              </w:rPr>
            </w:pPr>
            <w:r>
              <w:rPr>
                <w:rFonts w:hint="eastAsia"/>
                <w:color w:val="000000"/>
                <w:sz w:val="21"/>
                <w:szCs w:val="21"/>
              </w:rPr>
              <w:t>施工期环境保护措施</w:t>
            </w:r>
          </w:p>
        </w:tc>
        <w:tc>
          <w:tcPr>
            <w:tcW w:w="9072" w:type="dxa"/>
            <w:tcBorders>
              <w:top w:val="single" w:color="auto" w:sz="8" w:space="0"/>
              <w:left w:val="single" w:color="auto" w:sz="4" w:space="0"/>
              <w:bottom w:val="single" w:color="auto" w:sz="4" w:space="0"/>
              <w:right w:val="single" w:color="auto" w:sz="8" w:space="0"/>
            </w:tcBorders>
          </w:tcPr>
          <w:p>
            <w:pPr>
              <w:adjustRightInd w:val="0"/>
              <w:snapToGrid w:val="0"/>
              <w:spacing w:line="440" w:lineRule="exact"/>
              <w:ind w:firstLine="470" w:firstLineChars="196"/>
              <w:textAlignment w:val="baseline"/>
              <w:rPr>
                <w:rFonts w:hint="eastAsia" w:eastAsia="宋体"/>
                <w:color w:val="000000"/>
                <w:sz w:val="24"/>
                <w:szCs w:val="24"/>
                <w:lang w:eastAsia="zh-CN"/>
              </w:rPr>
            </w:pPr>
          </w:p>
          <w:p>
            <w:pPr>
              <w:adjustRightInd w:val="0"/>
              <w:snapToGrid w:val="0"/>
              <w:spacing w:line="440" w:lineRule="exact"/>
              <w:ind w:firstLine="480" w:firstLineChars="200"/>
              <w:textAlignment w:val="baseline"/>
              <w:rPr>
                <w:sz w:val="24"/>
              </w:rPr>
            </w:pPr>
            <w:r>
              <w:rPr>
                <w:rFonts w:hint="eastAsia"/>
                <w:color w:val="000000"/>
                <w:sz w:val="24"/>
                <w:szCs w:val="24"/>
              </w:rPr>
              <w:t>本项目租赁</w:t>
            </w:r>
            <w:r>
              <w:rPr>
                <w:rFonts w:hint="eastAsia"/>
                <w:color w:val="000000"/>
                <w:sz w:val="24"/>
                <w:szCs w:val="24"/>
                <w:lang w:val="en-US" w:eastAsia="zh-CN"/>
              </w:rPr>
              <w:t>已建成</w:t>
            </w:r>
            <w:r>
              <w:rPr>
                <w:rFonts w:hint="eastAsia"/>
                <w:color w:val="000000"/>
                <w:sz w:val="24"/>
                <w:szCs w:val="24"/>
              </w:rPr>
              <w:t>厂房</w:t>
            </w:r>
            <w:r>
              <w:rPr>
                <w:rFonts w:hint="eastAsia"/>
                <w:color w:val="000000"/>
                <w:sz w:val="24"/>
                <w:szCs w:val="24"/>
                <w:lang w:val="en-US" w:eastAsia="zh-CN"/>
              </w:rPr>
              <w:t>及</w:t>
            </w:r>
            <w:r>
              <w:rPr>
                <w:rFonts w:hint="eastAsia"/>
                <w:color w:val="000000"/>
                <w:sz w:val="24"/>
                <w:szCs w:val="24"/>
              </w:rPr>
              <w:t>办公用房</w:t>
            </w:r>
            <w:r>
              <w:rPr>
                <w:rFonts w:hint="eastAsia"/>
                <w:sz w:val="24"/>
              </w:rPr>
              <w:t>，</w:t>
            </w:r>
            <w:r>
              <w:rPr>
                <w:rFonts w:hint="eastAsia"/>
                <w:sz w:val="24"/>
                <w:lang w:val="en-US" w:eastAsia="zh-CN"/>
              </w:rPr>
              <w:t>无需进行施工，因此</w:t>
            </w:r>
            <w:r>
              <w:rPr>
                <w:rFonts w:hint="eastAsia"/>
                <w:sz w:val="24"/>
              </w:rPr>
              <w:t>不再对施工期的环境影响进行分析。</w:t>
            </w:r>
          </w:p>
          <w:p>
            <w:pPr>
              <w:adjustRightInd w:val="0"/>
              <w:snapToGrid w:val="0"/>
              <w:spacing w:line="440" w:lineRule="exact"/>
              <w:ind w:firstLine="480" w:firstLineChars="200"/>
              <w:jc w:val="left"/>
              <w:rPr>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534" w:type="dxa"/>
            <w:tcBorders>
              <w:top w:val="single" w:color="auto" w:sz="8" w:space="0"/>
              <w:left w:val="single" w:color="auto" w:sz="8" w:space="0"/>
              <w:bottom w:val="single" w:color="auto" w:sz="4" w:space="0"/>
              <w:right w:val="single" w:color="auto" w:sz="4" w:space="0"/>
            </w:tcBorders>
          </w:tcPr>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r>
              <w:rPr>
                <w:rFonts w:hint="eastAsia"/>
                <w:color w:val="000000"/>
                <w:sz w:val="21"/>
                <w:szCs w:val="21"/>
              </w:rPr>
              <w:t>营</w:t>
            </w:r>
          </w:p>
          <w:p>
            <w:pPr>
              <w:adjustRightInd w:val="0"/>
              <w:snapToGrid w:val="0"/>
              <w:jc w:val="center"/>
              <w:rPr>
                <w:color w:val="000000"/>
                <w:sz w:val="21"/>
                <w:szCs w:val="21"/>
              </w:rPr>
            </w:pPr>
            <w:r>
              <w:rPr>
                <w:rFonts w:hint="eastAsia"/>
                <w:color w:val="000000"/>
                <w:sz w:val="21"/>
                <w:szCs w:val="21"/>
              </w:rPr>
              <w:t>运</w:t>
            </w:r>
          </w:p>
          <w:p>
            <w:pPr>
              <w:adjustRightInd w:val="0"/>
              <w:snapToGrid w:val="0"/>
              <w:jc w:val="center"/>
              <w:rPr>
                <w:color w:val="000000"/>
                <w:sz w:val="21"/>
                <w:szCs w:val="21"/>
              </w:rPr>
            </w:pPr>
            <w:r>
              <w:rPr>
                <w:rFonts w:hint="eastAsia"/>
                <w:color w:val="000000"/>
                <w:sz w:val="21"/>
                <w:szCs w:val="21"/>
              </w:rPr>
              <w:t>期</w:t>
            </w:r>
          </w:p>
          <w:p>
            <w:pPr>
              <w:adjustRightInd w:val="0"/>
              <w:snapToGrid w:val="0"/>
              <w:jc w:val="center"/>
              <w:rPr>
                <w:color w:val="000000"/>
                <w:sz w:val="21"/>
                <w:szCs w:val="21"/>
              </w:rPr>
            </w:pPr>
            <w:r>
              <w:rPr>
                <w:rFonts w:hint="eastAsia"/>
                <w:color w:val="000000"/>
                <w:sz w:val="21"/>
                <w:szCs w:val="21"/>
              </w:rPr>
              <w:t>环</w:t>
            </w:r>
          </w:p>
          <w:p>
            <w:pPr>
              <w:adjustRightInd w:val="0"/>
              <w:snapToGrid w:val="0"/>
              <w:jc w:val="center"/>
              <w:rPr>
                <w:color w:val="000000"/>
                <w:sz w:val="21"/>
                <w:szCs w:val="21"/>
              </w:rPr>
            </w:pPr>
            <w:r>
              <w:rPr>
                <w:rFonts w:hint="eastAsia"/>
                <w:color w:val="000000"/>
                <w:sz w:val="21"/>
                <w:szCs w:val="21"/>
              </w:rPr>
              <w:t>境</w:t>
            </w:r>
          </w:p>
          <w:p>
            <w:pPr>
              <w:adjustRightInd w:val="0"/>
              <w:snapToGrid w:val="0"/>
              <w:jc w:val="center"/>
              <w:rPr>
                <w:color w:val="000000"/>
                <w:sz w:val="21"/>
                <w:szCs w:val="21"/>
              </w:rPr>
            </w:pPr>
            <w:r>
              <w:rPr>
                <w:rFonts w:hint="eastAsia"/>
                <w:color w:val="000000"/>
                <w:sz w:val="21"/>
                <w:szCs w:val="21"/>
              </w:rPr>
              <w:t>影</w:t>
            </w:r>
          </w:p>
          <w:p>
            <w:pPr>
              <w:adjustRightInd w:val="0"/>
              <w:snapToGrid w:val="0"/>
              <w:jc w:val="center"/>
              <w:rPr>
                <w:color w:val="000000"/>
                <w:sz w:val="21"/>
                <w:szCs w:val="21"/>
              </w:rPr>
            </w:pPr>
            <w:r>
              <w:rPr>
                <w:rFonts w:hint="eastAsia"/>
                <w:color w:val="000000"/>
                <w:sz w:val="21"/>
                <w:szCs w:val="21"/>
              </w:rPr>
              <w:t>响</w:t>
            </w:r>
          </w:p>
          <w:p>
            <w:pPr>
              <w:adjustRightInd w:val="0"/>
              <w:snapToGrid w:val="0"/>
              <w:jc w:val="center"/>
              <w:rPr>
                <w:color w:val="000000"/>
                <w:sz w:val="21"/>
                <w:szCs w:val="21"/>
              </w:rPr>
            </w:pPr>
            <w:r>
              <w:rPr>
                <w:rFonts w:hint="eastAsia"/>
                <w:color w:val="000000"/>
                <w:sz w:val="21"/>
                <w:szCs w:val="21"/>
              </w:rPr>
              <w:t>和</w:t>
            </w:r>
          </w:p>
          <w:p>
            <w:pPr>
              <w:adjustRightInd w:val="0"/>
              <w:snapToGrid w:val="0"/>
              <w:jc w:val="center"/>
              <w:rPr>
                <w:color w:val="000000"/>
                <w:sz w:val="21"/>
                <w:szCs w:val="21"/>
              </w:rPr>
            </w:pPr>
            <w:r>
              <w:rPr>
                <w:rFonts w:hint="eastAsia"/>
                <w:color w:val="000000"/>
                <w:sz w:val="21"/>
                <w:szCs w:val="21"/>
              </w:rPr>
              <w:t>保</w:t>
            </w:r>
          </w:p>
          <w:p>
            <w:pPr>
              <w:adjustRightInd w:val="0"/>
              <w:snapToGrid w:val="0"/>
              <w:jc w:val="center"/>
              <w:rPr>
                <w:color w:val="000000"/>
                <w:sz w:val="21"/>
                <w:szCs w:val="21"/>
              </w:rPr>
            </w:pPr>
            <w:r>
              <w:rPr>
                <w:rFonts w:hint="eastAsia"/>
                <w:color w:val="000000"/>
                <w:sz w:val="21"/>
                <w:szCs w:val="21"/>
              </w:rPr>
              <w:t>护</w:t>
            </w:r>
          </w:p>
          <w:p>
            <w:pPr>
              <w:adjustRightInd w:val="0"/>
              <w:snapToGrid w:val="0"/>
              <w:jc w:val="center"/>
              <w:rPr>
                <w:color w:val="000000"/>
                <w:sz w:val="21"/>
                <w:szCs w:val="21"/>
              </w:rPr>
            </w:pPr>
            <w:r>
              <w:rPr>
                <w:rFonts w:hint="eastAsia"/>
                <w:color w:val="000000"/>
                <w:sz w:val="21"/>
                <w:szCs w:val="21"/>
              </w:rPr>
              <w:t>措</w:t>
            </w:r>
          </w:p>
          <w:p>
            <w:pPr>
              <w:adjustRightInd w:val="0"/>
              <w:snapToGrid w:val="0"/>
              <w:jc w:val="center"/>
              <w:rPr>
                <w:color w:val="000000"/>
                <w:sz w:val="21"/>
                <w:szCs w:val="21"/>
              </w:rPr>
            </w:pPr>
            <w:r>
              <w:rPr>
                <w:rFonts w:hint="eastAsia"/>
                <w:color w:val="000000"/>
                <w:sz w:val="21"/>
                <w:szCs w:val="21"/>
              </w:rPr>
              <w:t>施</w:t>
            </w:r>
          </w:p>
        </w:tc>
        <w:tc>
          <w:tcPr>
            <w:tcW w:w="9072" w:type="dxa"/>
            <w:tcBorders>
              <w:top w:val="single" w:color="auto" w:sz="8" w:space="0"/>
              <w:left w:val="single" w:color="auto" w:sz="4" w:space="0"/>
              <w:bottom w:val="single" w:color="auto" w:sz="4" w:space="0"/>
              <w:right w:val="single" w:color="auto" w:sz="8" w:space="0"/>
            </w:tcBorders>
          </w:tcPr>
          <w:p>
            <w:pPr>
              <w:spacing w:line="440" w:lineRule="exact"/>
              <w:ind w:firstLine="480" w:firstLineChars="200"/>
              <w:textAlignment w:val="baseline"/>
              <w:rPr>
                <w:sz w:val="24"/>
              </w:rPr>
            </w:pPr>
            <w:r>
              <w:rPr>
                <w:rFonts w:hint="eastAsia"/>
                <w:sz w:val="24"/>
              </w:rPr>
              <w:t>本项目</w:t>
            </w:r>
            <w:r>
              <w:rPr>
                <w:rFonts w:hint="eastAsia"/>
                <w:sz w:val="24"/>
                <w:lang w:val="en-US" w:eastAsia="zh-CN"/>
              </w:rPr>
              <w:t>生产过程</w:t>
            </w:r>
            <w:r>
              <w:rPr>
                <w:rFonts w:hint="eastAsia"/>
                <w:sz w:val="24"/>
              </w:rPr>
              <w:t>对环境的影响主要是生产过程中产生的废气、废水、设备噪声及固体废弃物。项目营运过程中对环境的影响分析如下：</w:t>
            </w:r>
          </w:p>
          <w:p>
            <w:pPr>
              <w:spacing w:line="440" w:lineRule="exact"/>
              <w:ind w:firstLine="482" w:firstLineChars="200"/>
              <w:rPr>
                <w:b/>
                <w:color w:val="000000"/>
                <w:sz w:val="24"/>
              </w:rPr>
            </w:pPr>
            <w:r>
              <w:rPr>
                <w:rFonts w:hint="eastAsia"/>
                <w:b/>
                <w:color w:val="000000"/>
                <w:sz w:val="24"/>
              </w:rPr>
              <w:t>一、废气</w:t>
            </w:r>
          </w:p>
          <w:p>
            <w:pPr>
              <w:spacing w:line="460" w:lineRule="exact"/>
              <w:ind w:firstLine="240" w:firstLineChars="100"/>
              <w:rPr>
                <w:rFonts w:hint="eastAsia" w:eastAsia="宋体"/>
                <w:bCs/>
                <w:sz w:val="24"/>
                <w:lang w:eastAsia="zh-CN"/>
              </w:rPr>
            </w:pPr>
            <w:r>
              <w:rPr>
                <w:rFonts w:hint="eastAsia"/>
                <w:bCs/>
                <w:sz w:val="24"/>
              </w:rPr>
              <w:t>1、有组织排放分析</w:t>
            </w:r>
          </w:p>
          <w:p>
            <w:pPr>
              <w:autoSpaceDE w:val="0"/>
              <w:autoSpaceDN w:val="0"/>
              <w:adjustRightInd w:val="0"/>
              <w:spacing w:line="520" w:lineRule="exact"/>
              <w:ind w:firstLine="482" w:firstLineChars="200"/>
              <w:rPr>
                <w:rFonts w:hint="eastAsia" w:eastAsia="宋体"/>
                <w:color w:val="000000" w:themeColor="text1"/>
                <w:kern w:val="0"/>
                <w:sz w:val="24"/>
                <w:lang w:val="en-US" w:eastAsia="zh-CN"/>
                <w14:textFill>
                  <w14:solidFill>
                    <w14:schemeClr w14:val="tx1"/>
                  </w14:solidFill>
                </w14:textFill>
              </w:rPr>
            </w:pPr>
            <w:r>
              <w:rPr>
                <w:rFonts w:hint="eastAsia"/>
                <w:b/>
                <w:bCs/>
                <w:sz w:val="24"/>
              </w:rPr>
              <w:t>（</w:t>
            </w:r>
            <w:r>
              <w:rPr>
                <w:rFonts w:hint="eastAsia"/>
                <w:b/>
                <w:bCs/>
                <w:sz w:val="24"/>
                <w:lang w:val="en-US" w:eastAsia="zh-CN"/>
              </w:rPr>
              <w:t>1</w:t>
            </w:r>
            <w:r>
              <w:rPr>
                <w:rFonts w:hint="eastAsia"/>
                <w:b/>
                <w:bCs/>
                <w:sz w:val="24"/>
              </w:rPr>
              <w:t>）</w:t>
            </w:r>
            <w:r>
              <w:rPr>
                <w:rFonts w:hint="eastAsia"/>
                <w:color w:val="000000" w:themeColor="text1"/>
                <w:kern w:val="0"/>
                <w:sz w:val="24"/>
                <w:lang w:val="en-US" w:eastAsia="zh-CN"/>
                <w14:textFill>
                  <w14:solidFill>
                    <w14:schemeClr w14:val="tx1"/>
                  </w14:solidFill>
                </w14:textFill>
              </w:rPr>
              <w:t>粉料</w:t>
            </w:r>
            <w:r>
              <w:rPr>
                <w:color w:val="000000" w:themeColor="text1"/>
                <w:kern w:val="0"/>
                <w:sz w:val="24"/>
                <w14:textFill>
                  <w14:solidFill>
                    <w14:schemeClr w14:val="tx1"/>
                  </w14:solidFill>
                </w14:textFill>
              </w:rPr>
              <w:t>筒仓呼吸</w:t>
            </w:r>
            <w:r>
              <w:rPr>
                <w:rFonts w:hint="eastAsia"/>
                <w:color w:val="000000" w:themeColor="text1"/>
                <w:kern w:val="0"/>
                <w:sz w:val="24"/>
                <w:lang w:val="en-US" w:eastAsia="zh-CN"/>
                <w14:textFill>
                  <w14:solidFill>
                    <w14:schemeClr w14:val="tx1"/>
                  </w14:solidFill>
                </w14:textFill>
              </w:rPr>
              <w:t>废气</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baseline"/>
              <w:rPr>
                <w:sz w:val="24"/>
              </w:rPr>
            </w:pPr>
            <w:r>
              <w:rPr>
                <w:color w:val="000000" w:themeColor="text1"/>
                <w:kern w:val="0"/>
                <w:sz w:val="24"/>
                <w14:textFill>
                  <w14:solidFill>
                    <w14:schemeClr w14:val="tx1"/>
                  </w14:solidFill>
                </w14:textFill>
              </w:rPr>
              <w:t>本项目</w:t>
            </w:r>
            <w:r>
              <w:rPr>
                <w:rFonts w:hint="eastAsia"/>
                <w:color w:val="000000" w:themeColor="text1"/>
                <w:kern w:val="0"/>
                <w:sz w:val="24"/>
                <w:lang w:val="en-US" w:eastAsia="zh-CN"/>
                <w14:textFill>
                  <w14:solidFill>
                    <w14:schemeClr w14:val="tx1"/>
                  </w14:solidFill>
                </w14:textFill>
              </w:rPr>
              <w:t>粉料（</w:t>
            </w:r>
            <w:r>
              <w:rPr>
                <w:color w:val="000000" w:themeColor="text1"/>
                <w:kern w:val="0"/>
                <w:sz w:val="24"/>
                <w14:textFill>
                  <w14:solidFill>
                    <w14:schemeClr w14:val="tx1"/>
                  </w14:solidFill>
                </w14:textFill>
              </w:rPr>
              <w:t>水泥、粉煤灰、</w:t>
            </w:r>
            <w:r>
              <w:rPr>
                <w:rFonts w:hint="eastAsia"/>
                <w:color w:val="000000" w:themeColor="text1"/>
                <w:kern w:val="0"/>
                <w:sz w:val="24"/>
                <w:lang w:val="en-US" w:eastAsia="zh-CN"/>
                <w14:textFill>
                  <w14:solidFill>
                    <w14:schemeClr w14:val="tx1"/>
                  </w14:solidFill>
                </w14:textFill>
              </w:rPr>
              <w:t>矿粉）</w:t>
            </w:r>
            <w:r>
              <w:rPr>
                <w:color w:val="000000" w:themeColor="text1"/>
                <w:kern w:val="0"/>
                <w:sz w:val="24"/>
                <w14:textFill>
                  <w14:solidFill>
                    <w14:schemeClr w14:val="tx1"/>
                  </w14:solidFill>
                </w14:textFill>
              </w:rPr>
              <w:t>运输罐车利用自带空气泵将物料</w:t>
            </w:r>
            <w:r>
              <w:rPr>
                <w:rFonts w:hint="eastAsia"/>
                <w:color w:val="000000" w:themeColor="text1"/>
                <w:kern w:val="0"/>
                <w:sz w:val="24"/>
                <w:lang w:val="en-US" w:eastAsia="zh-CN"/>
                <w14:textFill>
                  <w14:solidFill>
                    <w14:schemeClr w14:val="tx1"/>
                  </w14:solidFill>
                </w14:textFill>
              </w:rPr>
              <w:t>送入</w:t>
            </w:r>
            <w:r>
              <w:rPr>
                <w:color w:val="000000" w:themeColor="text1"/>
                <w:kern w:val="0"/>
                <w:sz w:val="24"/>
                <w14:textFill>
                  <w14:solidFill>
                    <w14:schemeClr w14:val="tx1"/>
                  </w14:solidFill>
                </w14:textFill>
              </w:rPr>
              <w:t>筒仓</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筒仓呼吸口</w:t>
            </w:r>
            <w:r>
              <w:rPr>
                <w:color w:val="000000" w:themeColor="text1"/>
                <w:kern w:val="0"/>
                <w:sz w:val="24"/>
                <w14:textFill>
                  <w14:solidFill>
                    <w14:schemeClr w14:val="tx1"/>
                  </w14:solidFill>
                </w14:textFill>
              </w:rPr>
              <w:t>会产生一部分粉尘</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根据《逸散性工业粉尘控制技术》表22-1贮仓排气过程产尘系数，确定筒仓顶部呼吸孔粉尘产生系数为0.12kg/t产品，水泥、粉煤灰、</w:t>
            </w:r>
            <w:r>
              <w:rPr>
                <w:rFonts w:hint="eastAsia"/>
                <w:color w:val="000000" w:themeColor="text1"/>
                <w:kern w:val="0"/>
                <w:sz w:val="24"/>
                <w:lang w:val="en-US" w:eastAsia="zh-CN"/>
                <w14:textFill>
                  <w14:solidFill>
                    <w14:schemeClr w14:val="tx1"/>
                  </w14:solidFill>
                </w14:textFill>
              </w:rPr>
              <w:t>矿粉</w:t>
            </w:r>
            <w:r>
              <w:rPr>
                <w:color w:val="000000" w:themeColor="text1"/>
                <w:kern w:val="0"/>
                <w:sz w:val="24"/>
                <w14:textFill>
                  <w14:solidFill>
                    <w14:schemeClr w14:val="tx1"/>
                  </w14:solidFill>
                </w14:textFill>
              </w:rPr>
              <w:t>在筒仓内的储存量</w:t>
            </w:r>
            <w:r>
              <w:rPr>
                <w:rFonts w:hint="eastAsia"/>
                <w:color w:val="000000" w:themeColor="text1"/>
                <w:kern w:val="0"/>
                <w:sz w:val="24"/>
                <w:lang w:val="en-US" w:eastAsia="zh-CN"/>
                <w14:textFill>
                  <w14:solidFill>
                    <w14:schemeClr w14:val="tx1"/>
                  </w14:solidFill>
                </w14:textFill>
              </w:rPr>
              <w:t>共计28</w:t>
            </w:r>
            <w:r>
              <w:rPr>
                <w:color w:val="000000" w:themeColor="text1"/>
                <w:kern w:val="0"/>
                <w:sz w:val="24"/>
                <w14:textFill>
                  <w14:solidFill>
                    <w14:schemeClr w14:val="tx1"/>
                  </w14:solidFill>
                </w14:textFill>
              </w:rPr>
              <w:t>万t/a，则粉尘产生量为</w:t>
            </w:r>
            <w:r>
              <w:rPr>
                <w:rFonts w:hint="eastAsia"/>
                <w:color w:val="000000" w:themeColor="text1"/>
                <w:kern w:val="0"/>
                <w:sz w:val="24"/>
                <w:lang w:val="en-US" w:eastAsia="zh-CN"/>
                <w14:textFill>
                  <w14:solidFill>
                    <w14:schemeClr w14:val="tx1"/>
                  </w14:solidFill>
                </w14:textFill>
              </w:rPr>
              <w:t>33.6</w:t>
            </w:r>
            <w:r>
              <w:rPr>
                <w:color w:val="000000" w:themeColor="text1"/>
                <w:kern w:val="0"/>
                <w:sz w:val="24"/>
                <w14:textFill>
                  <w14:solidFill>
                    <w14:schemeClr w14:val="tx1"/>
                  </w14:solidFill>
                </w14:textFill>
              </w:rPr>
              <w:t>t/a。</w:t>
            </w:r>
            <w:r>
              <w:rPr>
                <w:rFonts w:hint="eastAsia"/>
                <w:color w:val="000000" w:themeColor="text1"/>
                <w:kern w:val="0"/>
                <w:sz w:val="24"/>
                <w:lang w:val="en-US" w:eastAsia="zh-CN"/>
                <w14:textFill>
                  <w14:solidFill>
                    <w14:schemeClr w14:val="tx1"/>
                  </w14:solidFill>
                </w14:textFill>
              </w:rPr>
              <w:t>项目设粉料筒仓8座，</w:t>
            </w:r>
            <w:r>
              <w:rPr>
                <w:rFonts w:hint="eastAsia"/>
                <w:sz w:val="24"/>
              </w:rPr>
              <w:t>水泥、粉煤灰</w:t>
            </w:r>
            <w:r>
              <w:rPr>
                <w:rFonts w:hint="eastAsia"/>
                <w:sz w:val="24"/>
                <w:lang w:val="en-US" w:eastAsia="zh-CN"/>
              </w:rPr>
              <w:t>及矿粉由</w:t>
            </w:r>
            <w:r>
              <w:rPr>
                <w:rFonts w:hint="eastAsia"/>
                <w:sz w:val="24"/>
              </w:rPr>
              <w:t>密闭罐车运输至厂内由气泵打入筒仓储存，进料时筒仓</w:t>
            </w:r>
            <w:r>
              <w:rPr>
                <w:rFonts w:hint="eastAsia"/>
                <w:sz w:val="24"/>
                <w:lang w:val="en-US" w:eastAsia="zh-CN"/>
              </w:rPr>
              <w:t>呼吸</w:t>
            </w:r>
            <w:r>
              <w:rPr>
                <w:rFonts w:hint="eastAsia"/>
                <w:sz w:val="24"/>
              </w:rPr>
              <w:t>口会产生废气，筒仓仓</w:t>
            </w:r>
            <w:r>
              <w:rPr>
                <w:sz w:val="24"/>
              </w:rPr>
              <w:t>顶</w:t>
            </w:r>
            <w:r>
              <w:rPr>
                <w:rFonts w:hint="eastAsia"/>
                <w:sz w:val="24"/>
              </w:rPr>
              <w:t>自带</w:t>
            </w:r>
            <w:r>
              <w:rPr>
                <w:sz w:val="24"/>
              </w:rPr>
              <w:t>袋式除尘器，</w:t>
            </w:r>
            <w:r>
              <w:rPr>
                <w:rFonts w:hint="eastAsia"/>
                <w:sz w:val="24"/>
              </w:rPr>
              <w:t>各筒仓粉尘经自带除尘器</w:t>
            </w:r>
            <w:r>
              <w:rPr>
                <w:rFonts w:hint="eastAsia"/>
                <w:sz w:val="24"/>
                <w:lang w:eastAsia="zh-CN"/>
              </w:rPr>
              <w:t>（</w:t>
            </w:r>
            <w:r>
              <w:rPr>
                <w:rFonts w:hint="eastAsia"/>
                <w:sz w:val="24"/>
                <w:lang w:val="en-US" w:eastAsia="zh-CN"/>
              </w:rPr>
              <w:t>TA001-TA008</w:t>
            </w:r>
            <w:r>
              <w:rPr>
                <w:rFonts w:hint="eastAsia"/>
                <w:sz w:val="24"/>
                <w:lang w:eastAsia="zh-CN"/>
              </w:rPr>
              <w:t>）</w:t>
            </w:r>
            <w:r>
              <w:rPr>
                <w:rFonts w:hint="eastAsia"/>
                <w:sz w:val="24"/>
              </w:rPr>
              <w:t>处理后（处理效率</w:t>
            </w:r>
            <w:r>
              <w:rPr>
                <w:rFonts w:hint="eastAsia"/>
                <w:sz w:val="24"/>
                <w:lang w:val="en-US" w:eastAsia="zh-CN"/>
              </w:rPr>
              <w:t>90</w:t>
            </w:r>
            <w:r>
              <w:rPr>
                <w:rFonts w:hint="eastAsia"/>
                <w:sz w:val="24"/>
              </w:rPr>
              <w:t>％）共同通入1台</w:t>
            </w:r>
            <w:r>
              <w:rPr>
                <w:rFonts w:hint="eastAsia"/>
                <w:sz w:val="24"/>
                <w:lang w:val="en-US" w:eastAsia="zh-CN"/>
              </w:rPr>
              <w:t>脉冲</w:t>
            </w:r>
            <w:r>
              <w:rPr>
                <w:rFonts w:hint="eastAsia"/>
                <w:sz w:val="24"/>
              </w:rPr>
              <w:t>袋式除尘器</w:t>
            </w:r>
            <w:r>
              <w:rPr>
                <w:rFonts w:hint="eastAsia"/>
                <w:sz w:val="24"/>
                <w:lang w:eastAsia="zh-CN"/>
              </w:rPr>
              <w:t>（</w:t>
            </w:r>
            <w:r>
              <w:rPr>
                <w:rFonts w:hint="eastAsia"/>
                <w:sz w:val="24"/>
                <w:lang w:val="en-US" w:eastAsia="zh-CN"/>
              </w:rPr>
              <w:t>TA009</w:t>
            </w:r>
            <w:r>
              <w:rPr>
                <w:rFonts w:hint="eastAsia"/>
                <w:sz w:val="24"/>
                <w:lang w:eastAsia="zh-CN"/>
              </w:rPr>
              <w:t>）</w:t>
            </w:r>
            <w:r>
              <w:rPr>
                <w:rFonts w:hint="eastAsia"/>
                <w:sz w:val="24"/>
              </w:rPr>
              <w:t>处理</w:t>
            </w:r>
            <w:r>
              <w:rPr>
                <w:rFonts w:hint="eastAsia"/>
                <w:sz w:val="24"/>
                <w:lang w:eastAsia="zh-CN"/>
              </w:rPr>
              <w:t>（</w:t>
            </w:r>
            <w:r>
              <w:rPr>
                <w:rFonts w:hint="eastAsia"/>
                <w:sz w:val="24"/>
                <w:lang w:val="en-US" w:eastAsia="zh-CN"/>
              </w:rPr>
              <w:t>处</w:t>
            </w:r>
            <w:r>
              <w:rPr>
                <w:rFonts w:hint="eastAsia"/>
                <w:sz w:val="24"/>
              </w:rPr>
              <w:t>理效率</w:t>
            </w:r>
            <w:r>
              <w:rPr>
                <w:rFonts w:hint="eastAsia"/>
                <w:sz w:val="24"/>
                <w:lang w:val="en-US" w:eastAsia="zh-CN"/>
              </w:rPr>
              <w:t>95</w:t>
            </w:r>
            <w:r>
              <w:rPr>
                <w:rFonts w:hint="eastAsia"/>
                <w:sz w:val="24"/>
              </w:rPr>
              <w:t>％），</w:t>
            </w:r>
            <w:r>
              <w:rPr>
                <w:rFonts w:hint="eastAsia"/>
                <w:sz w:val="24"/>
                <w:lang w:val="en-US" w:eastAsia="zh-CN"/>
              </w:rPr>
              <w:t>综合处理效率为99.5%，</w:t>
            </w:r>
            <w:r>
              <w:rPr>
                <w:rFonts w:hint="eastAsia"/>
                <w:sz w:val="24"/>
              </w:rPr>
              <w:t>处理后废气通过1根15m高排气筒排放（DA00</w:t>
            </w:r>
            <w:r>
              <w:rPr>
                <w:rFonts w:hint="eastAsia"/>
                <w:sz w:val="24"/>
                <w:lang w:val="en-US" w:eastAsia="zh-CN"/>
              </w:rPr>
              <w:t>1</w:t>
            </w:r>
            <w:r>
              <w:rPr>
                <w:rFonts w:hint="eastAsia"/>
                <w:sz w:val="24"/>
              </w:rPr>
              <w:t>）</w:t>
            </w:r>
            <w:r>
              <w:rPr>
                <w:sz w:val="24"/>
              </w:rPr>
              <w:t>。</w:t>
            </w:r>
            <w:r>
              <w:rPr>
                <w:rFonts w:hint="eastAsia"/>
                <w:sz w:val="24"/>
              </w:rPr>
              <w:t>共用</w:t>
            </w:r>
            <w:r>
              <w:rPr>
                <w:rFonts w:hint="eastAsia"/>
                <w:sz w:val="24"/>
                <w:lang w:val="en-US" w:eastAsia="zh-CN"/>
              </w:rPr>
              <w:t>脉冲</w:t>
            </w:r>
            <w:r>
              <w:rPr>
                <w:rFonts w:hint="eastAsia"/>
                <w:sz w:val="24"/>
              </w:rPr>
              <w:t>袋式除尘器风机风量为</w:t>
            </w:r>
            <w:r>
              <w:rPr>
                <w:rFonts w:hint="eastAsia"/>
                <w:sz w:val="24"/>
                <w:lang w:val="en-US" w:eastAsia="zh-CN"/>
              </w:rPr>
              <w:t>12</w:t>
            </w:r>
            <w:r>
              <w:rPr>
                <w:rFonts w:hint="eastAsia"/>
                <w:sz w:val="24"/>
              </w:rPr>
              <w:t>000m</w:t>
            </w:r>
            <w:r>
              <w:rPr>
                <w:rFonts w:hint="eastAsia"/>
                <w:sz w:val="24"/>
                <w:vertAlign w:val="superscript"/>
              </w:rPr>
              <w:t>3</w:t>
            </w:r>
            <w:r>
              <w:rPr>
                <w:rFonts w:hint="eastAsia"/>
                <w:sz w:val="24"/>
              </w:rPr>
              <w:t>/h，该工序年工作时间为</w:t>
            </w:r>
            <w:r>
              <w:rPr>
                <w:rFonts w:hint="eastAsia"/>
                <w:sz w:val="24"/>
                <w:lang w:val="en-US" w:eastAsia="zh-CN"/>
              </w:rPr>
              <w:t>15</w:t>
            </w:r>
            <w:r>
              <w:rPr>
                <w:rFonts w:hint="eastAsia"/>
                <w:sz w:val="24"/>
              </w:rPr>
              <w:t>00h，则颗粒物产生量为</w:t>
            </w:r>
            <w:r>
              <w:rPr>
                <w:rFonts w:hint="eastAsia"/>
                <w:sz w:val="24"/>
                <w:lang w:val="en-US" w:eastAsia="zh-CN"/>
              </w:rPr>
              <w:t>33.6t/a、</w:t>
            </w:r>
            <w:r>
              <w:rPr>
                <w:rFonts w:hint="eastAsia"/>
                <w:sz w:val="24"/>
              </w:rPr>
              <w:t>产生速率为</w:t>
            </w:r>
            <w:r>
              <w:rPr>
                <w:rFonts w:hint="eastAsia"/>
                <w:sz w:val="24"/>
                <w:lang w:val="en-US" w:eastAsia="zh-CN"/>
              </w:rPr>
              <w:t>22.4</w:t>
            </w:r>
            <w:r>
              <w:rPr>
                <w:rFonts w:hint="eastAsia"/>
                <w:sz w:val="24"/>
              </w:rPr>
              <w:t>kg/h；合并后排放量为</w:t>
            </w:r>
            <w:r>
              <w:rPr>
                <w:rFonts w:hint="eastAsia"/>
                <w:sz w:val="24"/>
                <w:lang w:val="en-US" w:eastAsia="zh-CN"/>
              </w:rPr>
              <w:t>0.168</w:t>
            </w:r>
            <w:r>
              <w:rPr>
                <w:rFonts w:hint="eastAsia"/>
                <w:sz w:val="24"/>
              </w:rPr>
              <w:t>t/a，排放速率为</w:t>
            </w:r>
            <w:r>
              <w:rPr>
                <w:rFonts w:hint="eastAsia"/>
                <w:sz w:val="24"/>
                <w:lang w:val="en-US" w:eastAsia="zh-CN"/>
              </w:rPr>
              <w:t>0.112</w:t>
            </w:r>
            <w:r>
              <w:rPr>
                <w:rFonts w:hint="eastAsia"/>
                <w:sz w:val="24"/>
              </w:rPr>
              <w:t>kg/h，排放浓度为</w:t>
            </w:r>
            <w:r>
              <w:rPr>
                <w:rFonts w:hint="eastAsia"/>
                <w:sz w:val="24"/>
                <w:lang w:val="en-US" w:eastAsia="zh-CN"/>
              </w:rPr>
              <w:t>9.3</w:t>
            </w:r>
            <w:r>
              <w:rPr>
                <w:rFonts w:hint="eastAsia"/>
                <w:sz w:val="24"/>
              </w:rPr>
              <w:t>mg/m</w:t>
            </w:r>
            <w:r>
              <w:rPr>
                <w:rFonts w:hint="eastAsia"/>
                <w:sz w:val="24"/>
                <w:vertAlign w:val="superscript"/>
              </w:rPr>
              <w:t>3</w:t>
            </w:r>
            <w:r>
              <w:rPr>
                <w:rFonts w:hint="eastAsia"/>
                <w:sz w:val="24"/>
              </w:rPr>
              <w:t>。</w:t>
            </w: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left"/>
              <w:textAlignment w:val="auto"/>
              <w:rPr>
                <w:rFonts w:eastAsia="黑体"/>
                <w:color w:val="000000" w:themeColor="text1"/>
                <w:sz w:val="24"/>
                <w:szCs w:val="24"/>
                <w14:textFill>
                  <w14:solidFill>
                    <w14:schemeClr w14:val="tx1"/>
                  </w14:solidFill>
                </w14:textFill>
              </w:rPr>
            </w:pPr>
            <w:r>
              <w:rPr>
                <w:rFonts w:hint="eastAsia" w:eastAsia="黑体"/>
                <w:color w:val="000000" w:themeColor="text1"/>
                <w:sz w:val="24"/>
                <w:szCs w:val="24"/>
                <w14:textFill>
                  <w14:solidFill>
                    <w14:schemeClr w14:val="tx1"/>
                  </w14:solidFill>
                </w14:textFill>
              </w:rPr>
              <w:t xml:space="preserve">   表</w:t>
            </w:r>
            <w:r>
              <w:rPr>
                <w:rFonts w:hint="eastAsia" w:eastAsia="黑体"/>
                <w:color w:val="000000" w:themeColor="text1"/>
                <w:sz w:val="24"/>
                <w:szCs w:val="24"/>
                <w:lang w:val="en-US" w:eastAsia="zh-CN"/>
                <w14:textFill>
                  <w14:solidFill>
                    <w14:schemeClr w14:val="tx1"/>
                  </w14:solidFill>
                </w14:textFill>
              </w:rPr>
              <w:t>4-2</w:t>
            </w:r>
            <w:r>
              <w:rPr>
                <w:rFonts w:hint="eastAsia" w:eastAsia="黑体"/>
                <w:color w:val="000000" w:themeColor="text1"/>
                <w:sz w:val="24"/>
                <w:szCs w:val="24"/>
                <w14:textFill>
                  <w14:solidFill>
                    <w14:schemeClr w14:val="tx1"/>
                  </w14:solidFill>
                </w14:textFill>
              </w:rPr>
              <w:t xml:space="preserve">             物料储存粉尘产排情况</w:t>
            </w:r>
          </w:p>
          <w:tbl>
            <w:tblPr>
              <w:tblStyle w:val="24"/>
              <w:tblW w:w="49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824"/>
              <w:gridCol w:w="891"/>
              <w:gridCol w:w="1001"/>
              <w:gridCol w:w="1103"/>
              <w:gridCol w:w="1182"/>
              <w:gridCol w:w="1217"/>
              <w:gridCol w:w="762"/>
              <w:gridCol w:w="92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70" w:type="dxa"/>
                  <w:vMerge w:val="restart"/>
                  <w:tcBorders>
                    <w:top w:val="single" w:color="auto" w:sz="8" w:space="0"/>
                    <w:left w:val="nil"/>
                    <w:bottom w:val="single" w:color="auto" w:sz="8" w:space="0"/>
                    <w:right w:val="single" w:color="auto" w:sz="4" w:space="0"/>
                  </w:tcBorders>
                  <w:vAlign w:val="center"/>
                </w:tcPr>
                <w:p>
                  <w:pPr>
                    <w:adjustRightInd w:val="0"/>
                    <w:snapToGrid w:val="0"/>
                    <w:jc w:val="center"/>
                    <w:rPr>
                      <w:rFonts w:hint="eastAsia" w:hAnsiTheme="minorEastAsia" w:eastAsiaTheme="minorEastAsia"/>
                      <w:b/>
                      <w:sz w:val="21"/>
                      <w:szCs w:val="21"/>
                      <w:lang w:val="en-US" w:eastAsia="zh-CN"/>
                    </w:rPr>
                  </w:pPr>
                  <w:r>
                    <w:rPr>
                      <w:rFonts w:hint="eastAsia" w:hAnsiTheme="minorEastAsia" w:eastAsiaTheme="minorEastAsia"/>
                      <w:b/>
                      <w:sz w:val="21"/>
                      <w:szCs w:val="21"/>
                      <w:lang w:val="en-US" w:eastAsia="zh-CN"/>
                    </w:rPr>
                    <w:t>污染源</w:t>
                  </w:r>
                </w:p>
                <w:p>
                  <w:pPr>
                    <w:adjustRightInd w:val="0"/>
                    <w:snapToGrid w:val="0"/>
                    <w:jc w:val="center"/>
                    <w:rPr>
                      <w:rFonts w:eastAsiaTheme="minorEastAsia"/>
                      <w:b/>
                      <w:sz w:val="21"/>
                      <w:szCs w:val="21"/>
                    </w:rPr>
                  </w:pPr>
                  <w:r>
                    <w:rPr>
                      <w:rFonts w:hint="eastAsia" w:hAnsiTheme="minorEastAsia" w:eastAsiaTheme="minorEastAsia"/>
                      <w:b/>
                      <w:sz w:val="21"/>
                      <w:szCs w:val="21"/>
                    </w:rPr>
                    <w:t>名称</w:t>
                  </w:r>
                </w:p>
              </w:tc>
              <w:tc>
                <w:tcPr>
                  <w:tcW w:w="824"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int="eastAsia" w:hAnsiTheme="minorEastAsia" w:eastAsiaTheme="minorEastAsia"/>
                      <w:b/>
                      <w:sz w:val="21"/>
                      <w:szCs w:val="21"/>
                    </w:rPr>
                    <w:t>数量</w:t>
                  </w:r>
                </w:p>
                <w:p>
                  <w:pPr>
                    <w:adjustRightInd w:val="0"/>
                    <w:snapToGrid w:val="0"/>
                    <w:jc w:val="center"/>
                    <w:rPr>
                      <w:rFonts w:eastAsiaTheme="minorEastAsia"/>
                      <w:b/>
                      <w:sz w:val="21"/>
                      <w:szCs w:val="21"/>
                    </w:rPr>
                  </w:pPr>
                  <w:r>
                    <w:rPr>
                      <w:rFonts w:hint="eastAsia" w:hAnsiTheme="minorEastAsia" w:eastAsiaTheme="minorEastAsia"/>
                      <w:b/>
                      <w:sz w:val="21"/>
                      <w:szCs w:val="21"/>
                    </w:rPr>
                    <w:t>（个）</w:t>
                  </w:r>
                </w:p>
              </w:tc>
              <w:tc>
                <w:tcPr>
                  <w:tcW w:w="891"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int="eastAsia" w:hAnsiTheme="minorEastAsia" w:eastAsiaTheme="minorEastAsia"/>
                      <w:b/>
                      <w:sz w:val="21"/>
                      <w:szCs w:val="21"/>
                    </w:rPr>
                    <w:t>风量</w:t>
                  </w:r>
                </w:p>
                <w:p>
                  <w:pPr>
                    <w:adjustRightInd w:val="0"/>
                    <w:snapToGrid w:val="0"/>
                    <w:jc w:val="center"/>
                    <w:rPr>
                      <w:rFonts w:ascii="Times New Roman" w:hAnsi="Times New Roman" w:cs="Times New Roman" w:eastAsiaTheme="minorEastAsia"/>
                      <w:b/>
                      <w:kern w:val="2"/>
                      <w:sz w:val="21"/>
                      <w:szCs w:val="21"/>
                      <w:lang w:val="en-US" w:eastAsia="zh-CN" w:bidi="ar-SA"/>
                    </w:rPr>
                  </w:pPr>
                  <w:r>
                    <w:rPr>
                      <w:rFonts w:eastAsiaTheme="minorEastAsia"/>
                      <w:b/>
                      <w:sz w:val="21"/>
                      <w:szCs w:val="21"/>
                    </w:rPr>
                    <w:t>(m</w:t>
                  </w:r>
                  <w:r>
                    <w:rPr>
                      <w:rFonts w:eastAsiaTheme="minorEastAsia"/>
                      <w:b/>
                      <w:sz w:val="21"/>
                      <w:szCs w:val="21"/>
                      <w:vertAlign w:val="superscript"/>
                    </w:rPr>
                    <w:t>3</w:t>
                  </w:r>
                  <w:r>
                    <w:rPr>
                      <w:rFonts w:eastAsiaTheme="minorEastAsia"/>
                      <w:b/>
                      <w:sz w:val="21"/>
                      <w:szCs w:val="21"/>
                    </w:rPr>
                    <w:t>/h)</w:t>
                  </w:r>
                </w:p>
              </w:tc>
              <w:tc>
                <w:tcPr>
                  <w:tcW w:w="2104" w:type="dxa"/>
                  <w:gridSpan w:val="2"/>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cs="Times New Roman" w:eastAsiaTheme="minorEastAsia"/>
                      <w:b/>
                      <w:kern w:val="2"/>
                      <w:sz w:val="21"/>
                      <w:szCs w:val="21"/>
                      <w:lang w:val="en-US" w:eastAsia="zh-CN" w:bidi="ar-SA"/>
                    </w:rPr>
                  </w:pPr>
                  <w:r>
                    <w:rPr>
                      <w:rFonts w:hint="eastAsia" w:hAnsiTheme="minorEastAsia" w:eastAsiaTheme="minorEastAsia"/>
                      <w:b/>
                      <w:sz w:val="21"/>
                      <w:szCs w:val="21"/>
                    </w:rPr>
                    <w:t>总产排情况</w:t>
                  </w:r>
                </w:p>
              </w:tc>
              <w:tc>
                <w:tcPr>
                  <w:tcW w:w="1182"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pacing w:val="-16"/>
                      <w:sz w:val="21"/>
                      <w:szCs w:val="21"/>
                    </w:rPr>
                  </w:pPr>
                  <w:r>
                    <w:rPr>
                      <w:rFonts w:hint="eastAsia" w:hAnsiTheme="minorEastAsia" w:eastAsiaTheme="minorEastAsia"/>
                      <w:b/>
                      <w:sz w:val="21"/>
                      <w:szCs w:val="21"/>
                    </w:rPr>
                    <w:t>产生浓度</w:t>
                  </w:r>
                  <w:r>
                    <w:rPr>
                      <w:rFonts w:hint="eastAsia" w:hAnsiTheme="minorEastAsia" w:eastAsiaTheme="minorEastAsia"/>
                      <w:b/>
                      <w:spacing w:val="-16"/>
                      <w:sz w:val="21"/>
                      <w:szCs w:val="21"/>
                    </w:rPr>
                    <w:t>（</w:t>
                  </w:r>
                  <w:r>
                    <w:rPr>
                      <w:rFonts w:eastAsiaTheme="minorEastAsia"/>
                      <w:b/>
                      <w:spacing w:val="-16"/>
                      <w:sz w:val="21"/>
                      <w:szCs w:val="21"/>
                    </w:rPr>
                    <w:t>mg/m</w:t>
                  </w:r>
                  <w:r>
                    <w:rPr>
                      <w:rFonts w:eastAsiaTheme="minorEastAsia"/>
                      <w:b/>
                      <w:spacing w:val="-16"/>
                      <w:sz w:val="21"/>
                      <w:szCs w:val="21"/>
                      <w:vertAlign w:val="superscript"/>
                    </w:rPr>
                    <w:t>3</w:t>
                  </w:r>
                  <w:r>
                    <w:rPr>
                      <w:rFonts w:hint="eastAsia" w:hAnsiTheme="minorEastAsia" w:eastAsiaTheme="minorEastAsia"/>
                      <w:b/>
                      <w:spacing w:val="-16"/>
                      <w:sz w:val="21"/>
                      <w:szCs w:val="21"/>
                    </w:rPr>
                    <w:t>）</w:t>
                  </w:r>
                </w:p>
              </w:tc>
              <w:tc>
                <w:tcPr>
                  <w:tcW w:w="1217"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int="eastAsia" w:hAnsiTheme="minorEastAsia" w:eastAsiaTheme="minorEastAsia"/>
                      <w:b/>
                      <w:sz w:val="21"/>
                      <w:szCs w:val="21"/>
                    </w:rPr>
                    <w:t>排放浓度</w:t>
                  </w:r>
                  <w:r>
                    <w:rPr>
                      <w:rFonts w:eastAsiaTheme="minorEastAsia"/>
                      <w:b/>
                      <w:sz w:val="21"/>
                      <w:szCs w:val="21"/>
                    </w:rPr>
                    <w:t>(mg/m</w:t>
                  </w:r>
                  <w:r>
                    <w:rPr>
                      <w:rFonts w:eastAsiaTheme="minorEastAsia"/>
                      <w:b/>
                      <w:sz w:val="21"/>
                      <w:szCs w:val="21"/>
                      <w:vertAlign w:val="superscript"/>
                    </w:rPr>
                    <w:t>3</w:t>
                  </w:r>
                  <w:r>
                    <w:rPr>
                      <w:rFonts w:eastAsiaTheme="minorEastAsia"/>
                      <w:b/>
                      <w:sz w:val="21"/>
                      <w:szCs w:val="21"/>
                    </w:rPr>
                    <w:t>)</w:t>
                  </w:r>
                </w:p>
              </w:tc>
              <w:tc>
                <w:tcPr>
                  <w:tcW w:w="762"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b/>
                      <w:sz w:val="21"/>
                      <w:szCs w:val="21"/>
                    </w:rPr>
                  </w:pPr>
                  <w:r>
                    <w:rPr>
                      <w:rFonts w:hint="eastAsia" w:hAnsiTheme="minorEastAsia" w:eastAsiaTheme="minorEastAsia"/>
                      <w:b/>
                      <w:sz w:val="21"/>
                      <w:szCs w:val="21"/>
                    </w:rPr>
                    <w:t>工作</w:t>
                  </w:r>
                </w:p>
                <w:p>
                  <w:pPr>
                    <w:adjustRightInd w:val="0"/>
                    <w:snapToGrid w:val="0"/>
                    <w:jc w:val="center"/>
                    <w:rPr>
                      <w:rFonts w:eastAsiaTheme="minorEastAsia"/>
                      <w:b/>
                      <w:sz w:val="21"/>
                      <w:szCs w:val="21"/>
                    </w:rPr>
                  </w:pPr>
                  <w:r>
                    <w:rPr>
                      <w:rFonts w:hint="eastAsia" w:hAnsiTheme="minorEastAsia" w:eastAsiaTheme="minorEastAsia"/>
                      <w:b/>
                      <w:sz w:val="21"/>
                      <w:szCs w:val="21"/>
                    </w:rPr>
                    <w:t>时间</w:t>
                  </w:r>
                  <w:r>
                    <w:rPr>
                      <w:rFonts w:eastAsiaTheme="minorEastAsia"/>
                      <w:b/>
                      <w:sz w:val="21"/>
                      <w:szCs w:val="21"/>
                    </w:rPr>
                    <w:t xml:space="preserve"> (h/a)</w:t>
                  </w:r>
                </w:p>
              </w:tc>
              <w:tc>
                <w:tcPr>
                  <w:tcW w:w="929" w:type="dxa"/>
                  <w:vMerge w:val="restart"/>
                  <w:tcBorders>
                    <w:top w:val="single" w:color="auto" w:sz="8" w:space="0"/>
                    <w:left w:val="single" w:color="auto" w:sz="4" w:space="0"/>
                    <w:bottom w:val="single" w:color="auto" w:sz="8" w:space="0"/>
                    <w:right w:val="nil"/>
                  </w:tcBorders>
                  <w:vAlign w:val="center"/>
                </w:tcPr>
                <w:p>
                  <w:pPr>
                    <w:adjustRightInd w:val="0"/>
                    <w:snapToGrid w:val="0"/>
                    <w:jc w:val="center"/>
                    <w:rPr>
                      <w:rFonts w:eastAsiaTheme="minorEastAsia"/>
                      <w:b/>
                      <w:sz w:val="21"/>
                      <w:szCs w:val="21"/>
                    </w:rPr>
                  </w:pPr>
                  <w:r>
                    <w:rPr>
                      <w:rFonts w:hint="eastAsia" w:hAnsiTheme="minorEastAsia" w:eastAsiaTheme="minorEastAsia"/>
                      <w:b/>
                      <w:sz w:val="21"/>
                      <w:szCs w:val="21"/>
                      <w:lang w:val="en-US" w:eastAsia="zh-CN"/>
                    </w:rPr>
                    <w:t>综合</w:t>
                  </w:r>
                  <w:r>
                    <w:rPr>
                      <w:rFonts w:hint="eastAsia" w:hAnsiTheme="minorEastAsia" w:eastAsiaTheme="minorEastAsia"/>
                      <w:b/>
                      <w:sz w:val="21"/>
                      <w:szCs w:val="21"/>
                    </w:rPr>
                    <w:t>除</w:t>
                  </w:r>
                  <w:r>
                    <w:rPr>
                      <w:rFonts w:hint="eastAsia" w:hAnsiTheme="minorEastAsia" w:eastAsiaTheme="minorEastAsia"/>
                      <w:b/>
                      <w:sz w:val="21"/>
                      <w:szCs w:val="21"/>
                      <w:lang w:val="en-US" w:eastAsia="zh-CN"/>
                    </w:rPr>
                    <w:t>理</w:t>
                  </w:r>
                  <w:r>
                    <w:rPr>
                      <w:rFonts w:hint="eastAsia" w:hAnsiTheme="minorEastAsia" w:eastAsiaTheme="minorEastAsia"/>
                      <w:b/>
                      <w:sz w:val="21"/>
                      <w:szCs w:val="21"/>
                    </w:rPr>
                    <w:t>效率</w:t>
                  </w:r>
                  <w:r>
                    <w:rPr>
                      <w:rFonts w:eastAsiaTheme="minorEastAsia"/>
                      <w:b/>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70" w:type="dxa"/>
                  <w:vMerge w:val="continue"/>
                  <w:tcBorders>
                    <w:top w:val="single" w:color="auto" w:sz="8" w:space="0"/>
                    <w:left w:val="nil"/>
                    <w:bottom w:val="single" w:color="auto" w:sz="8" w:space="0"/>
                    <w:right w:val="single" w:color="auto" w:sz="4" w:space="0"/>
                  </w:tcBorders>
                  <w:vAlign w:val="center"/>
                </w:tcPr>
                <w:p>
                  <w:pPr>
                    <w:widowControl/>
                    <w:jc w:val="left"/>
                    <w:rPr>
                      <w:rFonts w:eastAsiaTheme="minorEastAsia"/>
                      <w:b/>
                      <w:sz w:val="21"/>
                      <w:szCs w:val="21"/>
                    </w:rPr>
                  </w:pPr>
                </w:p>
              </w:tc>
              <w:tc>
                <w:tcPr>
                  <w:tcW w:w="824"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rFonts w:eastAsiaTheme="minorEastAsia"/>
                      <w:b/>
                      <w:sz w:val="21"/>
                      <w:szCs w:val="21"/>
                    </w:rPr>
                  </w:pPr>
                </w:p>
              </w:tc>
              <w:tc>
                <w:tcPr>
                  <w:tcW w:w="891"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rFonts w:ascii="Times New Roman" w:hAnsi="Times New Roman" w:cs="Times New Roman" w:eastAsiaTheme="minorEastAsia"/>
                      <w:b/>
                      <w:kern w:val="2"/>
                      <w:sz w:val="21"/>
                      <w:szCs w:val="21"/>
                      <w:lang w:val="en-US" w:eastAsia="zh-CN" w:bidi="ar-SA"/>
                    </w:rPr>
                  </w:pPr>
                </w:p>
              </w:tc>
              <w:tc>
                <w:tcPr>
                  <w:tcW w:w="1001"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cs="Times New Roman" w:eastAsiaTheme="minorEastAsia"/>
                      <w:b/>
                      <w:kern w:val="2"/>
                      <w:sz w:val="21"/>
                      <w:szCs w:val="21"/>
                      <w:lang w:val="en-US" w:eastAsia="zh-CN" w:bidi="ar-SA"/>
                    </w:rPr>
                  </w:pPr>
                  <w:r>
                    <w:rPr>
                      <w:rFonts w:hint="eastAsia" w:hAnsiTheme="minorEastAsia" w:eastAsiaTheme="minorEastAsia"/>
                      <w:b/>
                      <w:sz w:val="21"/>
                      <w:szCs w:val="21"/>
                    </w:rPr>
                    <w:t>产生量（</w:t>
                  </w:r>
                  <w:r>
                    <w:rPr>
                      <w:rFonts w:eastAsiaTheme="minorEastAsia"/>
                      <w:b/>
                      <w:sz w:val="21"/>
                      <w:szCs w:val="21"/>
                    </w:rPr>
                    <w:t>t/a</w:t>
                  </w:r>
                  <w:r>
                    <w:rPr>
                      <w:rFonts w:hint="eastAsia" w:hAnsiTheme="minorEastAsia" w:eastAsiaTheme="minorEastAsia"/>
                      <w:b/>
                      <w:sz w:val="21"/>
                      <w:szCs w:val="21"/>
                    </w:rPr>
                    <w:t>）</w:t>
                  </w:r>
                </w:p>
              </w:tc>
              <w:tc>
                <w:tcPr>
                  <w:tcW w:w="1103"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cs="Times New Roman" w:eastAsiaTheme="minorEastAsia"/>
                      <w:b/>
                      <w:kern w:val="2"/>
                      <w:sz w:val="21"/>
                      <w:szCs w:val="21"/>
                      <w:lang w:val="en-US" w:eastAsia="zh-CN" w:bidi="ar-SA"/>
                    </w:rPr>
                  </w:pPr>
                  <w:r>
                    <w:rPr>
                      <w:rFonts w:hint="eastAsia" w:hAnsiTheme="minorEastAsia" w:eastAsiaTheme="minorEastAsia"/>
                      <w:b/>
                      <w:sz w:val="21"/>
                      <w:szCs w:val="21"/>
                    </w:rPr>
                    <w:t>排放量（</w:t>
                  </w:r>
                  <w:r>
                    <w:rPr>
                      <w:rFonts w:eastAsiaTheme="minorEastAsia"/>
                      <w:b/>
                      <w:sz w:val="21"/>
                      <w:szCs w:val="21"/>
                    </w:rPr>
                    <w:t>t/a</w:t>
                  </w:r>
                  <w:r>
                    <w:rPr>
                      <w:rFonts w:hint="eastAsia" w:hAnsiTheme="minorEastAsia" w:eastAsiaTheme="minorEastAsia"/>
                      <w:b/>
                      <w:sz w:val="21"/>
                      <w:szCs w:val="21"/>
                    </w:rPr>
                    <w:t>）</w:t>
                  </w:r>
                </w:p>
              </w:tc>
              <w:tc>
                <w:tcPr>
                  <w:tcW w:w="1182"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rFonts w:eastAsiaTheme="minorEastAsia"/>
                      <w:b/>
                      <w:spacing w:val="-16"/>
                      <w:sz w:val="21"/>
                      <w:szCs w:val="21"/>
                    </w:rPr>
                  </w:pPr>
                </w:p>
              </w:tc>
              <w:tc>
                <w:tcPr>
                  <w:tcW w:w="1217"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rFonts w:eastAsiaTheme="minorEastAsia"/>
                      <w:b/>
                      <w:sz w:val="21"/>
                      <w:szCs w:val="21"/>
                    </w:rPr>
                  </w:pPr>
                </w:p>
              </w:tc>
              <w:tc>
                <w:tcPr>
                  <w:tcW w:w="762"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rFonts w:eastAsiaTheme="minorEastAsia"/>
                      <w:b/>
                      <w:sz w:val="21"/>
                      <w:szCs w:val="21"/>
                    </w:rPr>
                  </w:pPr>
                </w:p>
              </w:tc>
              <w:tc>
                <w:tcPr>
                  <w:tcW w:w="929" w:type="dxa"/>
                  <w:vMerge w:val="continue"/>
                  <w:tcBorders>
                    <w:top w:val="single" w:color="auto" w:sz="8" w:space="0"/>
                    <w:left w:val="single" w:color="auto" w:sz="4" w:space="0"/>
                    <w:bottom w:val="single" w:color="auto" w:sz="8" w:space="0"/>
                    <w:right w:val="nil"/>
                  </w:tcBorders>
                  <w:vAlign w:val="center"/>
                </w:tcPr>
                <w:p>
                  <w:pPr>
                    <w:widowControl/>
                    <w:jc w:val="left"/>
                    <w:rPr>
                      <w:rFonts w:eastAsiaTheme="minorEastAsia"/>
                      <w:b/>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70" w:type="dxa"/>
                  <w:tcBorders>
                    <w:top w:val="single" w:color="auto" w:sz="8" w:space="0"/>
                    <w:left w:val="nil"/>
                    <w:right w:val="single" w:color="auto" w:sz="4" w:space="0"/>
                  </w:tcBorders>
                  <w:vAlign w:val="center"/>
                </w:tcPr>
                <w:p>
                  <w:pPr>
                    <w:adjustRightInd w:val="0"/>
                    <w:snapToGrid w:val="0"/>
                    <w:jc w:val="center"/>
                    <w:rPr>
                      <w:rFonts w:eastAsiaTheme="minorEastAsia"/>
                      <w:sz w:val="21"/>
                      <w:szCs w:val="21"/>
                    </w:rPr>
                  </w:pPr>
                  <w:r>
                    <w:rPr>
                      <w:rFonts w:hint="eastAsia" w:hAnsiTheme="minorEastAsia" w:eastAsiaTheme="minorEastAsia"/>
                      <w:sz w:val="21"/>
                      <w:szCs w:val="21"/>
                    </w:rPr>
                    <w:t>筒仓</w:t>
                  </w:r>
                </w:p>
              </w:tc>
              <w:tc>
                <w:tcPr>
                  <w:tcW w:w="824" w:type="dxa"/>
                  <w:tcBorders>
                    <w:top w:val="single" w:color="auto" w:sz="8" w:space="0"/>
                    <w:left w:val="single" w:color="auto" w:sz="4" w:space="0"/>
                    <w:right w:val="single" w:color="auto" w:sz="4" w:space="0"/>
                  </w:tcBorders>
                  <w:vAlign w:val="center"/>
                </w:tcPr>
                <w:p>
                  <w:pPr>
                    <w:adjustRightInd w:val="0"/>
                    <w:snapToGrid w:val="0"/>
                    <w:jc w:val="center"/>
                    <w:rPr>
                      <w:rFonts w:hint="eastAsia" w:eastAsiaTheme="minorEastAsia"/>
                      <w:sz w:val="21"/>
                      <w:szCs w:val="21"/>
                      <w:lang w:val="en-US" w:eastAsia="zh-CN"/>
                    </w:rPr>
                  </w:pPr>
                  <w:r>
                    <w:rPr>
                      <w:rFonts w:hint="eastAsia" w:eastAsiaTheme="minorEastAsia"/>
                      <w:sz w:val="21"/>
                      <w:szCs w:val="21"/>
                      <w:lang w:val="en-US" w:eastAsia="zh-CN"/>
                    </w:rPr>
                    <w:t>8</w:t>
                  </w:r>
                </w:p>
              </w:tc>
              <w:tc>
                <w:tcPr>
                  <w:tcW w:w="891" w:type="dxa"/>
                  <w:tcBorders>
                    <w:top w:val="single" w:color="auto" w:sz="8"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eastAsiaTheme="minorEastAsia"/>
                      <w:sz w:val="21"/>
                      <w:szCs w:val="21"/>
                      <w:lang w:val="en-US" w:eastAsia="zh-CN"/>
                    </w:rPr>
                    <w:t>12000</w:t>
                  </w:r>
                </w:p>
              </w:tc>
              <w:tc>
                <w:tcPr>
                  <w:tcW w:w="1001" w:type="dxa"/>
                  <w:tcBorders>
                    <w:top w:val="single" w:color="auto" w:sz="8" w:space="0"/>
                    <w:left w:val="single" w:color="auto" w:sz="4" w:space="0"/>
                    <w:right w:val="single" w:color="auto" w:sz="4" w:space="0"/>
                  </w:tcBorders>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eastAsiaTheme="minorEastAsia"/>
                      <w:sz w:val="21"/>
                      <w:szCs w:val="21"/>
                      <w:lang w:val="en-US" w:eastAsia="zh-CN"/>
                    </w:rPr>
                    <w:t>33.6</w:t>
                  </w:r>
                </w:p>
              </w:tc>
              <w:tc>
                <w:tcPr>
                  <w:tcW w:w="1103" w:type="dxa"/>
                  <w:tcBorders>
                    <w:top w:val="single" w:color="auto" w:sz="8" w:space="0"/>
                    <w:left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eastAsiaTheme="minorEastAsia"/>
                      <w:sz w:val="21"/>
                      <w:szCs w:val="21"/>
                      <w:lang w:val="en-US" w:eastAsia="zh-CN"/>
                    </w:rPr>
                    <w:t>0.168</w:t>
                  </w:r>
                </w:p>
              </w:tc>
              <w:tc>
                <w:tcPr>
                  <w:tcW w:w="1182" w:type="dxa"/>
                  <w:tcBorders>
                    <w:top w:val="single" w:color="auto" w:sz="8" w:space="0"/>
                    <w:left w:val="single" w:color="auto" w:sz="4" w:space="0"/>
                    <w:right w:val="single" w:color="auto" w:sz="4" w:space="0"/>
                  </w:tcBorders>
                  <w:vAlign w:val="center"/>
                </w:tcPr>
                <w:p>
                  <w:pPr>
                    <w:adjustRightInd w:val="0"/>
                    <w:snapToGrid w:val="0"/>
                    <w:jc w:val="center"/>
                    <w:rPr>
                      <w:rFonts w:hint="default" w:eastAsiaTheme="minorEastAsia"/>
                      <w:sz w:val="21"/>
                      <w:szCs w:val="21"/>
                      <w:lang w:val="en-US" w:eastAsia="zh-CN"/>
                    </w:rPr>
                  </w:pPr>
                  <w:r>
                    <w:rPr>
                      <w:rFonts w:hint="eastAsia" w:eastAsiaTheme="minorEastAsia"/>
                      <w:sz w:val="21"/>
                      <w:szCs w:val="21"/>
                      <w:lang w:val="en-US" w:eastAsia="zh-CN"/>
                    </w:rPr>
                    <w:t>1866</w:t>
                  </w:r>
                </w:p>
              </w:tc>
              <w:tc>
                <w:tcPr>
                  <w:tcW w:w="1217" w:type="dxa"/>
                  <w:tcBorders>
                    <w:top w:val="single" w:color="auto" w:sz="8" w:space="0"/>
                    <w:left w:val="single" w:color="auto" w:sz="4" w:space="0"/>
                    <w:right w:val="single" w:color="auto" w:sz="4" w:space="0"/>
                  </w:tcBorders>
                  <w:vAlign w:val="center"/>
                </w:tcPr>
                <w:p>
                  <w:pPr>
                    <w:adjustRightInd w:val="0"/>
                    <w:snapToGrid w:val="0"/>
                    <w:jc w:val="center"/>
                    <w:rPr>
                      <w:rFonts w:hint="default" w:eastAsiaTheme="minorEastAsia"/>
                      <w:sz w:val="21"/>
                      <w:szCs w:val="21"/>
                      <w:lang w:val="en-US" w:eastAsia="zh-CN"/>
                    </w:rPr>
                  </w:pPr>
                  <w:r>
                    <w:rPr>
                      <w:rFonts w:hint="eastAsia" w:eastAsiaTheme="minorEastAsia"/>
                      <w:sz w:val="21"/>
                      <w:szCs w:val="21"/>
                      <w:lang w:val="en-US" w:eastAsia="zh-CN"/>
                    </w:rPr>
                    <w:t>9.3</w:t>
                  </w:r>
                </w:p>
              </w:tc>
              <w:tc>
                <w:tcPr>
                  <w:tcW w:w="762" w:type="dxa"/>
                  <w:tcBorders>
                    <w:top w:val="single" w:color="auto" w:sz="8" w:space="0"/>
                    <w:left w:val="single" w:color="auto" w:sz="4" w:space="0"/>
                    <w:right w:val="single" w:color="auto" w:sz="4" w:space="0"/>
                  </w:tcBorders>
                  <w:vAlign w:val="center"/>
                </w:tcPr>
                <w:p>
                  <w:pPr>
                    <w:adjustRightInd w:val="0"/>
                    <w:snapToGrid w:val="0"/>
                    <w:jc w:val="center"/>
                    <w:rPr>
                      <w:rFonts w:hint="default" w:eastAsiaTheme="minorEastAsia"/>
                      <w:sz w:val="21"/>
                      <w:szCs w:val="21"/>
                      <w:lang w:val="en-US" w:eastAsia="zh-CN"/>
                    </w:rPr>
                  </w:pPr>
                  <w:r>
                    <w:rPr>
                      <w:rFonts w:hint="eastAsia" w:eastAsiaTheme="minorEastAsia"/>
                      <w:sz w:val="21"/>
                      <w:szCs w:val="21"/>
                      <w:lang w:val="en-US" w:eastAsia="zh-CN"/>
                    </w:rPr>
                    <w:t>1500</w:t>
                  </w:r>
                </w:p>
              </w:tc>
              <w:tc>
                <w:tcPr>
                  <w:tcW w:w="929" w:type="dxa"/>
                  <w:tcBorders>
                    <w:top w:val="single" w:color="auto" w:sz="8" w:space="0"/>
                    <w:left w:val="single" w:color="auto" w:sz="4" w:space="0"/>
                    <w:bottom w:val="single" w:color="auto" w:sz="8" w:space="0"/>
                    <w:right w:val="nil"/>
                  </w:tcBorders>
                  <w:vAlign w:val="center"/>
                </w:tcPr>
                <w:p>
                  <w:pPr>
                    <w:adjustRightInd w:val="0"/>
                    <w:snapToGrid w:val="0"/>
                    <w:jc w:val="center"/>
                    <w:rPr>
                      <w:rFonts w:hint="default" w:eastAsiaTheme="minorEastAsia"/>
                      <w:sz w:val="21"/>
                      <w:szCs w:val="21"/>
                      <w:lang w:val="en-US" w:eastAsia="zh-CN"/>
                    </w:rPr>
                  </w:pPr>
                  <w:r>
                    <w:rPr>
                      <w:rFonts w:hint="eastAsia" w:eastAsiaTheme="minorEastAsia"/>
                      <w:sz w:val="21"/>
                      <w:szCs w:val="21"/>
                      <w:lang w:val="en-US" w:eastAsia="zh-CN"/>
                    </w:rPr>
                    <w:t>99.5</w:t>
                  </w:r>
                </w:p>
              </w:tc>
            </w:tr>
          </w:tbl>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sz w:val="24"/>
              </w:rPr>
            </w:pPr>
            <w:r>
              <w:rPr>
                <w:rFonts w:hint="eastAsia"/>
                <w:sz w:val="24"/>
              </w:rPr>
              <w:t>上表可知，</w:t>
            </w:r>
            <w:r>
              <w:rPr>
                <w:rFonts w:hint="eastAsia"/>
                <w:sz w:val="24"/>
                <w:lang w:val="en-US" w:eastAsia="zh-CN"/>
              </w:rPr>
              <w:t>筒仓</w:t>
            </w:r>
            <w:r>
              <w:rPr>
                <w:rFonts w:hint="eastAsia"/>
                <w:sz w:val="24"/>
              </w:rPr>
              <w:t>呼吸口</w:t>
            </w:r>
            <w:r>
              <w:rPr>
                <w:rFonts w:hint="eastAsia"/>
                <w:sz w:val="24"/>
                <w:lang w:val="en-US" w:eastAsia="zh-CN"/>
              </w:rPr>
              <w:t>废气</w:t>
            </w:r>
            <w:r>
              <w:rPr>
                <w:rFonts w:hint="eastAsia"/>
                <w:sz w:val="24"/>
              </w:rPr>
              <w:t>经</w:t>
            </w:r>
            <w:r>
              <w:rPr>
                <w:rFonts w:hint="eastAsia"/>
                <w:sz w:val="24"/>
                <w:lang w:val="en-US" w:eastAsia="zh-CN"/>
              </w:rPr>
              <w:t>脉冲</w:t>
            </w:r>
            <w:r>
              <w:rPr>
                <w:rFonts w:hint="eastAsia"/>
                <w:sz w:val="24"/>
              </w:rPr>
              <w:t>袋式除尘器治理后外排粉尘的浓度均为</w:t>
            </w:r>
            <w:r>
              <w:rPr>
                <w:rFonts w:hint="eastAsia"/>
                <w:sz w:val="24"/>
                <w:lang w:val="en-US" w:eastAsia="zh-CN"/>
              </w:rPr>
              <w:t>9.3</w:t>
            </w:r>
            <w:r>
              <w:rPr>
                <w:sz w:val="24"/>
              </w:rPr>
              <w:t>mg/m</w:t>
            </w:r>
            <w:r>
              <w:rPr>
                <w:sz w:val="24"/>
                <w:vertAlign w:val="superscript"/>
              </w:rPr>
              <w:t>3</w:t>
            </w:r>
            <w:r>
              <w:rPr>
                <w:rFonts w:hint="eastAsia"/>
                <w:sz w:val="24"/>
              </w:rPr>
              <w:t>，能够满足</w:t>
            </w:r>
            <w:r>
              <w:rPr>
                <w:rFonts w:hint="eastAsia" w:hAnsi="宋体"/>
                <w:color w:val="000000"/>
                <w:sz w:val="24"/>
              </w:rPr>
              <w:t>《水泥工业大气污染物排放标准》</w:t>
            </w:r>
            <w:r>
              <w:rPr>
                <w:rFonts w:hint="eastAsia"/>
                <w:sz w:val="24"/>
              </w:rPr>
              <w:t>（</w:t>
            </w:r>
            <w:r>
              <w:rPr>
                <w:sz w:val="24"/>
              </w:rPr>
              <w:t>DB41/1953-2020</w:t>
            </w:r>
            <w:r>
              <w:rPr>
                <w:rFonts w:hint="eastAsia"/>
                <w:sz w:val="24"/>
              </w:rPr>
              <w:t>）表1散装水泥中转站及水泥制品生产中水泥仓及其它通风生产设备颗粒物排放浓度</w:t>
            </w:r>
            <w:r>
              <w:rPr>
                <w:sz w:val="24"/>
              </w:rPr>
              <w:t>10mg/m</w:t>
            </w:r>
            <w:r>
              <w:rPr>
                <w:sz w:val="24"/>
                <w:vertAlign w:val="superscript"/>
              </w:rPr>
              <w:t>3</w:t>
            </w:r>
            <w:r>
              <w:rPr>
                <w:rFonts w:hint="eastAsia"/>
                <w:sz w:val="24"/>
              </w:rPr>
              <w:t>的限值要求</w:t>
            </w:r>
            <w:r>
              <w:rPr>
                <w:rFonts w:hint="eastAsia"/>
                <w:sz w:val="24"/>
                <w:szCs w:val="24"/>
              </w:rPr>
              <w:t>。</w:t>
            </w:r>
          </w:p>
          <w:p>
            <w:pPr>
              <w:spacing w:line="460" w:lineRule="exact"/>
              <w:ind w:firstLine="241" w:firstLineChars="100"/>
              <w:rPr>
                <w:sz w:val="24"/>
              </w:rPr>
            </w:pPr>
            <w:r>
              <w:rPr>
                <w:rFonts w:hint="eastAsia"/>
                <w:b/>
                <w:bCs/>
                <w:sz w:val="24"/>
              </w:rPr>
              <w:t>（</w:t>
            </w:r>
            <w:r>
              <w:rPr>
                <w:rFonts w:hint="eastAsia"/>
                <w:b/>
                <w:bCs/>
                <w:sz w:val="24"/>
                <w:lang w:val="en-US" w:eastAsia="zh-CN"/>
              </w:rPr>
              <w:t>2</w:t>
            </w:r>
            <w:r>
              <w:rPr>
                <w:rFonts w:hint="eastAsia"/>
                <w:b/>
                <w:bCs/>
                <w:sz w:val="24"/>
              </w:rPr>
              <w:t>）砂石进料粉尘</w:t>
            </w:r>
          </w:p>
          <w:p>
            <w:pPr>
              <w:adjustRightInd w:val="0"/>
              <w:snapToGrid w:val="0"/>
              <w:spacing w:line="440" w:lineRule="exact"/>
              <w:jc w:val="left"/>
              <w:textAlignment w:val="baseline"/>
              <w:rPr>
                <w:rFonts w:eastAsia="黑体"/>
                <w:color w:val="000000"/>
                <w:sz w:val="24"/>
              </w:rPr>
            </w:pPr>
            <w:r>
              <w:rPr>
                <w:rFonts w:hint="eastAsia"/>
                <w:sz w:val="24"/>
              </w:rPr>
              <w:t xml:space="preserve">  </w:t>
            </w:r>
            <w:r>
              <w:rPr>
                <w:rFonts w:hint="eastAsia"/>
                <w:color w:val="FF0000"/>
                <w:sz w:val="24"/>
              </w:rPr>
              <w:t xml:space="preserve"> </w:t>
            </w:r>
            <w:r>
              <w:rPr>
                <w:rFonts w:hint="eastAsia"/>
                <w:color w:val="auto"/>
                <w:sz w:val="24"/>
              </w:rPr>
              <w:t>本项目石子、砂子用量总计115万吨</w:t>
            </w:r>
            <w:r>
              <w:rPr>
                <w:color w:val="auto"/>
                <w:sz w:val="24"/>
              </w:rPr>
              <w:t>/</w:t>
            </w:r>
            <w:r>
              <w:rPr>
                <w:rFonts w:hint="eastAsia"/>
                <w:color w:val="auto"/>
                <w:sz w:val="24"/>
              </w:rPr>
              <w:t>年，产排污系数参照</w:t>
            </w:r>
            <w:r>
              <w:rPr>
                <w:color w:val="auto"/>
                <w:sz w:val="24"/>
              </w:rPr>
              <w:t>《</w:t>
            </w:r>
            <w:r>
              <w:rPr>
                <w:color w:val="auto"/>
                <w:sz w:val="24"/>
                <w:szCs w:val="24"/>
              </w:rPr>
              <w:t>逸散性工业粉尘控制技术》（中国环境科学出版社）中粒料加工厂的排放因子</w:t>
            </w:r>
            <w:r>
              <w:rPr>
                <w:rFonts w:hint="eastAsia"/>
                <w:color w:val="auto"/>
                <w:sz w:val="24"/>
                <w:szCs w:val="24"/>
              </w:rPr>
              <w:t>，</w:t>
            </w:r>
            <w:r>
              <w:rPr>
                <w:color w:val="auto"/>
                <w:sz w:val="24"/>
                <w:szCs w:val="24"/>
              </w:rPr>
              <w:t>上料粉尘产生系数为0.0</w:t>
            </w:r>
            <w:r>
              <w:rPr>
                <w:rFonts w:hint="eastAsia"/>
                <w:color w:val="auto"/>
                <w:sz w:val="24"/>
                <w:szCs w:val="24"/>
              </w:rPr>
              <w:t>1</w:t>
            </w:r>
            <w:r>
              <w:rPr>
                <w:color w:val="auto"/>
                <w:sz w:val="24"/>
                <w:szCs w:val="24"/>
              </w:rPr>
              <w:t>kg/t，</w:t>
            </w:r>
            <w:r>
              <w:rPr>
                <w:rFonts w:hint="eastAsia"/>
                <w:color w:val="auto"/>
                <w:sz w:val="24"/>
              </w:rPr>
              <w:t>则</w:t>
            </w:r>
            <w:r>
              <w:rPr>
                <w:rFonts w:hint="eastAsia"/>
                <w:color w:val="auto"/>
                <w:sz w:val="24"/>
                <w:lang w:val="en-US" w:eastAsia="zh-CN"/>
              </w:rPr>
              <w:t>进料</w:t>
            </w:r>
            <w:r>
              <w:rPr>
                <w:rFonts w:hint="eastAsia"/>
                <w:color w:val="auto"/>
                <w:sz w:val="24"/>
              </w:rPr>
              <w:t>粉尘产生量</w:t>
            </w:r>
            <w:r>
              <w:rPr>
                <w:rFonts w:hint="eastAsia"/>
                <w:color w:val="auto"/>
                <w:sz w:val="24"/>
                <w:lang w:val="en-US" w:eastAsia="zh-CN"/>
              </w:rPr>
              <w:t>11</w:t>
            </w:r>
            <w:r>
              <w:rPr>
                <w:rFonts w:hint="eastAsia"/>
                <w:color w:val="auto"/>
                <w:sz w:val="24"/>
              </w:rPr>
              <w:t>.5</w:t>
            </w:r>
            <w:r>
              <w:rPr>
                <w:color w:val="auto"/>
                <w:sz w:val="24"/>
              </w:rPr>
              <w:t>t/a</w:t>
            </w:r>
            <w:r>
              <w:rPr>
                <w:rFonts w:hint="eastAsia"/>
                <w:color w:val="auto"/>
                <w:sz w:val="24"/>
              </w:rPr>
              <w:t>。</w:t>
            </w:r>
            <w:r>
              <w:rPr>
                <w:rFonts w:hint="eastAsia"/>
                <w:color w:val="auto"/>
                <w:sz w:val="24"/>
                <w:lang w:val="en-US" w:eastAsia="zh-CN"/>
              </w:rPr>
              <w:t>砂石</w:t>
            </w:r>
            <w:r>
              <w:rPr>
                <w:rFonts w:hint="eastAsia"/>
                <w:color w:val="auto"/>
                <w:sz w:val="24"/>
              </w:rPr>
              <w:t>在进料过程存在落差会产生粉尘，针对</w:t>
            </w:r>
            <w:r>
              <w:rPr>
                <w:rFonts w:hint="eastAsia"/>
                <w:color w:val="auto"/>
                <w:sz w:val="24"/>
                <w:lang w:val="en-US" w:eastAsia="zh-CN"/>
              </w:rPr>
              <w:t>砂石</w:t>
            </w:r>
            <w:r>
              <w:rPr>
                <w:rFonts w:hint="eastAsia"/>
                <w:color w:val="auto"/>
                <w:sz w:val="24"/>
              </w:rPr>
              <w:t>进料粉尘，评价提出：在锥形下料器的上方安装</w:t>
            </w:r>
            <w:r>
              <w:rPr>
                <w:rFonts w:hint="eastAsia"/>
                <w:color w:val="auto"/>
                <w:sz w:val="24"/>
                <w:lang w:val="en-US" w:eastAsia="zh-CN"/>
              </w:rPr>
              <w:t>三面一档式</w:t>
            </w:r>
            <w:r>
              <w:rPr>
                <w:rFonts w:hint="eastAsia"/>
                <w:color w:val="auto"/>
                <w:sz w:val="24"/>
              </w:rPr>
              <w:t>集气罩（收集效率</w:t>
            </w:r>
            <w:r>
              <w:rPr>
                <w:rFonts w:hint="eastAsia"/>
                <w:color w:val="auto"/>
                <w:sz w:val="24"/>
                <w:lang w:val="en-US" w:eastAsia="zh-CN"/>
              </w:rPr>
              <w:t>95</w:t>
            </w:r>
            <w:r>
              <w:rPr>
                <w:color w:val="auto"/>
                <w:sz w:val="24"/>
              </w:rPr>
              <w:t>%</w:t>
            </w:r>
            <w:r>
              <w:rPr>
                <w:rFonts w:hint="eastAsia"/>
                <w:color w:val="auto"/>
                <w:sz w:val="24"/>
              </w:rPr>
              <w:t>），收集的粉尘进入</w:t>
            </w:r>
            <w:r>
              <w:rPr>
                <w:color w:val="auto"/>
                <w:sz w:val="24"/>
              </w:rPr>
              <w:t>1</w:t>
            </w:r>
            <w:r>
              <w:rPr>
                <w:rFonts w:hint="eastAsia"/>
                <w:color w:val="auto"/>
                <w:sz w:val="24"/>
              </w:rPr>
              <w:t>台</w:t>
            </w:r>
            <w:r>
              <w:rPr>
                <w:rFonts w:hint="eastAsia"/>
                <w:color w:val="auto"/>
                <w:sz w:val="24"/>
                <w:lang w:val="en-US" w:eastAsia="zh-CN"/>
              </w:rPr>
              <w:t>脉冲</w:t>
            </w:r>
            <w:r>
              <w:rPr>
                <w:rFonts w:hint="eastAsia"/>
                <w:color w:val="auto"/>
                <w:sz w:val="24"/>
              </w:rPr>
              <w:t>袋式除尘器（</w:t>
            </w:r>
            <w:r>
              <w:rPr>
                <w:rFonts w:hint="eastAsia"/>
                <w:color w:val="auto"/>
                <w:sz w:val="24"/>
                <w:lang w:val="en-US" w:eastAsia="zh-CN"/>
              </w:rPr>
              <w:t>TA010</w:t>
            </w:r>
            <w:r>
              <w:rPr>
                <w:rFonts w:hint="eastAsia"/>
                <w:color w:val="auto"/>
                <w:sz w:val="24"/>
              </w:rPr>
              <w:t>）进行治理，除尘效率为</w:t>
            </w:r>
            <w:r>
              <w:rPr>
                <w:color w:val="auto"/>
                <w:sz w:val="24"/>
              </w:rPr>
              <w:t>99.</w:t>
            </w:r>
            <w:r>
              <w:rPr>
                <w:rFonts w:hint="eastAsia"/>
                <w:color w:val="auto"/>
                <w:sz w:val="24"/>
                <w:lang w:val="en-US" w:eastAsia="zh-CN"/>
              </w:rPr>
              <w:t>5</w:t>
            </w:r>
            <w:r>
              <w:rPr>
                <w:color w:val="auto"/>
                <w:sz w:val="24"/>
              </w:rPr>
              <w:t>%</w:t>
            </w:r>
            <w:r>
              <w:rPr>
                <w:rFonts w:hint="eastAsia"/>
                <w:color w:val="auto"/>
                <w:sz w:val="24"/>
              </w:rPr>
              <w:t>。粉尘产生排放情况见下表。</w:t>
            </w:r>
            <w:r>
              <w:rPr>
                <w:rFonts w:hint="eastAsia"/>
                <w:color w:val="auto"/>
                <w:sz w:val="24"/>
              </w:rPr>
              <w:br w:type="textWrapping"/>
            </w:r>
            <w:r>
              <w:rPr>
                <w:rFonts w:hint="eastAsia"/>
                <w:color w:val="auto"/>
                <w:sz w:val="24"/>
                <w:lang w:val="en-US" w:eastAsia="zh-CN"/>
              </w:rPr>
              <w:t xml:space="preserve">        </w:t>
            </w:r>
            <w:r>
              <w:rPr>
                <w:rFonts w:hint="eastAsia" w:eastAsia="黑体"/>
                <w:color w:val="000000"/>
                <w:sz w:val="24"/>
              </w:rPr>
              <w:t>表</w:t>
            </w:r>
            <w:r>
              <w:rPr>
                <w:rFonts w:hint="eastAsia" w:eastAsia="黑体"/>
                <w:b/>
                <w:bCs/>
                <w:color w:val="000000"/>
                <w:sz w:val="24"/>
                <w:lang w:val="en-US" w:eastAsia="zh-CN"/>
              </w:rPr>
              <w:t>4-1</w:t>
            </w:r>
            <w:r>
              <w:rPr>
                <w:rFonts w:hint="eastAsia" w:eastAsia="黑体"/>
                <w:b/>
                <w:bCs/>
                <w:color w:val="000000"/>
                <w:sz w:val="24"/>
              </w:rPr>
              <w:t xml:space="preserve">          </w:t>
            </w:r>
            <w:r>
              <w:rPr>
                <w:rFonts w:hint="eastAsia" w:eastAsia="黑体"/>
                <w:bCs/>
                <w:color w:val="000000"/>
                <w:sz w:val="24"/>
              </w:rPr>
              <w:t>砂石进料粉尘</w:t>
            </w:r>
            <w:r>
              <w:rPr>
                <w:rFonts w:hint="eastAsia" w:eastAsia="黑体"/>
                <w:color w:val="000000"/>
                <w:sz w:val="24"/>
              </w:rPr>
              <w:t>产排情况</w:t>
            </w:r>
          </w:p>
          <w:tbl>
            <w:tblPr>
              <w:tblStyle w:val="24"/>
              <w:tblW w:w="907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19"/>
              <w:gridCol w:w="1041"/>
              <w:gridCol w:w="864"/>
              <w:gridCol w:w="908"/>
              <w:gridCol w:w="1078"/>
              <w:gridCol w:w="850"/>
              <w:gridCol w:w="1199"/>
              <w:gridCol w:w="807"/>
              <w:gridCol w:w="80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3" w:type="dxa"/>
                  <w:vMerge w:val="restart"/>
                  <w:tcBorders>
                    <w:top w:val="single" w:color="auto" w:sz="8" w:space="0"/>
                    <w:left w:val="nil"/>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设备名称</w:t>
                  </w:r>
                </w:p>
              </w:tc>
              <w:tc>
                <w:tcPr>
                  <w:tcW w:w="818"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数量</w:t>
                  </w:r>
                </w:p>
                <w:p>
                  <w:pPr>
                    <w:adjustRightInd w:val="0"/>
                    <w:snapToGrid w:val="0"/>
                    <w:jc w:val="center"/>
                    <w:rPr>
                      <w:b/>
                      <w:color w:val="000000"/>
                      <w:sz w:val="21"/>
                      <w:szCs w:val="21"/>
                    </w:rPr>
                  </w:pPr>
                  <w:r>
                    <w:rPr>
                      <w:rFonts w:hint="eastAsia"/>
                      <w:b/>
                      <w:color w:val="000000"/>
                      <w:sz w:val="21"/>
                      <w:szCs w:val="21"/>
                    </w:rPr>
                    <w:t>（个）</w:t>
                  </w:r>
                </w:p>
              </w:tc>
              <w:tc>
                <w:tcPr>
                  <w:tcW w:w="1040"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除尘</w:t>
                  </w:r>
                </w:p>
                <w:p>
                  <w:pPr>
                    <w:adjustRightInd w:val="0"/>
                    <w:snapToGrid w:val="0"/>
                    <w:jc w:val="center"/>
                    <w:rPr>
                      <w:rFonts w:hint="eastAsia" w:eastAsia="宋体"/>
                      <w:b/>
                      <w:color w:val="000000"/>
                      <w:sz w:val="21"/>
                      <w:szCs w:val="21"/>
                      <w:lang w:eastAsia="zh-CN"/>
                    </w:rPr>
                  </w:pPr>
                  <w:r>
                    <w:rPr>
                      <w:rFonts w:hint="eastAsia"/>
                      <w:b/>
                      <w:color w:val="000000"/>
                      <w:sz w:val="21"/>
                      <w:szCs w:val="21"/>
                    </w:rPr>
                    <w:t>设施</w:t>
                  </w:r>
                </w:p>
                <w:p>
                  <w:pPr>
                    <w:adjustRightInd w:val="0"/>
                    <w:snapToGrid w:val="0"/>
                    <w:jc w:val="center"/>
                    <w:rPr>
                      <w:b/>
                      <w:color w:val="000000"/>
                      <w:sz w:val="21"/>
                      <w:szCs w:val="21"/>
                    </w:rPr>
                  </w:pPr>
                  <w:r>
                    <w:rPr>
                      <w:rFonts w:hint="eastAsia"/>
                      <w:b/>
                      <w:color w:val="000000"/>
                      <w:sz w:val="21"/>
                      <w:szCs w:val="21"/>
                    </w:rPr>
                    <w:t>编号</w:t>
                  </w:r>
                </w:p>
              </w:tc>
              <w:tc>
                <w:tcPr>
                  <w:tcW w:w="864"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风量</w:t>
                  </w:r>
                </w:p>
                <w:p>
                  <w:pPr>
                    <w:adjustRightInd w:val="0"/>
                    <w:snapToGrid w:val="0"/>
                    <w:jc w:val="center"/>
                    <w:rPr>
                      <w:b/>
                      <w:color w:val="000000"/>
                      <w:sz w:val="21"/>
                      <w:szCs w:val="21"/>
                    </w:rPr>
                  </w:pPr>
                  <w:r>
                    <w:rPr>
                      <w:b/>
                      <w:color w:val="000000"/>
                      <w:sz w:val="21"/>
                      <w:szCs w:val="21"/>
                    </w:rPr>
                    <w:t>(m</w:t>
                  </w:r>
                  <w:r>
                    <w:rPr>
                      <w:b/>
                      <w:color w:val="000000"/>
                      <w:sz w:val="21"/>
                      <w:szCs w:val="21"/>
                      <w:vertAlign w:val="superscript"/>
                    </w:rPr>
                    <w:t>3</w:t>
                  </w:r>
                  <w:r>
                    <w:rPr>
                      <w:b/>
                      <w:color w:val="000000"/>
                      <w:sz w:val="21"/>
                      <w:szCs w:val="21"/>
                    </w:rPr>
                    <w:t>/h)</w:t>
                  </w:r>
                </w:p>
              </w:tc>
              <w:tc>
                <w:tcPr>
                  <w:tcW w:w="1986"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产生情况（单个仓）</w:t>
                  </w:r>
                </w:p>
              </w:tc>
              <w:tc>
                <w:tcPr>
                  <w:tcW w:w="2049"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排放情况（单个仓）</w:t>
                  </w:r>
                </w:p>
              </w:tc>
              <w:tc>
                <w:tcPr>
                  <w:tcW w:w="807" w:type="dxa"/>
                  <w:vMerge w:val="restart"/>
                  <w:tcBorders>
                    <w:top w:val="single" w:color="auto" w:sz="8" w:space="0"/>
                    <w:left w:val="single" w:color="auto" w:sz="4" w:space="0"/>
                    <w:bottom w:val="single" w:color="auto" w:sz="8" w:space="0"/>
                    <w:right w:val="single" w:color="auto" w:sz="4" w:space="0"/>
                  </w:tcBorders>
                  <w:vAlign w:val="center"/>
                </w:tcPr>
                <w:p>
                  <w:pPr>
                    <w:jc w:val="center"/>
                    <w:rPr>
                      <w:b/>
                      <w:color w:val="000000"/>
                      <w:sz w:val="21"/>
                      <w:szCs w:val="21"/>
                    </w:rPr>
                  </w:pPr>
                  <w:r>
                    <w:rPr>
                      <w:rFonts w:hint="eastAsia"/>
                      <w:b/>
                      <w:color w:val="000000"/>
                      <w:sz w:val="21"/>
                      <w:szCs w:val="21"/>
                    </w:rPr>
                    <w:t>工作</w:t>
                  </w:r>
                </w:p>
                <w:p>
                  <w:pPr>
                    <w:jc w:val="center"/>
                    <w:rPr>
                      <w:b/>
                      <w:color w:val="FF0000"/>
                      <w:sz w:val="21"/>
                      <w:szCs w:val="21"/>
                    </w:rPr>
                  </w:pPr>
                  <w:r>
                    <w:rPr>
                      <w:rFonts w:hint="eastAsia"/>
                      <w:b/>
                      <w:color w:val="000000"/>
                      <w:sz w:val="21"/>
                      <w:szCs w:val="21"/>
                    </w:rPr>
                    <w:t>时间</w:t>
                  </w:r>
                  <w:r>
                    <w:rPr>
                      <w:b/>
                      <w:color w:val="000000"/>
                      <w:sz w:val="21"/>
                      <w:szCs w:val="21"/>
                    </w:rPr>
                    <w:t xml:space="preserve"> (h/a)</w:t>
                  </w:r>
                </w:p>
              </w:tc>
              <w:tc>
                <w:tcPr>
                  <w:tcW w:w="805" w:type="dxa"/>
                  <w:vMerge w:val="restart"/>
                  <w:tcBorders>
                    <w:top w:val="single" w:color="auto" w:sz="8" w:space="0"/>
                    <w:left w:val="single" w:color="auto" w:sz="4" w:space="0"/>
                    <w:bottom w:val="single" w:color="auto" w:sz="8" w:space="0"/>
                    <w:right w:val="nil"/>
                  </w:tcBorders>
                  <w:vAlign w:val="center"/>
                </w:tcPr>
                <w:p>
                  <w:pPr>
                    <w:jc w:val="center"/>
                    <w:rPr>
                      <w:b/>
                      <w:color w:val="000000"/>
                      <w:sz w:val="21"/>
                      <w:szCs w:val="21"/>
                    </w:rPr>
                  </w:pPr>
                  <w:r>
                    <w:rPr>
                      <w:rFonts w:hint="eastAsia"/>
                      <w:b/>
                      <w:color w:val="000000"/>
                      <w:sz w:val="21"/>
                      <w:szCs w:val="21"/>
                    </w:rPr>
                    <w:t>除尘效率</w:t>
                  </w:r>
                  <w:r>
                    <w:rPr>
                      <w:b/>
                      <w:color w:val="000000"/>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3" w:type="dxa"/>
                  <w:vMerge w:val="continue"/>
                  <w:tcBorders>
                    <w:top w:val="single" w:color="auto" w:sz="8" w:space="0"/>
                    <w:left w:val="nil"/>
                    <w:bottom w:val="single" w:color="auto" w:sz="8" w:space="0"/>
                    <w:right w:val="single" w:color="auto" w:sz="4" w:space="0"/>
                  </w:tcBorders>
                  <w:vAlign w:val="center"/>
                </w:tcPr>
                <w:p>
                  <w:pPr>
                    <w:widowControl/>
                    <w:jc w:val="left"/>
                    <w:rPr>
                      <w:b/>
                      <w:color w:val="000000"/>
                      <w:sz w:val="21"/>
                      <w:szCs w:val="21"/>
                    </w:rPr>
                  </w:pPr>
                </w:p>
              </w:tc>
              <w:tc>
                <w:tcPr>
                  <w:tcW w:w="818"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b/>
                      <w:color w:val="000000"/>
                      <w:sz w:val="21"/>
                      <w:szCs w:val="21"/>
                    </w:rPr>
                  </w:pPr>
                </w:p>
              </w:tc>
              <w:tc>
                <w:tcPr>
                  <w:tcW w:w="1040"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b/>
                      <w:color w:val="000000"/>
                      <w:sz w:val="21"/>
                      <w:szCs w:val="21"/>
                    </w:rPr>
                  </w:pPr>
                </w:p>
              </w:tc>
              <w:tc>
                <w:tcPr>
                  <w:tcW w:w="864"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b/>
                      <w:color w:val="000000"/>
                      <w:sz w:val="21"/>
                      <w:szCs w:val="21"/>
                    </w:rPr>
                  </w:pPr>
                </w:p>
              </w:tc>
              <w:tc>
                <w:tcPr>
                  <w:tcW w:w="908"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color w:val="FF0000"/>
                      <w:sz w:val="21"/>
                      <w:szCs w:val="21"/>
                    </w:rPr>
                  </w:pPr>
                  <w:r>
                    <w:rPr>
                      <w:rFonts w:hint="eastAsia"/>
                      <w:b/>
                      <w:color w:val="000000"/>
                      <w:sz w:val="21"/>
                      <w:szCs w:val="21"/>
                      <w:lang w:val="en-US" w:eastAsia="zh-CN"/>
                    </w:rPr>
                    <w:t>有组织</w:t>
                  </w:r>
                  <w:r>
                    <w:rPr>
                      <w:rFonts w:hint="eastAsia"/>
                      <w:b/>
                      <w:color w:val="000000"/>
                      <w:sz w:val="21"/>
                      <w:szCs w:val="21"/>
                    </w:rPr>
                    <w:t>产生量（</w:t>
                  </w:r>
                  <w:r>
                    <w:rPr>
                      <w:b/>
                      <w:color w:val="000000"/>
                      <w:sz w:val="21"/>
                      <w:szCs w:val="21"/>
                    </w:rPr>
                    <w:t>t/a</w:t>
                  </w:r>
                  <w:r>
                    <w:rPr>
                      <w:rFonts w:hint="eastAsia"/>
                      <w:b/>
                      <w:color w:val="000000"/>
                      <w:sz w:val="21"/>
                      <w:szCs w:val="21"/>
                    </w:rPr>
                    <w:t>）</w:t>
                  </w:r>
                </w:p>
              </w:tc>
              <w:tc>
                <w:tcPr>
                  <w:tcW w:w="1078"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color w:val="FF0000"/>
                      <w:sz w:val="21"/>
                      <w:szCs w:val="21"/>
                    </w:rPr>
                  </w:pPr>
                  <w:r>
                    <w:rPr>
                      <w:rFonts w:hint="eastAsia"/>
                      <w:b/>
                      <w:color w:val="000000"/>
                      <w:sz w:val="21"/>
                      <w:szCs w:val="21"/>
                    </w:rPr>
                    <w:t>产生浓度</w:t>
                  </w:r>
                  <w:r>
                    <w:rPr>
                      <w:rFonts w:hint="eastAsia"/>
                      <w:b/>
                      <w:color w:val="000000"/>
                      <w:spacing w:val="-16"/>
                      <w:sz w:val="21"/>
                      <w:szCs w:val="21"/>
                    </w:rPr>
                    <w:t>（</w:t>
                  </w:r>
                  <w:r>
                    <w:rPr>
                      <w:b/>
                      <w:color w:val="000000"/>
                      <w:spacing w:val="-16"/>
                      <w:sz w:val="21"/>
                      <w:szCs w:val="21"/>
                    </w:rPr>
                    <w:t>mg/m</w:t>
                  </w:r>
                  <w:r>
                    <w:rPr>
                      <w:b/>
                      <w:color w:val="000000"/>
                      <w:spacing w:val="-16"/>
                      <w:sz w:val="21"/>
                      <w:szCs w:val="21"/>
                      <w:vertAlign w:val="superscript"/>
                    </w:rPr>
                    <w:t>3</w:t>
                  </w:r>
                  <w:r>
                    <w:rPr>
                      <w:rFonts w:hint="eastAsia"/>
                      <w:b/>
                      <w:color w:val="000000"/>
                      <w:spacing w:val="-16"/>
                      <w:sz w:val="21"/>
                      <w:szCs w:val="21"/>
                    </w:rPr>
                    <w:t>）</w:t>
                  </w:r>
                </w:p>
              </w:tc>
              <w:tc>
                <w:tcPr>
                  <w:tcW w:w="850"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排放量（</w:t>
                  </w:r>
                  <w:r>
                    <w:rPr>
                      <w:b/>
                      <w:color w:val="000000"/>
                      <w:sz w:val="21"/>
                      <w:szCs w:val="21"/>
                    </w:rPr>
                    <w:t>t/a</w:t>
                  </w:r>
                  <w:r>
                    <w:rPr>
                      <w:rFonts w:hint="eastAsia"/>
                      <w:b/>
                      <w:color w:val="000000"/>
                      <w:sz w:val="21"/>
                      <w:szCs w:val="21"/>
                    </w:rPr>
                    <w:t>）</w:t>
                  </w:r>
                </w:p>
              </w:tc>
              <w:tc>
                <w:tcPr>
                  <w:tcW w:w="1199"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排放浓度</w:t>
                  </w:r>
                  <w:r>
                    <w:rPr>
                      <w:b/>
                      <w:color w:val="000000"/>
                      <w:sz w:val="21"/>
                      <w:szCs w:val="21"/>
                    </w:rPr>
                    <w:t>(mg/m</w:t>
                  </w:r>
                  <w:r>
                    <w:rPr>
                      <w:b/>
                      <w:color w:val="000000"/>
                      <w:sz w:val="21"/>
                      <w:szCs w:val="21"/>
                      <w:vertAlign w:val="superscript"/>
                    </w:rPr>
                    <w:t>3</w:t>
                  </w:r>
                  <w:r>
                    <w:rPr>
                      <w:b/>
                      <w:color w:val="000000"/>
                      <w:sz w:val="21"/>
                      <w:szCs w:val="21"/>
                    </w:rPr>
                    <w:t>)</w:t>
                  </w:r>
                </w:p>
              </w:tc>
              <w:tc>
                <w:tcPr>
                  <w:tcW w:w="807"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b/>
                      <w:color w:val="FF0000"/>
                      <w:sz w:val="21"/>
                      <w:szCs w:val="21"/>
                    </w:rPr>
                  </w:pPr>
                </w:p>
              </w:tc>
              <w:tc>
                <w:tcPr>
                  <w:tcW w:w="805" w:type="dxa"/>
                  <w:vMerge w:val="continue"/>
                  <w:tcBorders>
                    <w:top w:val="single" w:color="auto" w:sz="8" w:space="0"/>
                    <w:left w:val="single" w:color="auto" w:sz="4" w:space="0"/>
                    <w:bottom w:val="single" w:color="auto" w:sz="8" w:space="0"/>
                    <w:right w:val="nil"/>
                  </w:tcBorders>
                  <w:vAlign w:val="center"/>
                </w:tcPr>
                <w:p>
                  <w:pPr>
                    <w:widowControl/>
                    <w:jc w:val="left"/>
                    <w:rPr>
                      <w:b/>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3" w:type="dxa"/>
                  <w:tcBorders>
                    <w:top w:val="single" w:color="auto" w:sz="8" w:space="0"/>
                    <w:left w:val="nil"/>
                    <w:bottom w:val="single" w:color="auto" w:sz="8" w:space="0"/>
                    <w:right w:val="single" w:color="auto" w:sz="4" w:space="0"/>
                  </w:tcBorders>
                  <w:vAlign w:val="center"/>
                </w:tcPr>
                <w:p>
                  <w:pPr>
                    <w:adjustRightInd w:val="0"/>
                    <w:snapToGrid w:val="0"/>
                    <w:jc w:val="center"/>
                    <w:rPr>
                      <w:color w:val="000000"/>
                      <w:sz w:val="21"/>
                      <w:szCs w:val="21"/>
                    </w:rPr>
                  </w:pPr>
                  <w:r>
                    <w:rPr>
                      <w:rFonts w:hint="eastAsia"/>
                      <w:color w:val="000000"/>
                      <w:sz w:val="21"/>
                      <w:szCs w:val="21"/>
                    </w:rPr>
                    <w:t>进料口</w:t>
                  </w:r>
                </w:p>
              </w:tc>
              <w:tc>
                <w:tcPr>
                  <w:tcW w:w="81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color w:val="000000"/>
                      <w:sz w:val="21"/>
                      <w:szCs w:val="21"/>
                    </w:rPr>
                  </w:pPr>
                  <w:r>
                    <w:rPr>
                      <w:color w:val="000000"/>
                      <w:sz w:val="21"/>
                      <w:szCs w:val="21"/>
                    </w:rPr>
                    <w:t>2</w:t>
                  </w:r>
                </w:p>
              </w:tc>
              <w:tc>
                <w:tcPr>
                  <w:tcW w:w="104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color w:val="000000"/>
                      <w:sz w:val="21"/>
                      <w:szCs w:val="21"/>
                    </w:rPr>
                  </w:pPr>
                  <w:r>
                    <w:rPr>
                      <w:sz w:val="21"/>
                      <w:szCs w:val="21"/>
                    </w:rPr>
                    <w:t>DA001</w:t>
                  </w:r>
                </w:p>
              </w:tc>
              <w:tc>
                <w:tcPr>
                  <w:tcW w:w="86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sz w:val="21"/>
                      <w:szCs w:val="21"/>
                    </w:rPr>
                  </w:pPr>
                  <w:r>
                    <w:rPr>
                      <w:rFonts w:hint="eastAsia"/>
                      <w:sz w:val="21"/>
                      <w:szCs w:val="21"/>
                    </w:rPr>
                    <w:t>5000</w:t>
                  </w:r>
                </w:p>
              </w:tc>
              <w:tc>
                <w:tcPr>
                  <w:tcW w:w="90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10.925</w:t>
                  </w:r>
                </w:p>
              </w:tc>
              <w:tc>
                <w:tcPr>
                  <w:tcW w:w="107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1517</w:t>
                  </w:r>
                </w:p>
              </w:tc>
              <w:tc>
                <w:tcPr>
                  <w:tcW w:w="85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0.0546</w:t>
                  </w:r>
                </w:p>
              </w:tc>
              <w:tc>
                <w:tcPr>
                  <w:tcW w:w="119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9.1</w:t>
                  </w:r>
                </w:p>
              </w:tc>
              <w:tc>
                <w:tcPr>
                  <w:tcW w:w="807"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1200</w:t>
                  </w:r>
                </w:p>
              </w:tc>
              <w:tc>
                <w:tcPr>
                  <w:tcW w:w="805" w:type="dxa"/>
                  <w:tcBorders>
                    <w:top w:val="single" w:color="auto" w:sz="8" w:space="0"/>
                    <w:left w:val="single" w:color="auto" w:sz="4" w:space="0"/>
                    <w:bottom w:val="single" w:color="auto" w:sz="8" w:space="0"/>
                    <w:right w:val="nil"/>
                  </w:tcBorders>
                  <w:vAlign w:val="center"/>
                </w:tcPr>
                <w:p>
                  <w:pPr>
                    <w:adjustRightInd w:val="0"/>
                    <w:snapToGrid w:val="0"/>
                    <w:jc w:val="center"/>
                    <w:rPr>
                      <w:rFonts w:hint="eastAsia" w:eastAsia="宋体"/>
                      <w:color w:val="000000"/>
                      <w:sz w:val="21"/>
                      <w:szCs w:val="21"/>
                      <w:lang w:eastAsia="zh-CN"/>
                    </w:rPr>
                  </w:pPr>
                  <w:r>
                    <w:rPr>
                      <w:color w:val="000000"/>
                      <w:sz w:val="21"/>
                      <w:szCs w:val="21"/>
                    </w:rPr>
                    <w:t>99.</w:t>
                  </w:r>
                  <w:r>
                    <w:rPr>
                      <w:rFonts w:hint="eastAsia"/>
                      <w:color w:val="000000"/>
                      <w:sz w:val="21"/>
                      <w:szCs w:val="21"/>
                      <w:lang w:val="en-US" w:eastAsia="zh-CN"/>
                    </w:rPr>
                    <w:t>5</w:t>
                  </w:r>
                </w:p>
              </w:tc>
            </w:tr>
          </w:tbl>
          <w:p>
            <w:pPr>
              <w:spacing w:line="400" w:lineRule="exact"/>
              <w:ind w:firstLine="480" w:firstLineChars="200"/>
              <w:rPr>
                <w:color w:val="000000"/>
                <w:sz w:val="24"/>
              </w:rPr>
            </w:pPr>
            <w:r>
              <w:rPr>
                <w:rFonts w:hint="eastAsia"/>
                <w:color w:val="000000"/>
                <w:sz w:val="24"/>
              </w:rPr>
              <w:t>由上表可知，</w:t>
            </w:r>
            <w:r>
              <w:rPr>
                <w:rFonts w:hint="eastAsia"/>
                <w:sz w:val="24"/>
              </w:rPr>
              <w:t>砂石投料粉尘</w:t>
            </w:r>
            <w:r>
              <w:rPr>
                <w:rFonts w:hint="eastAsia"/>
                <w:color w:val="000000"/>
                <w:sz w:val="24"/>
              </w:rPr>
              <w:t>经</w:t>
            </w:r>
            <w:r>
              <w:rPr>
                <w:rFonts w:hint="eastAsia"/>
                <w:color w:val="000000"/>
                <w:sz w:val="24"/>
                <w:lang w:val="en-US" w:eastAsia="zh-CN"/>
              </w:rPr>
              <w:t>脉冲脉冲</w:t>
            </w:r>
            <w:r>
              <w:rPr>
                <w:rFonts w:hint="eastAsia"/>
                <w:color w:val="000000"/>
                <w:sz w:val="24"/>
              </w:rPr>
              <w:t>袋式除尘器（</w:t>
            </w:r>
            <w:r>
              <w:rPr>
                <w:rFonts w:hint="eastAsia"/>
                <w:color w:val="000000"/>
                <w:sz w:val="24"/>
                <w:lang w:val="en-US" w:eastAsia="zh-CN"/>
              </w:rPr>
              <w:t>TA010</w:t>
            </w:r>
            <w:r>
              <w:rPr>
                <w:rFonts w:hint="eastAsia"/>
                <w:color w:val="000000"/>
                <w:sz w:val="24"/>
              </w:rPr>
              <w:t>）治理后，排放浓度为</w:t>
            </w:r>
            <w:r>
              <w:rPr>
                <w:rFonts w:hint="eastAsia"/>
                <w:color w:val="000000"/>
                <w:sz w:val="24"/>
                <w:lang w:val="en-US" w:eastAsia="zh-CN"/>
              </w:rPr>
              <w:t>9.1</w:t>
            </w:r>
            <w:r>
              <w:rPr>
                <w:color w:val="000000"/>
                <w:sz w:val="24"/>
              </w:rPr>
              <w:t>mg/m</w:t>
            </w:r>
            <w:r>
              <w:rPr>
                <w:color w:val="000000"/>
                <w:sz w:val="24"/>
                <w:vertAlign w:val="superscript"/>
              </w:rPr>
              <w:t>3</w:t>
            </w:r>
            <w:r>
              <w:rPr>
                <w:rFonts w:hint="eastAsia"/>
                <w:color w:val="000000"/>
                <w:sz w:val="24"/>
              </w:rPr>
              <w:t>，</w:t>
            </w:r>
            <w:r>
              <w:rPr>
                <w:rFonts w:hint="eastAsia"/>
                <w:sz w:val="24"/>
              </w:rPr>
              <w:t>能够满足</w:t>
            </w:r>
            <w:r>
              <w:rPr>
                <w:rFonts w:hint="eastAsia" w:hAnsi="宋体"/>
                <w:color w:val="000000"/>
                <w:sz w:val="24"/>
              </w:rPr>
              <w:t>《水泥工业大气污染物排放标准》</w:t>
            </w:r>
            <w:r>
              <w:rPr>
                <w:rFonts w:hint="eastAsia"/>
                <w:sz w:val="24"/>
              </w:rPr>
              <w:t>（</w:t>
            </w:r>
            <w:r>
              <w:rPr>
                <w:sz w:val="24"/>
              </w:rPr>
              <w:t>DB41/1953-2020</w:t>
            </w:r>
            <w:r>
              <w:rPr>
                <w:rFonts w:hint="eastAsia"/>
                <w:sz w:val="24"/>
              </w:rPr>
              <w:t>）表1散装水泥中转站及水泥制品生产中水泥仓及其它通风生产设备颗粒物排放浓度</w:t>
            </w:r>
            <w:r>
              <w:rPr>
                <w:sz w:val="24"/>
              </w:rPr>
              <w:t>10mg/m</w:t>
            </w:r>
            <w:r>
              <w:rPr>
                <w:sz w:val="24"/>
                <w:vertAlign w:val="superscript"/>
              </w:rPr>
              <w:t>3</w:t>
            </w:r>
            <w:r>
              <w:rPr>
                <w:rFonts w:hint="eastAsia"/>
                <w:sz w:val="24"/>
              </w:rPr>
              <w:t>的限值要求</w:t>
            </w:r>
            <w:r>
              <w:rPr>
                <w:rFonts w:hint="eastAsia"/>
                <w:sz w:val="24"/>
                <w:szCs w:val="24"/>
              </w:rPr>
              <w:t>。</w:t>
            </w:r>
            <w:r>
              <w:rPr>
                <w:rFonts w:hint="eastAsia"/>
                <w:color w:val="000000"/>
                <w:sz w:val="24"/>
              </w:rPr>
              <w:t>治理后的尾气通过</w:t>
            </w:r>
            <w:r>
              <w:rPr>
                <w:color w:val="000000"/>
                <w:sz w:val="24"/>
              </w:rPr>
              <w:t>1</w:t>
            </w:r>
            <w:r>
              <w:rPr>
                <w:rFonts w:hint="eastAsia"/>
                <w:color w:val="000000"/>
                <w:sz w:val="24"/>
              </w:rPr>
              <w:t>根</w:t>
            </w:r>
            <w:r>
              <w:rPr>
                <w:color w:val="000000"/>
                <w:sz w:val="24"/>
              </w:rPr>
              <w:t>15m</w:t>
            </w:r>
            <w:r>
              <w:rPr>
                <w:rFonts w:hint="eastAsia"/>
                <w:color w:val="000000"/>
                <w:sz w:val="24"/>
              </w:rPr>
              <w:t>高排气筒（</w:t>
            </w:r>
            <w:r>
              <w:rPr>
                <w:rFonts w:hint="eastAsia"/>
                <w:color w:val="000000"/>
                <w:sz w:val="24"/>
                <w:lang w:val="en-US" w:eastAsia="zh-CN"/>
              </w:rPr>
              <w:t>DA002</w:t>
            </w:r>
            <w:r>
              <w:rPr>
                <w:rFonts w:hint="eastAsia"/>
                <w:color w:val="000000"/>
                <w:sz w:val="24"/>
              </w:rPr>
              <w:t>）有组织排放。</w:t>
            </w:r>
          </w:p>
          <w:p>
            <w:pPr>
              <w:adjustRightInd w:val="0"/>
              <w:snapToGrid w:val="0"/>
              <w:spacing w:line="440" w:lineRule="exact"/>
              <w:ind w:firstLine="482" w:firstLineChars="200"/>
              <w:jc w:val="left"/>
              <w:textAlignment w:val="baseline"/>
              <w:rPr>
                <w:rFonts w:hint="eastAsia"/>
                <w:b/>
                <w:bCs/>
                <w:sz w:val="24"/>
              </w:rPr>
            </w:pPr>
            <w:r>
              <w:rPr>
                <w:rFonts w:hint="eastAsia"/>
                <w:b/>
                <w:bCs/>
                <w:sz w:val="24"/>
              </w:rPr>
              <w:t>（</w:t>
            </w:r>
            <w:r>
              <w:rPr>
                <w:rFonts w:hint="eastAsia"/>
                <w:b/>
                <w:bCs/>
                <w:sz w:val="24"/>
                <w:lang w:val="en-US" w:eastAsia="zh-CN"/>
              </w:rPr>
              <w:t>3</w:t>
            </w:r>
            <w:r>
              <w:rPr>
                <w:rFonts w:hint="eastAsia"/>
                <w:b/>
                <w:bCs/>
                <w:sz w:val="24"/>
              </w:rPr>
              <w:t>）搅拌系统粉尘</w:t>
            </w:r>
          </w:p>
          <w:p>
            <w:pPr>
              <w:spacing w:line="440" w:lineRule="exact"/>
              <w:ind w:firstLine="480" w:firstLineChars="200"/>
              <w:jc w:val="left"/>
              <w:rPr>
                <w:color w:val="000000"/>
                <w:sz w:val="24"/>
              </w:rPr>
            </w:pPr>
            <w:r>
              <w:rPr>
                <w:rFonts w:hint="eastAsia"/>
                <w:color w:val="000000"/>
                <w:sz w:val="24"/>
              </w:rPr>
              <w:t>物料进入搅拌仓后，关闭搅拌仓阀门同时</w:t>
            </w:r>
            <w:r>
              <w:rPr>
                <w:rFonts w:hint="eastAsia"/>
                <w:sz w:val="24"/>
                <w:szCs w:val="24"/>
              </w:rPr>
              <w:t>开启搅拌机进行密闭搅拌，且物料中加入了大量的水和外加剂，不会再有粉尘产生。本项目建设密闭搅拌楼，搅拌机配料仓及搅拌机出气口产生的粉尘经搅拌楼上方的抽风机负压收集，进入搅拌楼上方的</w:t>
            </w:r>
            <w:r>
              <w:rPr>
                <w:rFonts w:hint="eastAsia"/>
                <w:sz w:val="24"/>
                <w:szCs w:val="24"/>
                <w:lang w:val="en-US" w:eastAsia="zh-CN"/>
              </w:rPr>
              <w:t>脉冲</w:t>
            </w:r>
            <w:r>
              <w:rPr>
                <w:rFonts w:hint="eastAsia"/>
                <w:sz w:val="24"/>
                <w:szCs w:val="24"/>
              </w:rPr>
              <w:t>袋式除尘器治理。</w:t>
            </w:r>
            <w:r>
              <w:rPr>
                <w:rFonts w:hint="eastAsia"/>
                <w:sz w:val="24"/>
              </w:rPr>
              <w:t>搅拌机仓进料工序会产生颗粒物</w:t>
            </w:r>
            <w:r>
              <w:rPr>
                <w:rFonts w:hint="eastAsia"/>
                <w:sz w:val="24"/>
                <w:lang w:eastAsia="zh-CN"/>
              </w:rPr>
              <w:t>，</w:t>
            </w:r>
            <w:r>
              <w:rPr>
                <w:rFonts w:hint="eastAsia"/>
                <w:sz w:val="24"/>
              </w:rPr>
              <w:t>产排污系数参照</w:t>
            </w:r>
            <w:r>
              <w:rPr>
                <w:sz w:val="24"/>
              </w:rPr>
              <w:t>《</w:t>
            </w:r>
            <w:r>
              <w:rPr>
                <w:sz w:val="24"/>
                <w:szCs w:val="24"/>
              </w:rPr>
              <w:t>逸散性工业粉尘控制技</w:t>
            </w:r>
            <w:r>
              <w:rPr>
                <w:sz w:val="24"/>
                <w:szCs w:val="24"/>
                <w:highlight w:val="none"/>
              </w:rPr>
              <w:t>术》（中国环境科学出版社）中粒料加工厂的排放因子</w:t>
            </w:r>
            <w:r>
              <w:rPr>
                <w:rFonts w:hint="eastAsia"/>
                <w:sz w:val="24"/>
                <w:szCs w:val="24"/>
                <w:highlight w:val="none"/>
              </w:rPr>
              <w:t>，</w:t>
            </w:r>
            <w:r>
              <w:rPr>
                <w:sz w:val="24"/>
                <w:szCs w:val="24"/>
                <w:highlight w:val="none"/>
              </w:rPr>
              <w:t>上料粉尘产生系数为0.0</w:t>
            </w:r>
            <w:r>
              <w:rPr>
                <w:rFonts w:hint="eastAsia"/>
                <w:sz w:val="24"/>
                <w:szCs w:val="24"/>
                <w:highlight w:val="none"/>
              </w:rPr>
              <w:t>1</w:t>
            </w:r>
            <w:r>
              <w:rPr>
                <w:sz w:val="24"/>
                <w:szCs w:val="24"/>
                <w:highlight w:val="none"/>
              </w:rPr>
              <w:t>kg/t，</w:t>
            </w:r>
            <w:r>
              <w:rPr>
                <w:rFonts w:hint="eastAsia"/>
                <w:color w:val="000000"/>
                <w:sz w:val="24"/>
                <w:highlight w:val="none"/>
                <w:lang w:val="en-US" w:eastAsia="zh-CN"/>
              </w:rPr>
              <w:t>该工段年处理</w:t>
            </w:r>
            <w:r>
              <w:rPr>
                <w:rFonts w:hint="eastAsia"/>
                <w:color w:val="000000"/>
                <w:sz w:val="24"/>
                <w:highlight w:val="none"/>
              </w:rPr>
              <w:t>水泥、粉煤灰、矿粉</w:t>
            </w:r>
            <w:r>
              <w:rPr>
                <w:rFonts w:hint="eastAsia"/>
                <w:color w:val="000000"/>
                <w:sz w:val="24"/>
                <w:highlight w:val="none"/>
                <w:lang w:val="en-US" w:eastAsia="zh-CN"/>
              </w:rPr>
              <w:t>共计</w:t>
            </w:r>
            <w:r>
              <w:rPr>
                <w:rFonts w:hint="eastAsia"/>
                <w:color w:val="000000"/>
                <w:sz w:val="24"/>
                <w:highlight w:val="none"/>
              </w:rPr>
              <w:t>28万</w:t>
            </w:r>
            <w:r>
              <w:rPr>
                <w:color w:val="000000"/>
                <w:sz w:val="24"/>
                <w:highlight w:val="none"/>
              </w:rPr>
              <w:t>t</w:t>
            </w:r>
            <w:r>
              <w:rPr>
                <w:rFonts w:hint="eastAsia"/>
                <w:color w:val="000000"/>
                <w:sz w:val="24"/>
                <w:highlight w:val="none"/>
              </w:rPr>
              <w:t>，</w:t>
            </w:r>
            <w:r>
              <w:rPr>
                <w:rFonts w:hint="eastAsia"/>
                <w:color w:val="000000"/>
                <w:sz w:val="24"/>
                <w:highlight w:val="none"/>
                <w:lang w:val="en-US" w:eastAsia="zh-CN"/>
              </w:rPr>
              <w:t>经计算，</w:t>
            </w:r>
            <w:r>
              <w:rPr>
                <w:rFonts w:hint="eastAsia"/>
                <w:color w:val="000000"/>
                <w:sz w:val="24"/>
                <w:highlight w:val="none"/>
              </w:rPr>
              <w:t>该工段粉尘产生量为2</w:t>
            </w:r>
            <w:r>
              <w:rPr>
                <w:rFonts w:hint="eastAsia"/>
                <w:color w:val="000000"/>
                <w:sz w:val="24"/>
                <w:highlight w:val="none"/>
                <w:lang w:val="en-US" w:eastAsia="zh-CN"/>
              </w:rPr>
              <w:t>.</w:t>
            </w:r>
            <w:r>
              <w:rPr>
                <w:rFonts w:hint="eastAsia"/>
                <w:color w:val="000000"/>
                <w:sz w:val="24"/>
                <w:highlight w:val="none"/>
              </w:rPr>
              <w:t>8</w:t>
            </w:r>
            <w:r>
              <w:rPr>
                <w:color w:val="000000"/>
                <w:sz w:val="24"/>
                <w:highlight w:val="none"/>
              </w:rPr>
              <w:t>t/a</w:t>
            </w:r>
            <w:r>
              <w:rPr>
                <w:rFonts w:hint="eastAsia"/>
                <w:color w:val="000000"/>
                <w:sz w:val="24"/>
                <w:highlight w:val="none"/>
              </w:rPr>
              <w:t>。</w:t>
            </w:r>
            <w:r>
              <w:rPr>
                <w:rFonts w:hint="eastAsia"/>
                <w:color w:val="000000"/>
                <w:sz w:val="24"/>
                <w:highlight w:val="none"/>
                <w:lang w:val="en-US" w:eastAsia="zh-CN"/>
              </w:rPr>
              <w:t>脉冲</w:t>
            </w:r>
            <w:r>
              <w:rPr>
                <w:rFonts w:hint="eastAsia"/>
                <w:color w:val="000000"/>
                <w:sz w:val="24"/>
                <w:highlight w:val="none"/>
              </w:rPr>
              <w:t>袋式除尘器的除尘效率为</w:t>
            </w:r>
            <w:r>
              <w:rPr>
                <w:color w:val="000000"/>
                <w:sz w:val="24"/>
                <w:highlight w:val="none"/>
              </w:rPr>
              <w:t>99.</w:t>
            </w:r>
            <w:r>
              <w:rPr>
                <w:rFonts w:hint="eastAsia"/>
                <w:color w:val="000000"/>
                <w:sz w:val="24"/>
                <w:highlight w:val="none"/>
                <w:lang w:val="en-US" w:eastAsia="zh-CN"/>
              </w:rPr>
              <w:t>5</w:t>
            </w:r>
            <w:r>
              <w:rPr>
                <w:color w:val="000000"/>
                <w:sz w:val="24"/>
                <w:highlight w:val="none"/>
              </w:rPr>
              <w:t>%</w:t>
            </w:r>
            <w:r>
              <w:rPr>
                <w:rFonts w:hint="eastAsia"/>
                <w:color w:val="000000"/>
                <w:sz w:val="24"/>
                <w:highlight w:val="none"/>
              </w:rPr>
              <w:t>，</w:t>
            </w:r>
            <w:r>
              <w:rPr>
                <w:rFonts w:hint="eastAsia"/>
                <w:color w:val="000000"/>
                <w:sz w:val="24"/>
                <w:highlight w:val="none"/>
                <w:lang w:val="en-US" w:eastAsia="zh-CN"/>
              </w:rPr>
              <w:t>搅拌仓进料</w:t>
            </w:r>
            <w:r>
              <w:rPr>
                <w:rFonts w:hint="eastAsia"/>
                <w:color w:val="000000"/>
                <w:sz w:val="24"/>
                <w:highlight w:val="none"/>
              </w:rPr>
              <w:t>粉尘产生排放情</w:t>
            </w:r>
            <w:r>
              <w:rPr>
                <w:rFonts w:hint="eastAsia"/>
                <w:color w:val="000000"/>
                <w:sz w:val="24"/>
              </w:rPr>
              <w:t>况见下表。</w:t>
            </w:r>
          </w:p>
          <w:p>
            <w:pPr>
              <w:spacing w:line="440" w:lineRule="exact"/>
              <w:ind w:firstLine="480" w:firstLineChars="200"/>
              <w:jc w:val="left"/>
              <w:rPr>
                <w:color w:val="000000"/>
                <w:sz w:val="24"/>
              </w:rPr>
            </w:pPr>
            <w:r>
              <w:rPr>
                <w:rFonts w:hint="eastAsia" w:eastAsia="黑体"/>
                <w:color w:val="000000"/>
                <w:sz w:val="24"/>
              </w:rPr>
              <w:t>表</w:t>
            </w:r>
            <w:r>
              <w:rPr>
                <w:rFonts w:hint="eastAsia" w:eastAsia="黑体"/>
                <w:b/>
                <w:bCs/>
                <w:color w:val="000000"/>
                <w:sz w:val="24"/>
                <w:lang w:val="en-US" w:eastAsia="zh-CN"/>
              </w:rPr>
              <w:t>4-3</w:t>
            </w:r>
            <w:r>
              <w:rPr>
                <w:rFonts w:hint="eastAsia" w:eastAsia="黑体"/>
                <w:b/>
                <w:bCs/>
                <w:color w:val="000000"/>
                <w:sz w:val="24"/>
              </w:rPr>
              <w:t xml:space="preserve">               </w:t>
            </w:r>
            <w:r>
              <w:rPr>
                <w:rFonts w:hint="eastAsia" w:eastAsia="黑体"/>
                <w:color w:val="000000"/>
                <w:sz w:val="24"/>
              </w:rPr>
              <w:t>搅拌</w:t>
            </w:r>
            <w:r>
              <w:rPr>
                <w:rFonts w:hint="eastAsia" w:eastAsia="黑体"/>
                <w:color w:val="000000"/>
                <w:sz w:val="24"/>
                <w:lang w:val="en-US" w:eastAsia="zh-CN"/>
              </w:rPr>
              <w:t>仓进料</w:t>
            </w:r>
            <w:r>
              <w:rPr>
                <w:rFonts w:hint="eastAsia" w:eastAsia="黑体"/>
                <w:color w:val="000000"/>
                <w:sz w:val="24"/>
              </w:rPr>
              <w:t>粉尘产排情况</w:t>
            </w:r>
          </w:p>
          <w:tbl>
            <w:tblPr>
              <w:tblStyle w:val="24"/>
              <w:tblW w:w="907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19"/>
              <w:gridCol w:w="1041"/>
              <w:gridCol w:w="864"/>
              <w:gridCol w:w="908"/>
              <w:gridCol w:w="1078"/>
              <w:gridCol w:w="850"/>
              <w:gridCol w:w="1199"/>
              <w:gridCol w:w="807"/>
              <w:gridCol w:w="80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3" w:type="dxa"/>
                  <w:vMerge w:val="restart"/>
                  <w:tcBorders>
                    <w:top w:val="single" w:color="auto" w:sz="8" w:space="0"/>
                    <w:left w:val="nil"/>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设备名称</w:t>
                  </w:r>
                </w:p>
              </w:tc>
              <w:tc>
                <w:tcPr>
                  <w:tcW w:w="818"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数量</w:t>
                  </w:r>
                </w:p>
                <w:p>
                  <w:pPr>
                    <w:adjustRightInd w:val="0"/>
                    <w:snapToGrid w:val="0"/>
                    <w:jc w:val="center"/>
                    <w:rPr>
                      <w:b/>
                      <w:color w:val="000000"/>
                      <w:sz w:val="21"/>
                      <w:szCs w:val="21"/>
                    </w:rPr>
                  </w:pPr>
                  <w:r>
                    <w:rPr>
                      <w:rFonts w:hint="eastAsia"/>
                      <w:b/>
                      <w:color w:val="000000"/>
                      <w:sz w:val="21"/>
                      <w:szCs w:val="21"/>
                    </w:rPr>
                    <w:t>（个）</w:t>
                  </w:r>
                </w:p>
              </w:tc>
              <w:tc>
                <w:tcPr>
                  <w:tcW w:w="1040"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除尘</w:t>
                  </w:r>
                </w:p>
                <w:p>
                  <w:pPr>
                    <w:adjustRightInd w:val="0"/>
                    <w:snapToGrid w:val="0"/>
                    <w:jc w:val="center"/>
                    <w:rPr>
                      <w:b/>
                      <w:color w:val="000000"/>
                      <w:sz w:val="21"/>
                      <w:szCs w:val="21"/>
                    </w:rPr>
                  </w:pPr>
                  <w:r>
                    <w:rPr>
                      <w:rFonts w:hint="eastAsia"/>
                      <w:b/>
                      <w:color w:val="000000"/>
                      <w:sz w:val="21"/>
                      <w:szCs w:val="21"/>
                    </w:rPr>
                    <w:t>设施编号</w:t>
                  </w:r>
                </w:p>
              </w:tc>
              <w:tc>
                <w:tcPr>
                  <w:tcW w:w="864" w:type="dxa"/>
                  <w:vMerge w:val="restar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风量</w:t>
                  </w:r>
                </w:p>
                <w:p>
                  <w:pPr>
                    <w:adjustRightInd w:val="0"/>
                    <w:snapToGrid w:val="0"/>
                    <w:jc w:val="center"/>
                    <w:rPr>
                      <w:b/>
                      <w:color w:val="000000"/>
                      <w:sz w:val="21"/>
                      <w:szCs w:val="21"/>
                    </w:rPr>
                  </w:pPr>
                  <w:r>
                    <w:rPr>
                      <w:b/>
                      <w:color w:val="000000"/>
                      <w:sz w:val="21"/>
                      <w:szCs w:val="21"/>
                    </w:rPr>
                    <w:t>(m</w:t>
                  </w:r>
                  <w:r>
                    <w:rPr>
                      <w:b/>
                      <w:color w:val="000000"/>
                      <w:sz w:val="21"/>
                      <w:szCs w:val="21"/>
                      <w:vertAlign w:val="superscript"/>
                    </w:rPr>
                    <w:t>3</w:t>
                  </w:r>
                  <w:r>
                    <w:rPr>
                      <w:b/>
                      <w:color w:val="000000"/>
                      <w:sz w:val="21"/>
                      <w:szCs w:val="21"/>
                    </w:rPr>
                    <w:t>/h)</w:t>
                  </w:r>
                </w:p>
              </w:tc>
              <w:tc>
                <w:tcPr>
                  <w:tcW w:w="1986"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产生情况</w:t>
                  </w:r>
                </w:p>
              </w:tc>
              <w:tc>
                <w:tcPr>
                  <w:tcW w:w="2049" w:type="dxa"/>
                  <w:gridSpan w:val="2"/>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排放情况</w:t>
                  </w:r>
                </w:p>
              </w:tc>
              <w:tc>
                <w:tcPr>
                  <w:tcW w:w="807" w:type="dxa"/>
                  <w:vMerge w:val="restart"/>
                  <w:tcBorders>
                    <w:top w:val="single" w:color="auto" w:sz="8" w:space="0"/>
                    <w:left w:val="single" w:color="auto" w:sz="4" w:space="0"/>
                    <w:bottom w:val="single" w:color="auto" w:sz="8" w:space="0"/>
                    <w:right w:val="single" w:color="auto" w:sz="4" w:space="0"/>
                  </w:tcBorders>
                  <w:vAlign w:val="center"/>
                </w:tcPr>
                <w:p>
                  <w:pPr>
                    <w:jc w:val="center"/>
                    <w:rPr>
                      <w:b/>
                      <w:color w:val="000000"/>
                      <w:sz w:val="21"/>
                      <w:szCs w:val="21"/>
                    </w:rPr>
                  </w:pPr>
                  <w:r>
                    <w:rPr>
                      <w:rFonts w:hint="eastAsia"/>
                      <w:b/>
                      <w:color w:val="000000"/>
                      <w:sz w:val="21"/>
                      <w:szCs w:val="21"/>
                    </w:rPr>
                    <w:t>工作</w:t>
                  </w:r>
                </w:p>
                <w:p>
                  <w:pPr>
                    <w:jc w:val="center"/>
                    <w:rPr>
                      <w:b/>
                      <w:color w:val="FF0000"/>
                      <w:sz w:val="21"/>
                      <w:szCs w:val="21"/>
                    </w:rPr>
                  </w:pPr>
                  <w:r>
                    <w:rPr>
                      <w:rFonts w:hint="eastAsia"/>
                      <w:b/>
                      <w:color w:val="000000"/>
                      <w:sz w:val="21"/>
                      <w:szCs w:val="21"/>
                    </w:rPr>
                    <w:t>时间</w:t>
                  </w:r>
                  <w:r>
                    <w:rPr>
                      <w:b/>
                      <w:color w:val="000000"/>
                      <w:sz w:val="21"/>
                      <w:szCs w:val="21"/>
                    </w:rPr>
                    <w:t xml:space="preserve"> (h/a)</w:t>
                  </w:r>
                </w:p>
              </w:tc>
              <w:tc>
                <w:tcPr>
                  <w:tcW w:w="805" w:type="dxa"/>
                  <w:vMerge w:val="restart"/>
                  <w:tcBorders>
                    <w:top w:val="single" w:color="auto" w:sz="8" w:space="0"/>
                    <w:left w:val="single" w:color="auto" w:sz="4" w:space="0"/>
                    <w:bottom w:val="single" w:color="auto" w:sz="8" w:space="0"/>
                    <w:right w:val="nil"/>
                  </w:tcBorders>
                  <w:vAlign w:val="center"/>
                </w:tcPr>
                <w:p>
                  <w:pPr>
                    <w:jc w:val="center"/>
                    <w:rPr>
                      <w:b/>
                      <w:color w:val="000000"/>
                      <w:sz w:val="21"/>
                      <w:szCs w:val="21"/>
                    </w:rPr>
                  </w:pPr>
                  <w:r>
                    <w:rPr>
                      <w:rFonts w:hint="eastAsia"/>
                      <w:b/>
                      <w:color w:val="000000"/>
                      <w:sz w:val="21"/>
                      <w:szCs w:val="21"/>
                    </w:rPr>
                    <w:t>除尘效率</w:t>
                  </w:r>
                  <w:r>
                    <w:rPr>
                      <w:b/>
                      <w:color w:val="000000"/>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3" w:type="dxa"/>
                  <w:vMerge w:val="continue"/>
                  <w:tcBorders>
                    <w:top w:val="single" w:color="auto" w:sz="8" w:space="0"/>
                    <w:left w:val="nil"/>
                    <w:bottom w:val="single" w:color="auto" w:sz="8" w:space="0"/>
                    <w:right w:val="single" w:color="auto" w:sz="4" w:space="0"/>
                  </w:tcBorders>
                  <w:vAlign w:val="center"/>
                </w:tcPr>
                <w:p>
                  <w:pPr>
                    <w:widowControl/>
                    <w:jc w:val="left"/>
                    <w:rPr>
                      <w:b/>
                      <w:color w:val="000000"/>
                      <w:sz w:val="21"/>
                      <w:szCs w:val="21"/>
                    </w:rPr>
                  </w:pPr>
                </w:p>
              </w:tc>
              <w:tc>
                <w:tcPr>
                  <w:tcW w:w="818"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b/>
                      <w:color w:val="000000"/>
                      <w:sz w:val="21"/>
                      <w:szCs w:val="21"/>
                    </w:rPr>
                  </w:pPr>
                </w:p>
              </w:tc>
              <w:tc>
                <w:tcPr>
                  <w:tcW w:w="1040"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b/>
                      <w:color w:val="000000"/>
                      <w:sz w:val="21"/>
                      <w:szCs w:val="21"/>
                    </w:rPr>
                  </w:pPr>
                </w:p>
              </w:tc>
              <w:tc>
                <w:tcPr>
                  <w:tcW w:w="864"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b/>
                      <w:color w:val="000000"/>
                      <w:sz w:val="21"/>
                      <w:szCs w:val="21"/>
                    </w:rPr>
                  </w:pPr>
                </w:p>
              </w:tc>
              <w:tc>
                <w:tcPr>
                  <w:tcW w:w="908"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color w:val="FF0000"/>
                      <w:sz w:val="21"/>
                      <w:szCs w:val="21"/>
                    </w:rPr>
                  </w:pPr>
                  <w:r>
                    <w:rPr>
                      <w:rFonts w:hint="eastAsia"/>
                      <w:b/>
                      <w:color w:val="000000"/>
                      <w:sz w:val="21"/>
                      <w:szCs w:val="21"/>
                    </w:rPr>
                    <w:t>产生量（</w:t>
                  </w:r>
                  <w:r>
                    <w:rPr>
                      <w:b/>
                      <w:color w:val="000000"/>
                      <w:sz w:val="21"/>
                      <w:szCs w:val="21"/>
                    </w:rPr>
                    <w:t>t/a</w:t>
                  </w:r>
                  <w:r>
                    <w:rPr>
                      <w:rFonts w:hint="eastAsia"/>
                      <w:b/>
                      <w:color w:val="000000"/>
                      <w:sz w:val="21"/>
                      <w:szCs w:val="21"/>
                    </w:rPr>
                    <w:t>）</w:t>
                  </w:r>
                </w:p>
              </w:tc>
              <w:tc>
                <w:tcPr>
                  <w:tcW w:w="1078"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color w:val="FF0000"/>
                      <w:sz w:val="21"/>
                      <w:szCs w:val="21"/>
                    </w:rPr>
                  </w:pPr>
                  <w:r>
                    <w:rPr>
                      <w:rFonts w:hint="eastAsia"/>
                      <w:b/>
                      <w:color w:val="000000"/>
                      <w:sz w:val="21"/>
                      <w:szCs w:val="21"/>
                    </w:rPr>
                    <w:t>产生浓度</w:t>
                  </w:r>
                  <w:r>
                    <w:rPr>
                      <w:rFonts w:hint="eastAsia"/>
                      <w:b/>
                      <w:color w:val="000000"/>
                      <w:spacing w:val="-16"/>
                      <w:sz w:val="21"/>
                      <w:szCs w:val="21"/>
                    </w:rPr>
                    <w:t>（</w:t>
                  </w:r>
                  <w:r>
                    <w:rPr>
                      <w:b/>
                      <w:color w:val="000000"/>
                      <w:spacing w:val="-16"/>
                      <w:sz w:val="21"/>
                      <w:szCs w:val="21"/>
                    </w:rPr>
                    <w:t>mg/m</w:t>
                  </w:r>
                  <w:r>
                    <w:rPr>
                      <w:b/>
                      <w:color w:val="000000"/>
                      <w:spacing w:val="-16"/>
                      <w:sz w:val="21"/>
                      <w:szCs w:val="21"/>
                      <w:vertAlign w:val="superscript"/>
                    </w:rPr>
                    <w:t>3</w:t>
                  </w:r>
                  <w:r>
                    <w:rPr>
                      <w:rFonts w:hint="eastAsia"/>
                      <w:b/>
                      <w:color w:val="000000"/>
                      <w:spacing w:val="-16"/>
                      <w:sz w:val="21"/>
                      <w:szCs w:val="21"/>
                    </w:rPr>
                    <w:t>）</w:t>
                  </w:r>
                </w:p>
              </w:tc>
              <w:tc>
                <w:tcPr>
                  <w:tcW w:w="850"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排放量（</w:t>
                  </w:r>
                  <w:r>
                    <w:rPr>
                      <w:b/>
                      <w:color w:val="000000"/>
                      <w:sz w:val="21"/>
                      <w:szCs w:val="21"/>
                    </w:rPr>
                    <w:t>t/a</w:t>
                  </w:r>
                  <w:r>
                    <w:rPr>
                      <w:rFonts w:hint="eastAsia"/>
                      <w:b/>
                      <w:color w:val="000000"/>
                      <w:sz w:val="21"/>
                      <w:szCs w:val="21"/>
                    </w:rPr>
                    <w:t>）</w:t>
                  </w:r>
                </w:p>
              </w:tc>
              <w:tc>
                <w:tcPr>
                  <w:tcW w:w="1199"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排放浓度</w:t>
                  </w:r>
                  <w:r>
                    <w:rPr>
                      <w:b/>
                      <w:color w:val="000000"/>
                      <w:sz w:val="21"/>
                      <w:szCs w:val="21"/>
                    </w:rPr>
                    <w:t>(mg/m</w:t>
                  </w:r>
                  <w:r>
                    <w:rPr>
                      <w:b/>
                      <w:color w:val="000000"/>
                      <w:sz w:val="21"/>
                      <w:szCs w:val="21"/>
                      <w:vertAlign w:val="superscript"/>
                    </w:rPr>
                    <w:t>3</w:t>
                  </w:r>
                  <w:r>
                    <w:rPr>
                      <w:b/>
                      <w:color w:val="000000"/>
                      <w:sz w:val="21"/>
                      <w:szCs w:val="21"/>
                    </w:rPr>
                    <w:t>)</w:t>
                  </w:r>
                </w:p>
              </w:tc>
              <w:tc>
                <w:tcPr>
                  <w:tcW w:w="807" w:type="dxa"/>
                  <w:vMerge w:val="continue"/>
                  <w:tcBorders>
                    <w:top w:val="single" w:color="auto" w:sz="8" w:space="0"/>
                    <w:left w:val="single" w:color="auto" w:sz="4" w:space="0"/>
                    <w:bottom w:val="single" w:color="auto" w:sz="8" w:space="0"/>
                    <w:right w:val="single" w:color="auto" w:sz="4" w:space="0"/>
                  </w:tcBorders>
                  <w:vAlign w:val="center"/>
                </w:tcPr>
                <w:p>
                  <w:pPr>
                    <w:widowControl/>
                    <w:jc w:val="left"/>
                    <w:rPr>
                      <w:b/>
                      <w:color w:val="FF0000"/>
                      <w:sz w:val="21"/>
                      <w:szCs w:val="21"/>
                    </w:rPr>
                  </w:pPr>
                </w:p>
              </w:tc>
              <w:tc>
                <w:tcPr>
                  <w:tcW w:w="805" w:type="dxa"/>
                  <w:vMerge w:val="continue"/>
                  <w:tcBorders>
                    <w:top w:val="single" w:color="auto" w:sz="8" w:space="0"/>
                    <w:left w:val="single" w:color="auto" w:sz="4" w:space="0"/>
                    <w:bottom w:val="single" w:color="auto" w:sz="8" w:space="0"/>
                    <w:right w:val="nil"/>
                  </w:tcBorders>
                  <w:vAlign w:val="center"/>
                </w:tcPr>
                <w:p>
                  <w:pPr>
                    <w:widowControl/>
                    <w:jc w:val="left"/>
                    <w:rPr>
                      <w:b/>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3" w:type="dxa"/>
                  <w:tcBorders>
                    <w:top w:val="single" w:color="auto" w:sz="8" w:space="0"/>
                    <w:left w:val="nil"/>
                    <w:bottom w:val="single" w:color="auto" w:sz="8" w:space="0"/>
                    <w:right w:val="single" w:color="auto" w:sz="4" w:space="0"/>
                  </w:tcBorders>
                  <w:vAlign w:val="center"/>
                </w:tcPr>
                <w:p>
                  <w:pPr>
                    <w:adjustRightInd w:val="0"/>
                    <w:snapToGrid w:val="0"/>
                    <w:jc w:val="center"/>
                    <w:rPr>
                      <w:color w:val="000000"/>
                      <w:sz w:val="21"/>
                      <w:szCs w:val="21"/>
                    </w:rPr>
                  </w:pPr>
                  <w:r>
                    <w:rPr>
                      <w:rFonts w:hint="eastAsia"/>
                      <w:color w:val="000000"/>
                      <w:sz w:val="21"/>
                      <w:szCs w:val="21"/>
                    </w:rPr>
                    <w:t>搅拌机</w:t>
                  </w:r>
                </w:p>
              </w:tc>
              <w:tc>
                <w:tcPr>
                  <w:tcW w:w="81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color w:val="000000"/>
                      <w:sz w:val="21"/>
                      <w:szCs w:val="21"/>
                    </w:rPr>
                  </w:pPr>
                  <w:r>
                    <w:rPr>
                      <w:color w:val="000000"/>
                      <w:sz w:val="21"/>
                      <w:szCs w:val="21"/>
                    </w:rPr>
                    <w:t>2</w:t>
                  </w:r>
                </w:p>
              </w:tc>
              <w:tc>
                <w:tcPr>
                  <w:tcW w:w="104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eastAsia" w:eastAsia="宋体"/>
                      <w:color w:val="000000"/>
                      <w:sz w:val="21"/>
                      <w:szCs w:val="21"/>
                      <w:lang w:eastAsia="zh-CN"/>
                    </w:rPr>
                  </w:pPr>
                  <w:r>
                    <w:rPr>
                      <w:sz w:val="21"/>
                      <w:szCs w:val="21"/>
                    </w:rPr>
                    <w:t>DA00</w:t>
                  </w:r>
                  <w:r>
                    <w:rPr>
                      <w:rFonts w:hint="eastAsia"/>
                      <w:sz w:val="21"/>
                      <w:szCs w:val="21"/>
                      <w:lang w:val="en-US" w:eastAsia="zh-CN"/>
                    </w:rPr>
                    <w:t>3</w:t>
                  </w:r>
                </w:p>
              </w:tc>
              <w:tc>
                <w:tcPr>
                  <w:tcW w:w="864"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sz w:val="21"/>
                      <w:szCs w:val="21"/>
                    </w:rPr>
                  </w:pPr>
                  <w:r>
                    <w:rPr>
                      <w:rFonts w:hint="eastAsia"/>
                      <w:sz w:val="21"/>
                      <w:szCs w:val="21"/>
                      <w:lang w:val="en-US" w:eastAsia="zh-CN"/>
                    </w:rPr>
                    <w:t>30</w:t>
                  </w:r>
                  <w:r>
                    <w:rPr>
                      <w:sz w:val="21"/>
                      <w:szCs w:val="21"/>
                    </w:rPr>
                    <w:t>00</w:t>
                  </w:r>
                </w:p>
              </w:tc>
              <w:tc>
                <w:tcPr>
                  <w:tcW w:w="90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2.8</w:t>
                  </w:r>
                </w:p>
              </w:tc>
              <w:tc>
                <w:tcPr>
                  <w:tcW w:w="107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778</w:t>
                  </w:r>
                </w:p>
              </w:tc>
              <w:tc>
                <w:tcPr>
                  <w:tcW w:w="850"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0.014</w:t>
                  </w:r>
                </w:p>
              </w:tc>
              <w:tc>
                <w:tcPr>
                  <w:tcW w:w="119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3.9</w:t>
                  </w:r>
                </w:p>
              </w:tc>
              <w:tc>
                <w:tcPr>
                  <w:tcW w:w="807"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1200</w:t>
                  </w:r>
                </w:p>
              </w:tc>
              <w:tc>
                <w:tcPr>
                  <w:tcW w:w="805" w:type="dxa"/>
                  <w:tcBorders>
                    <w:top w:val="single" w:color="auto" w:sz="8" w:space="0"/>
                    <w:left w:val="single" w:color="auto" w:sz="4" w:space="0"/>
                    <w:bottom w:val="single" w:color="auto" w:sz="8" w:space="0"/>
                    <w:right w:val="nil"/>
                  </w:tcBorders>
                  <w:vAlign w:val="center"/>
                </w:tcPr>
                <w:p>
                  <w:pPr>
                    <w:adjustRightInd w:val="0"/>
                    <w:snapToGrid w:val="0"/>
                    <w:jc w:val="center"/>
                    <w:rPr>
                      <w:rFonts w:hint="eastAsia" w:eastAsia="宋体"/>
                      <w:color w:val="000000"/>
                      <w:sz w:val="21"/>
                      <w:szCs w:val="21"/>
                      <w:lang w:eastAsia="zh-CN"/>
                    </w:rPr>
                  </w:pPr>
                  <w:r>
                    <w:rPr>
                      <w:color w:val="000000"/>
                      <w:sz w:val="21"/>
                      <w:szCs w:val="21"/>
                    </w:rPr>
                    <w:t>99.</w:t>
                  </w:r>
                  <w:r>
                    <w:rPr>
                      <w:rFonts w:hint="eastAsia"/>
                      <w:color w:val="000000"/>
                      <w:sz w:val="21"/>
                      <w:szCs w:val="21"/>
                      <w:lang w:val="en-US" w:eastAsia="zh-CN"/>
                    </w:rPr>
                    <w:t>5</w:t>
                  </w:r>
                </w:p>
              </w:tc>
            </w:tr>
          </w:tbl>
          <w:p>
            <w:pPr>
              <w:spacing w:line="400" w:lineRule="exact"/>
              <w:ind w:firstLine="480" w:firstLineChars="200"/>
              <w:rPr>
                <w:color w:val="000000"/>
                <w:sz w:val="24"/>
              </w:rPr>
            </w:pPr>
            <w:r>
              <w:rPr>
                <w:rFonts w:hint="eastAsia"/>
                <w:color w:val="000000"/>
                <w:sz w:val="24"/>
              </w:rPr>
              <w:t>由上表可知，</w:t>
            </w:r>
            <w:r>
              <w:rPr>
                <w:rFonts w:hint="eastAsia"/>
                <w:color w:val="000000"/>
                <w:sz w:val="24"/>
                <w:lang w:val="en-US" w:eastAsia="zh-CN"/>
              </w:rPr>
              <w:t>搅拌工序</w:t>
            </w:r>
            <w:r>
              <w:rPr>
                <w:rFonts w:hint="eastAsia"/>
                <w:color w:val="000000"/>
                <w:sz w:val="24"/>
              </w:rPr>
              <w:t>粉尘经</w:t>
            </w:r>
            <w:r>
              <w:rPr>
                <w:rFonts w:hint="eastAsia"/>
                <w:color w:val="000000"/>
                <w:sz w:val="24"/>
                <w:lang w:val="en-US" w:eastAsia="zh-CN"/>
              </w:rPr>
              <w:t>脉冲</w:t>
            </w:r>
            <w:r>
              <w:rPr>
                <w:rFonts w:hint="eastAsia"/>
                <w:color w:val="000000"/>
                <w:sz w:val="24"/>
              </w:rPr>
              <w:t>袋式除尘器治理后排放浓度为</w:t>
            </w:r>
            <w:r>
              <w:rPr>
                <w:rFonts w:hint="eastAsia"/>
                <w:color w:val="000000"/>
                <w:sz w:val="24"/>
                <w:lang w:val="en-US" w:eastAsia="zh-CN"/>
              </w:rPr>
              <w:t>3.9</w:t>
            </w:r>
            <w:r>
              <w:rPr>
                <w:color w:val="000000"/>
                <w:sz w:val="24"/>
              </w:rPr>
              <w:t>mg/m</w:t>
            </w:r>
            <w:r>
              <w:rPr>
                <w:color w:val="000000"/>
                <w:sz w:val="24"/>
                <w:vertAlign w:val="superscript"/>
              </w:rPr>
              <w:t>3</w:t>
            </w:r>
            <w:r>
              <w:rPr>
                <w:rFonts w:hint="eastAsia"/>
                <w:color w:val="000000"/>
                <w:sz w:val="24"/>
              </w:rPr>
              <w:t>，能够满足《水泥工业大气污染物排放标准》</w:t>
            </w:r>
            <w:r>
              <w:rPr>
                <w:sz w:val="24"/>
              </w:rPr>
              <w:t>DB41/1953-2020</w:t>
            </w:r>
            <w:r>
              <w:rPr>
                <w:rFonts w:hint="eastAsia"/>
                <w:sz w:val="24"/>
              </w:rPr>
              <w:t>）表1散装水泥中转站及水泥制品生产中水泥仓及其它通风生产设备颗粒物排放浓度</w:t>
            </w:r>
            <w:r>
              <w:rPr>
                <w:sz w:val="24"/>
              </w:rPr>
              <w:t>10mg/m</w:t>
            </w:r>
            <w:r>
              <w:rPr>
                <w:sz w:val="24"/>
                <w:vertAlign w:val="superscript"/>
              </w:rPr>
              <w:t>3</w:t>
            </w:r>
            <w:r>
              <w:rPr>
                <w:rFonts w:hint="eastAsia"/>
                <w:sz w:val="24"/>
              </w:rPr>
              <w:t>的限值要求</w:t>
            </w:r>
            <w:r>
              <w:rPr>
                <w:rFonts w:hint="eastAsia"/>
                <w:color w:val="000000"/>
                <w:sz w:val="24"/>
              </w:rPr>
              <w:t>。治理后尾气通过</w:t>
            </w:r>
            <w:r>
              <w:rPr>
                <w:color w:val="000000"/>
                <w:sz w:val="24"/>
              </w:rPr>
              <w:t>1</w:t>
            </w:r>
            <w:r>
              <w:rPr>
                <w:rFonts w:hint="eastAsia"/>
                <w:color w:val="000000"/>
                <w:sz w:val="24"/>
              </w:rPr>
              <w:t>根（距地面）不低于</w:t>
            </w:r>
            <w:r>
              <w:rPr>
                <w:color w:val="000000"/>
                <w:sz w:val="24"/>
              </w:rPr>
              <w:t>15m</w:t>
            </w:r>
            <w:r>
              <w:rPr>
                <w:rFonts w:hint="eastAsia"/>
                <w:color w:val="000000"/>
                <w:sz w:val="24"/>
              </w:rPr>
              <w:t>排气筒</w:t>
            </w:r>
            <w:r>
              <w:rPr>
                <w:rFonts w:hint="eastAsia"/>
                <w:color w:val="000000"/>
                <w:sz w:val="24"/>
                <w:lang w:eastAsia="zh-CN"/>
              </w:rPr>
              <w:t>（</w:t>
            </w:r>
            <w:r>
              <w:rPr>
                <w:rFonts w:hint="eastAsia"/>
                <w:color w:val="000000"/>
                <w:sz w:val="24"/>
                <w:lang w:val="en-US" w:eastAsia="zh-CN"/>
              </w:rPr>
              <w:t>DA003</w:t>
            </w:r>
            <w:r>
              <w:rPr>
                <w:rFonts w:hint="eastAsia"/>
                <w:color w:val="000000"/>
                <w:sz w:val="24"/>
                <w:lang w:eastAsia="zh-CN"/>
              </w:rPr>
              <w:t>）</w:t>
            </w:r>
            <w:r>
              <w:rPr>
                <w:rFonts w:hint="eastAsia"/>
                <w:color w:val="000000"/>
                <w:sz w:val="24"/>
              </w:rPr>
              <w:t>有组织排放。</w:t>
            </w:r>
          </w:p>
          <w:p>
            <w:pPr>
              <w:spacing w:line="440" w:lineRule="exact"/>
              <w:rPr>
                <w:sz w:val="24"/>
              </w:rPr>
            </w:pPr>
            <w:r>
              <w:rPr>
                <w:rFonts w:hint="eastAsia"/>
                <w:sz w:val="24"/>
              </w:rPr>
              <w:t xml:space="preserve">   （3）</w:t>
            </w:r>
            <w:r>
              <w:rPr>
                <w:rFonts w:hint="eastAsia"/>
                <w:color w:val="000000"/>
                <w:sz w:val="24"/>
              </w:rPr>
              <w:t>输送粉尘</w:t>
            </w:r>
          </w:p>
          <w:p>
            <w:pPr>
              <w:spacing w:line="400" w:lineRule="exact"/>
              <w:ind w:firstLine="480" w:firstLineChars="200"/>
              <w:rPr>
                <w:color w:val="000000"/>
                <w:sz w:val="24"/>
              </w:rPr>
            </w:pPr>
            <w:r>
              <w:rPr>
                <w:rFonts w:hint="eastAsia"/>
                <w:color w:val="000000"/>
                <w:sz w:val="24"/>
              </w:rPr>
              <w:t>由于本项目水泥、粉煤灰、矿粉以压缩空气吹入各自筒仓，筒仓中粉料采用螺旋输送机输送；砂石输送为密闭皮带机形式，因此本项目砂石料、粉状料在输送过程中无粉尘产生。</w:t>
            </w:r>
          </w:p>
          <w:p>
            <w:pPr>
              <w:spacing w:line="440" w:lineRule="exact"/>
              <w:rPr>
                <w:b/>
                <w:bCs/>
                <w:sz w:val="24"/>
                <w:szCs w:val="24"/>
              </w:rPr>
            </w:pPr>
            <w:r>
              <w:rPr>
                <w:rFonts w:hint="eastAsia"/>
                <w:b/>
                <w:bCs/>
                <w:sz w:val="24"/>
                <w:szCs w:val="24"/>
              </w:rPr>
              <w:t xml:space="preserve">  2、无组织排放分析</w:t>
            </w:r>
          </w:p>
          <w:p>
            <w:pPr>
              <w:spacing w:line="440" w:lineRule="exact"/>
              <w:ind w:firstLine="480" w:firstLineChars="200"/>
              <w:rPr>
                <w:rFonts w:hint="eastAsia" w:eastAsia="宋体"/>
                <w:sz w:val="24"/>
                <w:lang w:eastAsia="zh-CN"/>
              </w:rPr>
            </w:pPr>
            <w:r>
              <w:rPr>
                <w:rFonts w:hint="eastAsia"/>
                <w:sz w:val="24"/>
              </w:rPr>
              <w:t>企业虽采取了有效措施对各粉尘排放点进行收集和治理，但在运营过程中，仍存在一些例如原料储存、输送转运等环节产生的粉尘以无组织形式排放。另外，运输汽车厂区行驶引起的二次扬尘对厂区及周围环境同样能够造成一定的影响。</w:t>
            </w:r>
          </w:p>
          <w:p>
            <w:pPr>
              <w:spacing w:line="440" w:lineRule="exact"/>
              <w:ind w:firstLine="480" w:firstLineChars="200"/>
              <w:rPr>
                <w:rFonts w:hint="eastAsia" w:eastAsia="宋体"/>
                <w:bCs/>
                <w:sz w:val="24"/>
                <w:lang w:val="en-US" w:eastAsia="zh-CN"/>
              </w:rPr>
            </w:pPr>
            <w:r>
              <w:rPr>
                <w:rFonts w:hint="eastAsia"/>
                <w:bCs/>
                <w:sz w:val="24"/>
              </w:rPr>
              <w:t>（</w:t>
            </w:r>
            <w:r>
              <w:rPr>
                <w:bCs/>
                <w:sz w:val="24"/>
              </w:rPr>
              <w:t>1</w:t>
            </w:r>
            <w:r>
              <w:rPr>
                <w:rFonts w:hint="eastAsia"/>
                <w:bCs/>
                <w:sz w:val="24"/>
              </w:rPr>
              <w:t>）原料储存</w:t>
            </w:r>
            <w:r>
              <w:rPr>
                <w:rFonts w:hint="eastAsia"/>
                <w:bCs/>
                <w:sz w:val="24"/>
                <w:lang w:val="en-US" w:eastAsia="zh-CN"/>
              </w:rPr>
              <w:t>扬尘</w:t>
            </w:r>
          </w:p>
          <w:p>
            <w:pPr>
              <w:spacing w:line="440" w:lineRule="exact"/>
              <w:ind w:firstLine="480" w:firstLineChars="200"/>
              <w:rPr>
                <w:bCs/>
                <w:sz w:val="24"/>
              </w:rPr>
            </w:pPr>
            <w:r>
              <w:rPr>
                <w:rFonts w:hint="eastAsia"/>
                <w:sz w:val="24"/>
              </w:rPr>
              <w:t>企业所需原料石子、砂子</w:t>
            </w:r>
            <w:r>
              <w:rPr>
                <w:rFonts w:hint="eastAsia"/>
                <w:sz w:val="24"/>
                <w:szCs w:val="24"/>
              </w:rPr>
              <w:t>均</w:t>
            </w:r>
            <w:r>
              <w:rPr>
                <w:rFonts w:hint="eastAsia"/>
                <w:sz w:val="24"/>
              </w:rPr>
              <w:t>由汽运方式进厂入密闭原料库房，卸料瞬间由于落差原因会有扬尘的产生，产生量0.5t/a，由于原料的比重较大，且建设单位设计采用安装喷雾装置洒水抑尘，绝大部分会在原料库房内沉降下来，原料库无组织排放量约</w:t>
            </w:r>
            <w:r>
              <w:rPr>
                <w:rFonts w:hint="eastAsia"/>
                <w:sz w:val="24"/>
                <w:lang w:val="en-US" w:eastAsia="zh-CN"/>
              </w:rPr>
              <w:t>占产生量的10%，即</w:t>
            </w:r>
            <w:r>
              <w:rPr>
                <w:rFonts w:hint="eastAsia"/>
                <w:sz w:val="24"/>
              </w:rPr>
              <w:t>0.05</w:t>
            </w:r>
            <w:r>
              <w:rPr>
                <w:sz w:val="24"/>
              </w:rPr>
              <w:t>t/a</w:t>
            </w:r>
            <w:r>
              <w:rPr>
                <w:rFonts w:hint="eastAsia"/>
                <w:bCs/>
                <w:sz w:val="24"/>
              </w:rPr>
              <w:t>。</w:t>
            </w:r>
          </w:p>
          <w:p>
            <w:pPr>
              <w:spacing w:line="440" w:lineRule="exact"/>
              <w:ind w:firstLine="360" w:firstLineChars="150"/>
              <w:rPr>
                <w:sz w:val="24"/>
              </w:rPr>
            </w:pPr>
            <w:r>
              <w:rPr>
                <w:rFonts w:hint="eastAsia"/>
                <w:sz w:val="24"/>
              </w:rPr>
              <w:t>（</w:t>
            </w:r>
            <w:r>
              <w:rPr>
                <w:sz w:val="24"/>
              </w:rPr>
              <w:t>2</w:t>
            </w:r>
            <w:r>
              <w:rPr>
                <w:rFonts w:hint="eastAsia"/>
                <w:sz w:val="24"/>
              </w:rPr>
              <w:t>）</w:t>
            </w:r>
            <w:r>
              <w:rPr>
                <w:rFonts w:hint="eastAsia"/>
                <w:bCs/>
                <w:sz w:val="24"/>
                <w:szCs w:val="20"/>
              </w:rPr>
              <w:t>汽车动力起尘</w:t>
            </w:r>
          </w:p>
          <w:p>
            <w:pPr>
              <w:spacing w:line="440" w:lineRule="exact"/>
              <w:ind w:firstLine="480" w:firstLineChars="200"/>
              <w:rPr>
                <w:bCs/>
                <w:sz w:val="24"/>
                <w:szCs w:val="20"/>
              </w:rPr>
            </w:pPr>
            <w:r>
              <w:rPr>
                <w:rFonts w:hint="eastAsia"/>
                <w:bCs/>
                <w:sz w:val="24"/>
                <w:szCs w:val="20"/>
              </w:rPr>
              <w:t>车辆行</w:t>
            </w:r>
            <w:r>
              <w:rPr>
                <w:rFonts w:hint="eastAsia"/>
                <w:sz w:val="24"/>
                <w:szCs w:val="20"/>
              </w:rPr>
              <w:t>驶产生的扬尘，在道路完全干燥的情况下，可按下列经验公式计算：</w:t>
            </w:r>
          </w:p>
          <w:p>
            <w:pPr>
              <w:tabs>
                <w:tab w:val="left" w:pos="1680"/>
              </w:tabs>
              <w:adjustRightInd w:val="0"/>
              <w:snapToGrid w:val="0"/>
              <w:spacing w:line="460" w:lineRule="exact"/>
              <w:ind w:firstLine="2160" w:firstLineChars="900"/>
              <w:rPr>
                <w:color w:val="000000"/>
                <w:sz w:val="24"/>
                <w:vertAlign w:val="superscript"/>
              </w:rPr>
            </w:pPr>
            <w:r>
              <w:rPr>
                <w:color w:val="000000"/>
                <w:sz w:val="24"/>
              </w:rPr>
              <w:t>Q=0.0079×V×W</w:t>
            </w:r>
            <w:r>
              <w:rPr>
                <w:color w:val="000000"/>
                <w:sz w:val="24"/>
                <w:vertAlign w:val="superscript"/>
              </w:rPr>
              <w:t>0.85</w:t>
            </w:r>
            <w:r>
              <w:rPr>
                <w:color w:val="000000"/>
                <w:sz w:val="24"/>
              </w:rPr>
              <w:t>×P</w:t>
            </w:r>
            <w:r>
              <w:rPr>
                <w:color w:val="000000"/>
                <w:sz w:val="24"/>
                <w:vertAlign w:val="superscript"/>
              </w:rPr>
              <w:t>0.72</w:t>
            </w:r>
          </w:p>
          <w:p>
            <w:pPr>
              <w:tabs>
                <w:tab w:val="left" w:pos="1680"/>
              </w:tabs>
              <w:adjustRightInd w:val="0"/>
              <w:snapToGrid w:val="0"/>
              <w:spacing w:line="460" w:lineRule="exact"/>
              <w:ind w:firstLine="480" w:firstLineChars="200"/>
              <w:rPr>
                <w:color w:val="000000"/>
                <w:sz w:val="24"/>
              </w:rPr>
            </w:pPr>
            <w:r>
              <w:rPr>
                <w:rFonts w:hint="eastAsia"/>
                <w:color w:val="000000"/>
                <w:sz w:val="24"/>
              </w:rPr>
              <w:t>式中：</w:t>
            </w:r>
            <w:r>
              <w:rPr>
                <w:color w:val="000000"/>
                <w:sz w:val="24"/>
              </w:rPr>
              <w:t xml:space="preserve">Q </w:t>
            </w:r>
            <w:r>
              <w:rPr>
                <w:rFonts w:hint="eastAsia"/>
                <w:color w:val="000000"/>
                <w:sz w:val="24"/>
              </w:rPr>
              <w:t>每辆汽车行驶时产生的扬尘，</w:t>
            </w:r>
            <w:r>
              <w:rPr>
                <w:color w:val="000000"/>
                <w:sz w:val="24"/>
              </w:rPr>
              <w:t>kg/km.</w:t>
            </w:r>
            <w:r>
              <w:rPr>
                <w:rFonts w:hint="eastAsia"/>
                <w:color w:val="000000"/>
                <w:sz w:val="24"/>
              </w:rPr>
              <w:t>辆；</w:t>
            </w:r>
          </w:p>
          <w:p>
            <w:pPr>
              <w:tabs>
                <w:tab w:val="left" w:pos="1680"/>
              </w:tabs>
              <w:adjustRightInd w:val="0"/>
              <w:snapToGrid w:val="0"/>
              <w:spacing w:line="460" w:lineRule="exact"/>
              <w:ind w:firstLine="480" w:firstLineChars="200"/>
              <w:rPr>
                <w:color w:val="000000"/>
                <w:sz w:val="24"/>
              </w:rPr>
            </w:pPr>
            <w:r>
              <w:rPr>
                <w:color w:val="000000"/>
                <w:sz w:val="24"/>
              </w:rPr>
              <w:t xml:space="preserve">      V </w:t>
            </w:r>
            <w:r>
              <w:rPr>
                <w:rFonts w:hint="eastAsia"/>
                <w:color w:val="000000"/>
                <w:sz w:val="24"/>
              </w:rPr>
              <w:t>汽车速度，</w:t>
            </w:r>
            <w:r>
              <w:rPr>
                <w:color w:val="000000"/>
                <w:sz w:val="24"/>
              </w:rPr>
              <w:t>km/h</w:t>
            </w:r>
            <w:r>
              <w:rPr>
                <w:rFonts w:hint="eastAsia"/>
                <w:color w:val="000000"/>
                <w:sz w:val="24"/>
              </w:rPr>
              <w:t>；</w:t>
            </w:r>
          </w:p>
          <w:p>
            <w:pPr>
              <w:tabs>
                <w:tab w:val="left" w:pos="1680"/>
              </w:tabs>
              <w:adjustRightInd w:val="0"/>
              <w:snapToGrid w:val="0"/>
              <w:spacing w:line="460" w:lineRule="exact"/>
              <w:ind w:firstLine="480" w:firstLineChars="200"/>
              <w:rPr>
                <w:color w:val="000000"/>
                <w:sz w:val="24"/>
              </w:rPr>
            </w:pPr>
            <w:r>
              <w:rPr>
                <w:color w:val="000000"/>
                <w:sz w:val="24"/>
              </w:rPr>
              <w:t xml:space="preserve">      W </w:t>
            </w:r>
            <w:r>
              <w:rPr>
                <w:rFonts w:hint="eastAsia"/>
                <w:color w:val="000000"/>
                <w:sz w:val="24"/>
              </w:rPr>
              <w:t>汽车载重量，吨；</w:t>
            </w:r>
          </w:p>
          <w:p>
            <w:pPr>
              <w:tabs>
                <w:tab w:val="left" w:pos="1680"/>
              </w:tabs>
              <w:adjustRightInd w:val="0"/>
              <w:snapToGrid w:val="0"/>
              <w:spacing w:line="460" w:lineRule="exact"/>
              <w:ind w:firstLine="480" w:firstLineChars="200"/>
              <w:rPr>
                <w:color w:val="000000"/>
                <w:sz w:val="24"/>
              </w:rPr>
            </w:pPr>
            <w:r>
              <w:rPr>
                <w:color w:val="000000"/>
                <w:sz w:val="24"/>
              </w:rPr>
              <w:t xml:space="preserve">      P  </w:t>
            </w:r>
            <w:r>
              <w:rPr>
                <w:rFonts w:hint="eastAsia"/>
                <w:color w:val="000000"/>
                <w:sz w:val="24"/>
              </w:rPr>
              <w:t>道路表面粉尘量，</w:t>
            </w:r>
            <w:r>
              <w:rPr>
                <w:color w:val="000000"/>
                <w:sz w:val="24"/>
              </w:rPr>
              <w:t>kg/m</w:t>
            </w:r>
            <w:r>
              <w:rPr>
                <w:color w:val="000000"/>
                <w:sz w:val="24"/>
                <w:vertAlign w:val="superscript"/>
              </w:rPr>
              <w:t>2</w:t>
            </w:r>
            <w:r>
              <w:rPr>
                <w:rFonts w:hint="eastAsia"/>
                <w:color w:val="000000"/>
                <w:sz w:val="24"/>
              </w:rPr>
              <w:t>；</w:t>
            </w:r>
          </w:p>
          <w:p>
            <w:pPr>
              <w:tabs>
                <w:tab w:val="left" w:pos="1680"/>
              </w:tabs>
              <w:adjustRightInd w:val="0"/>
              <w:snapToGrid w:val="0"/>
              <w:spacing w:line="460" w:lineRule="exact"/>
              <w:ind w:firstLine="480" w:firstLineChars="200"/>
              <w:rPr>
                <w:rFonts w:eastAsia="黑体"/>
                <w:sz w:val="24"/>
              </w:rPr>
            </w:pPr>
            <w:r>
              <w:rPr>
                <w:rFonts w:hint="eastAsia"/>
                <w:bCs/>
                <w:sz w:val="24"/>
              </w:rPr>
              <w:t xml:space="preserve"> </w:t>
            </w:r>
            <w:r>
              <w:rPr>
                <w:rFonts w:hint="eastAsia" w:eastAsia="黑体"/>
                <w:sz w:val="24"/>
              </w:rPr>
              <w:t>表</w:t>
            </w:r>
            <w:r>
              <w:rPr>
                <w:rFonts w:hint="eastAsia" w:eastAsia="黑体"/>
                <w:sz w:val="24"/>
                <w:lang w:val="en-US" w:eastAsia="zh-CN"/>
              </w:rPr>
              <w:t xml:space="preserve">4-4         </w:t>
            </w:r>
            <w:r>
              <w:rPr>
                <w:rFonts w:hint="eastAsia" w:eastAsia="黑体"/>
                <w:sz w:val="24"/>
              </w:rPr>
              <w:t>汽车道路扬尘计算参数和结果</w:t>
            </w:r>
          </w:p>
          <w:tbl>
            <w:tblPr>
              <w:tblStyle w:val="24"/>
              <w:tblW w:w="9075" w:type="dxa"/>
              <w:tblInd w:w="0" w:type="dxa"/>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815"/>
              <w:gridCol w:w="1815"/>
              <w:gridCol w:w="1815"/>
              <w:gridCol w:w="1815"/>
              <w:gridCol w:w="1815"/>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1721" w:type="dxa"/>
                  <w:tcBorders>
                    <w:top w:val="single" w:color="auto" w:sz="8" w:space="0"/>
                    <w:left w:val="nil"/>
                    <w:bottom w:val="single" w:color="auto" w:sz="8" w:space="0"/>
                    <w:right w:val="single" w:color="auto" w:sz="4" w:space="0"/>
                  </w:tcBorders>
                  <w:vAlign w:val="center"/>
                </w:tcPr>
                <w:p>
                  <w:pPr>
                    <w:tabs>
                      <w:tab w:val="left" w:pos="1680"/>
                    </w:tabs>
                    <w:adjustRightInd w:val="0"/>
                    <w:snapToGrid w:val="0"/>
                    <w:jc w:val="center"/>
                    <w:rPr>
                      <w:b/>
                      <w:color w:val="000000"/>
                      <w:sz w:val="21"/>
                      <w:szCs w:val="21"/>
                    </w:rPr>
                  </w:pPr>
                  <w:r>
                    <w:rPr>
                      <w:rFonts w:hint="eastAsia"/>
                      <w:b/>
                      <w:color w:val="000000"/>
                      <w:sz w:val="21"/>
                      <w:szCs w:val="21"/>
                    </w:rPr>
                    <w:t>路况</w:t>
                  </w:r>
                </w:p>
              </w:tc>
              <w:tc>
                <w:tcPr>
                  <w:tcW w:w="1721" w:type="dxa"/>
                  <w:tcBorders>
                    <w:top w:val="single" w:color="auto" w:sz="8" w:space="0"/>
                    <w:left w:val="single" w:color="auto" w:sz="4" w:space="0"/>
                    <w:bottom w:val="single" w:color="auto" w:sz="8" w:space="0"/>
                    <w:right w:val="single" w:color="auto" w:sz="4" w:space="0"/>
                  </w:tcBorders>
                  <w:vAlign w:val="center"/>
                </w:tcPr>
                <w:p>
                  <w:pPr>
                    <w:tabs>
                      <w:tab w:val="left" w:pos="1680"/>
                    </w:tabs>
                    <w:adjustRightInd w:val="0"/>
                    <w:snapToGrid w:val="0"/>
                    <w:jc w:val="center"/>
                    <w:rPr>
                      <w:b/>
                      <w:color w:val="000000"/>
                      <w:sz w:val="21"/>
                      <w:szCs w:val="21"/>
                    </w:rPr>
                  </w:pPr>
                  <w:r>
                    <w:rPr>
                      <w:b/>
                      <w:color w:val="000000"/>
                      <w:sz w:val="21"/>
                      <w:szCs w:val="21"/>
                    </w:rPr>
                    <w:t>V</w:t>
                  </w:r>
                  <w:r>
                    <w:rPr>
                      <w:rFonts w:hint="eastAsia"/>
                      <w:b/>
                      <w:color w:val="000000"/>
                      <w:sz w:val="21"/>
                      <w:szCs w:val="21"/>
                    </w:rPr>
                    <w:t>（</w:t>
                  </w:r>
                  <w:r>
                    <w:rPr>
                      <w:b/>
                      <w:color w:val="000000"/>
                      <w:sz w:val="21"/>
                      <w:szCs w:val="21"/>
                    </w:rPr>
                    <w:t>km/h</w:t>
                  </w:r>
                  <w:r>
                    <w:rPr>
                      <w:rFonts w:hint="eastAsia"/>
                      <w:b/>
                      <w:color w:val="000000"/>
                      <w:sz w:val="21"/>
                      <w:szCs w:val="21"/>
                    </w:rPr>
                    <w:t>）</w:t>
                  </w:r>
                </w:p>
              </w:tc>
              <w:tc>
                <w:tcPr>
                  <w:tcW w:w="1722" w:type="dxa"/>
                  <w:tcBorders>
                    <w:top w:val="single" w:color="auto" w:sz="8" w:space="0"/>
                    <w:left w:val="single" w:color="auto" w:sz="4" w:space="0"/>
                    <w:bottom w:val="single" w:color="auto" w:sz="8" w:space="0"/>
                    <w:right w:val="single" w:color="auto" w:sz="4" w:space="0"/>
                  </w:tcBorders>
                  <w:vAlign w:val="center"/>
                </w:tcPr>
                <w:p>
                  <w:pPr>
                    <w:tabs>
                      <w:tab w:val="left" w:pos="1680"/>
                    </w:tabs>
                    <w:adjustRightInd w:val="0"/>
                    <w:snapToGrid w:val="0"/>
                    <w:jc w:val="center"/>
                    <w:rPr>
                      <w:b/>
                      <w:color w:val="000000"/>
                      <w:sz w:val="21"/>
                      <w:szCs w:val="21"/>
                    </w:rPr>
                  </w:pPr>
                  <w:r>
                    <w:rPr>
                      <w:b/>
                      <w:color w:val="000000"/>
                      <w:sz w:val="21"/>
                      <w:szCs w:val="21"/>
                    </w:rPr>
                    <w:t>W</w:t>
                  </w:r>
                  <w:r>
                    <w:rPr>
                      <w:rFonts w:hint="eastAsia"/>
                      <w:b/>
                      <w:color w:val="000000"/>
                      <w:sz w:val="21"/>
                      <w:szCs w:val="21"/>
                    </w:rPr>
                    <w:t>（</w:t>
                  </w:r>
                  <w:r>
                    <w:rPr>
                      <w:b/>
                      <w:color w:val="000000"/>
                      <w:sz w:val="21"/>
                      <w:szCs w:val="21"/>
                    </w:rPr>
                    <w:t>t</w:t>
                  </w:r>
                  <w:r>
                    <w:rPr>
                      <w:rFonts w:hint="eastAsia"/>
                      <w:b/>
                      <w:color w:val="000000"/>
                      <w:sz w:val="21"/>
                      <w:szCs w:val="21"/>
                    </w:rPr>
                    <w:t>）</w:t>
                  </w:r>
                </w:p>
              </w:tc>
              <w:tc>
                <w:tcPr>
                  <w:tcW w:w="1722" w:type="dxa"/>
                  <w:tcBorders>
                    <w:top w:val="single" w:color="auto" w:sz="8" w:space="0"/>
                    <w:left w:val="single" w:color="auto" w:sz="4" w:space="0"/>
                    <w:bottom w:val="single" w:color="auto" w:sz="8" w:space="0"/>
                    <w:right w:val="single" w:color="auto" w:sz="4" w:space="0"/>
                  </w:tcBorders>
                  <w:vAlign w:val="center"/>
                </w:tcPr>
                <w:p>
                  <w:pPr>
                    <w:tabs>
                      <w:tab w:val="left" w:pos="1680"/>
                    </w:tabs>
                    <w:adjustRightInd w:val="0"/>
                    <w:snapToGrid w:val="0"/>
                    <w:jc w:val="center"/>
                    <w:rPr>
                      <w:b/>
                      <w:color w:val="000000"/>
                      <w:sz w:val="21"/>
                      <w:szCs w:val="21"/>
                    </w:rPr>
                  </w:pPr>
                  <w:r>
                    <w:rPr>
                      <w:b/>
                      <w:color w:val="000000"/>
                      <w:sz w:val="21"/>
                      <w:szCs w:val="21"/>
                    </w:rPr>
                    <w:t>P</w:t>
                  </w:r>
                  <w:r>
                    <w:rPr>
                      <w:rFonts w:hint="eastAsia"/>
                      <w:b/>
                      <w:color w:val="000000"/>
                      <w:sz w:val="21"/>
                      <w:szCs w:val="21"/>
                    </w:rPr>
                    <w:t>（</w:t>
                  </w:r>
                  <w:r>
                    <w:rPr>
                      <w:b/>
                      <w:color w:val="000000"/>
                      <w:sz w:val="21"/>
                      <w:szCs w:val="21"/>
                    </w:rPr>
                    <w:t>kg/m</w:t>
                  </w:r>
                  <w:r>
                    <w:rPr>
                      <w:b/>
                      <w:color w:val="000000"/>
                      <w:sz w:val="21"/>
                      <w:szCs w:val="21"/>
                      <w:vertAlign w:val="superscript"/>
                    </w:rPr>
                    <w:t>2</w:t>
                  </w:r>
                  <w:r>
                    <w:rPr>
                      <w:rFonts w:hint="eastAsia"/>
                      <w:b/>
                      <w:color w:val="000000"/>
                      <w:sz w:val="21"/>
                      <w:szCs w:val="21"/>
                    </w:rPr>
                    <w:t>）</w:t>
                  </w:r>
                </w:p>
              </w:tc>
              <w:tc>
                <w:tcPr>
                  <w:tcW w:w="1722" w:type="dxa"/>
                  <w:tcBorders>
                    <w:top w:val="single" w:color="auto" w:sz="8" w:space="0"/>
                    <w:left w:val="single" w:color="auto" w:sz="4" w:space="0"/>
                    <w:bottom w:val="single" w:color="auto" w:sz="8" w:space="0"/>
                    <w:right w:val="nil"/>
                  </w:tcBorders>
                  <w:vAlign w:val="center"/>
                </w:tcPr>
                <w:p>
                  <w:pPr>
                    <w:tabs>
                      <w:tab w:val="left" w:pos="1680"/>
                    </w:tabs>
                    <w:adjustRightInd w:val="0"/>
                    <w:snapToGrid w:val="0"/>
                    <w:jc w:val="center"/>
                    <w:rPr>
                      <w:b/>
                      <w:color w:val="000000"/>
                      <w:sz w:val="21"/>
                      <w:szCs w:val="21"/>
                    </w:rPr>
                  </w:pPr>
                  <w:r>
                    <w:rPr>
                      <w:rFonts w:hint="eastAsia"/>
                      <w:b/>
                      <w:color w:val="000000"/>
                      <w:sz w:val="21"/>
                      <w:szCs w:val="21"/>
                    </w:rPr>
                    <w:t>每辆汽车行驶扬尘量</w:t>
                  </w:r>
                  <w:r>
                    <w:rPr>
                      <w:b/>
                      <w:color w:val="000000"/>
                      <w:sz w:val="21"/>
                      <w:szCs w:val="21"/>
                    </w:rPr>
                    <w:t>kg/km.</w:t>
                  </w:r>
                  <w:r>
                    <w:rPr>
                      <w:rFonts w:hint="eastAsia"/>
                      <w:b/>
                      <w:color w:val="000000"/>
                      <w:sz w:val="21"/>
                      <w:szCs w:val="21"/>
                    </w:rPr>
                    <w:t>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trPr>
              <w:tc>
                <w:tcPr>
                  <w:tcW w:w="1721" w:type="dxa"/>
                  <w:tcBorders>
                    <w:top w:val="single" w:color="auto" w:sz="8" w:space="0"/>
                    <w:left w:val="nil"/>
                    <w:bottom w:val="single" w:color="auto" w:sz="8" w:space="0"/>
                    <w:right w:val="single" w:color="auto" w:sz="4" w:space="0"/>
                  </w:tcBorders>
                  <w:vAlign w:val="center"/>
                </w:tcPr>
                <w:p>
                  <w:pPr>
                    <w:tabs>
                      <w:tab w:val="left" w:pos="1680"/>
                    </w:tabs>
                    <w:adjustRightInd w:val="0"/>
                    <w:snapToGrid w:val="0"/>
                    <w:jc w:val="center"/>
                    <w:rPr>
                      <w:color w:val="000000"/>
                      <w:sz w:val="21"/>
                      <w:szCs w:val="21"/>
                    </w:rPr>
                  </w:pPr>
                  <w:r>
                    <w:rPr>
                      <w:rFonts w:hint="eastAsia"/>
                      <w:color w:val="000000"/>
                      <w:sz w:val="21"/>
                      <w:szCs w:val="21"/>
                    </w:rPr>
                    <w:t>道路扬尘起尘量</w:t>
                  </w:r>
                </w:p>
              </w:tc>
              <w:tc>
                <w:tcPr>
                  <w:tcW w:w="1721" w:type="dxa"/>
                  <w:tcBorders>
                    <w:top w:val="single" w:color="auto" w:sz="8" w:space="0"/>
                    <w:left w:val="single" w:color="auto" w:sz="4" w:space="0"/>
                    <w:bottom w:val="single" w:color="auto" w:sz="8" w:space="0"/>
                    <w:right w:val="single" w:color="auto" w:sz="4" w:space="0"/>
                  </w:tcBorders>
                  <w:vAlign w:val="center"/>
                </w:tcPr>
                <w:p>
                  <w:pPr>
                    <w:tabs>
                      <w:tab w:val="left" w:pos="1680"/>
                    </w:tabs>
                    <w:adjustRightInd w:val="0"/>
                    <w:snapToGrid w:val="0"/>
                    <w:jc w:val="center"/>
                    <w:rPr>
                      <w:color w:val="000000"/>
                      <w:sz w:val="21"/>
                      <w:szCs w:val="21"/>
                    </w:rPr>
                  </w:pPr>
                  <w:r>
                    <w:rPr>
                      <w:rFonts w:hint="eastAsia"/>
                      <w:color w:val="000000"/>
                      <w:sz w:val="21"/>
                      <w:szCs w:val="21"/>
                    </w:rPr>
                    <w:t>10</w:t>
                  </w:r>
                </w:p>
              </w:tc>
              <w:tc>
                <w:tcPr>
                  <w:tcW w:w="1722" w:type="dxa"/>
                  <w:tcBorders>
                    <w:top w:val="single" w:color="auto" w:sz="8" w:space="0"/>
                    <w:left w:val="single" w:color="auto" w:sz="4" w:space="0"/>
                    <w:bottom w:val="single" w:color="auto" w:sz="8" w:space="0"/>
                    <w:right w:val="single" w:color="auto" w:sz="4" w:space="0"/>
                  </w:tcBorders>
                  <w:vAlign w:val="center"/>
                </w:tcPr>
                <w:p>
                  <w:pPr>
                    <w:tabs>
                      <w:tab w:val="left" w:pos="1680"/>
                    </w:tabs>
                    <w:adjustRightInd w:val="0"/>
                    <w:snapToGrid w:val="0"/>
                    <w:jc w:val="center"/>
                    <w:rPr>
                      <w:color w:val="000000"/>
                      <w:sz w:val="21"/>
                      <w:szCs w:val="21"/>
                    </w:rPr>
                  </w:pPr>
                  <w:r>
                    <w:rPr>
                      <w:color w:val="000000"/>
                      <w:sz w:val="21"/>
                      <w:szCs w:val="21"/>
                    </w:rPr>
                    <w:t>20</w:t>
                  </w:r>
                </w:p>
              </w:tc>
              <w:tc>
                <w:tcPr>
                  <w:tcW w:w="1722" w:type="dxa"/>
                  <w:tcBorders>
                    <w:top w:val="single" w:color="auto" w:sz="8" w:space="0"/>
                    <w:left w:val="single" w:color="auto" w:sz="4" w:space="0"/>
                    <w:bottom w:val="single" w:color="auto" w:sz="8" w:space="0"/>
                    <w:right w:val="single" w:color="auto" w:sz="4" w:space="0"/>
                  </w:tcBorders>
                  <w:vAlign w:val="center"/>
                </w:tcPr>
                <w:p>
                  <w:pPr>
                    <w:tabs>
                      <w:tab w:val="left" w:pos="1680"/>
                    </w:tabs>
                    <w:adjustRightInd w:val="0"/>
                    <w:snapToGrid w:val="0"/>
                    <w:jc w:val="center"/>
                    <w:rPr>
                      <w:color w:val="000000"/>
                      <w:sz w:val="21"/>
                      <w:szCs w:val="21"/>
                    </w:rPr>
                  </w:pPr>
                  <w:r>
                    <w:rPr>
                      <w:color w:val="000000"/>
                      <w:sz w:val="21"/>
                      <w:szCs w:val="21"/>
                    </w:rPr>
                    <w:t>0.01</w:t>
                  </w:r>
                </w:p>
              </w:tc>
              <w:tc>
                <w:tcPr>
                  <w:tcW w:w="1722" w:type="dxa"/>
                  <w:tcBorders>
                    <w:top w:val="single" w:color="auto" w:sz="8" w:space="0"/>
                    <w:left w:val="single" w:color="auto" w:sz="4" w:space="0"/>
                    <w:bottom w:val="single" w:color="auto" w:sz="8" w:space="0"/>
                    <w:right w:val="nil"/>
                  </w:tcBorders>
                  <w:vAlign w:val="center"/>
                </w:tcPr>
                <w:p>
                  <w:pPr>
                    <w:tabs>
                      <w:tab w:val="left" w:pos="1680"/>
                    </w:tabs>
                    <w:adjustRightInd w:val="0"/>
                    <w:snapToGrid w:val="0"/>
                    <w:jc w:val="center"/>
                    <w:rPr>
                      <w:color w:val="000000"/>
                      <w:sz w:val="21"/>
                      <w:szCs w:val="21"/>
                    </w:rPr>
                  </w:pPr>
                  <w:r>
                    <w:rPr>
                      <w:rFonts w:hint="eastAsia"/>
                      <w:color w:val="000000"/>
                      <w:sz w:val="21"/>
                      <w:szCs w:val="21"/>
                    </w:rPr>
                    <w:t>0.0366</w:t>
                  </w:r>
                </w:p>
              </w:tc>
            </w:tr>
          </w:tbl>
          <w:p>
            <w:pPr>
              <w:spacing w:line="440" w:lineRule="exact"/>
              <w:ind w:firstLine="480" w:firstLineChars="200"/>
              <w:rPr>
                <w:rFonts w:hint="eastAsia" w:eastAsia="宋体"/>
                <w:sz w:val="24"/>
                <w:lang w:eastAsia="zh-CN"/>
              </w:rPr>
            </w:pPr>
            <w:r>
              <w:rPr>
                <w:rFonts w:hint="eastAsia"/>
                <w:sz w:val="24"/>
                <w:szCs w:val="20"/>
              </w:rPr>
              <w:t>一般情况下，道路在自然风作用下产生的扬尘所影响的范围在</w:t>
            </w:r>
            <w:r>
              <w:rPr>
                <w:sz w:val="24"/>
                <w:szCs w:val="20"/>
              </w:rPr>
              <w:t>100m</w:t>
            </w:r>
            <w:r>
              <w:rPr>
                <w:rFonts w:hint="eastAsia"/>
                <w:sz w:val="24"/>
                <w:szCs w:val="20"/>
              </w:rPr>
              <w:t>以内。如果对车辆行驶的路面实施洒水抑尘，每天洒水</w:t>
            </w:r>
            <w:r>
              <w:rPr>
                <w:sz w:val="24"/>
                <w:szCs w:val="20"/>
              </w:rPr>
              <w:t>4~5</w:t>
            </w:r>
            <w:r>
              <w:rPr>
                <w:rFonts w:hint="eastAsia"/>
                <w:sz w:val="24"/>
                <w:szCs w:val="20"/>
              </w:rPr>
              <w:t>次，可使扬尘量减少</w:t>
            </w:r>
            <w:r>
              <w:rPr>
                <w:sz w:val="24"/>
                <w:szCs w:val="20"/>
              </w:rPr>
              <w:t>70%</w:t>
            </w:r>
            <w:r>
              <w:rPr>
                <w:rFonts w:hint="eastAsia"/>
                <w:sz w:val="24"/>
                <w:szCs w:val="20"/>
              </w:rPr>
              <w:t>左右，在实施每天洒水抑尘作业</w:t>
            </w:r>
            <w:r>
              <w:rPr>
                <w:sz w:val="24"/>
                <w:szCs w:val="20"/>
              </w:rPr>
              <w:t>4~5</w:t>
            </w:r>
            <w:r>
              <w:rPr>
                <w:rFonts w:hint="eastAsia"/>
                <w:sz w:val="24"/>
                <w:szCs w:val="20"/>
              </w:rPr>
              <w:t>次后，其扬尘造成的</w:t>
            </w:r>
            <w:r>
              <w:rPr>
                <w:sz w:val="24"/>
                <w:szCs w:val="20"/>
              </w:rPr>
              <w:t>TSP</w:t>
            </w:r>
            <w:r>
              <w:rPr>
                <w:rFonts w:hint="eastAsia"/>
                <w:sz w:val="24"/>
                <w:szCs w:val="20"/>
              </w:rPr>
              <w:t>污染距离可缩小到</w:t>
            </w:r>
            <w:r>
              <w:rPr>
                <w:sz w:val="24"/>
                <w:szCs w:val="20"/>
              </w:rPr>
              <w:t>20~50m</w:t>
            </w:r>
            <w:r>
              <w:rPr>
                <w:rFonts w:hint="eastAsia"/>
                <w:sz w:val="24"/>
                <w:szCs w:val="20"/>
              </w:rPr>
              <w:t>范围。</w:t>
            </w:r>
          </w:p>
          <w:p>
            <w:pPr>
              <w:spacing w:line="440" w:lineRule="exact"/>
              <w:ind w:firstLine="480" w:firstLineChars="200"/>
              <w:rPr>
                <w:sz w:val="24"/>
                <w:szCs w:val="20"/>
              </w:rPr>
            </w:pPr>
            <w:r>
              <w:rPr>
                <w:rFonts w:hint="eastAsia"/>
                <w:sz w:val="24"/>
                <w:szCs w:val="20"/>
              </w:rPr>
              <w:t>对本项目而言，主要是一些运输建材的载重车辆和装载车，若管理不善会造成一定程度的扬尘污染</w:t>
            </w:r>
            <w:r>
              <w:rPr>
                <w:rFonts w:hint="eastAsia"/>
                <w:snapToGrid w:val="0"/>
                <w:sz w:val="24"/>
                <w:szCs w:val="24"/>
              </w:rPr>
              <w:t>。评价提出以下治理措施：</w:t>
            </w:r>
            <w:r>
              <w:rPr>
                <w:rFonts w:hint="eastAsia"/>
                <w:sz w:val="24"/>
                <w:szCs w:val="20"/>
              </w:rPr>
              <w:t>原料库必须全密闭，库内设置水喷淋装置；厂区主要道路硬化，定期洒水保湿；物料不得露天转运，厂区门口安装车辆自动冲洗装置对进出车辆采取</w:t>
            </w:r>
            <w:r>
              <w:rPr>
                <w:rFonts w:hint="eastAsia"/>
                <w:sz w:val="24"/>
              </w:rPr>
              <w:t>清洗措施，不带尘出厂。</w:t>
            </w:r>
            <w:r>
              <w:rPr>
                <w:rFonts w:hint="eastAsia"/>
                <w:sz w:val="24"/>
                <w:szCs w:val="20"/>
              </w:rPr>
              <w:t>采取上述措施后，厂区粉尘无组织排放量将会得到大幅度的削减，粉尘无组织排放量</w:t>
            </w:r>
            <w:r>
              <w:rPr>
                <w:rFonts w:hint="eastAsia"/>
                <w:spacing w:val="-6"/>
                <w:sz w:val="24"/>
              </w:rPr>
              <w:t>按无组织产生量的</w:t>
            </w:r>
            <w:r>
              <w:rPr>
                <w:rFonts w:hint="eastAsia"/>
                <w:spacing w:val="-6"/>
                <w:sz w:val="24"/>
                <w:lang w:val="en-US" w:eastAsia="zh-CN"/>
              </w:rPr>
              <w:t>5</w:t>
            </w:r>
            <w:r>
              <w:rPr>
                <w:spacing w:val="-6"/>
                <w:sz w:val="24"/>
              </w:rPr>
              <w:t>%</w:t>
            </w:r>
            <w:r>
              <w:rPr>
                <w:rFonts w:hint="eastAsia"/>
                <w:spacing w:val="-6"/>
                <w:sz w:val="24"/>
              </w:rPr>
              <w:t>计算，</w:t>
            </w:r>
            <w:r>
              <w:rPr>
                <w:rFonts w:hint="eastAsia"/>
                <w:color w:val="000000" w:themeColor="text1"/>
                <w:sz w:val="24"/>
                <w:szCs w:val="20"/>
                <w14:textFill>
                  <w14:solidFill>
                    <w14:schemeClr w14:val="tx1"/>
                  </w14:solidFill>
                </w14:textFill>
              </w:rPr>
              <w:t>本项目车辆在厂区内行驶距离按50</w:t>
            </w:r>
            <w:r>
              <w:rPr>
                <w:color w:val="000000" w:themeColor="text1"/>
                <w:sz w:val="24"/>
                <w:szCs w:val="20"/>
                <w14:textFill>
                  <w14:solidFill>
                    <w14:schemeClr w14:val="tx1"/>
                  </w14:solidFill>
                </w14:textFill>
              </w:rPr>
              <w:t>0m</w:t>
            </w:r>
            <w:r>
              <w:rPr>
                <w:rFonts w:hint="eastAsia"/>
                <w:color w:val="000000" w:themeColor="text1"/>
                <w:sz w:val="24"/>
                <w:szCs w:val="20"/>
                <w14:textFill>
                  <w14:solidFill>
                    <w14:schemeClr w14:val="tx1"/>
                  </w14:solidFill>
                </w14:textFill>
              </w:rPr>
              <w:t>计，每天进出运输车辆约为</w:t>
            </w:r>
            <w:r>
              <w:rPr>
                <w:rFonts w:hint="eastAsia"/>
                <w:color w:val="000000" w:themeColor="text1"/>
                <w:sz w:val="24"/>
                <w:szCs w:val="20"/>
                <w:lang w:val="en-US" w:eastAsia="zh-CN"/>
                <w14:textFill>
                  <w14:solidFill>
                    <w14:schemeClr w14:val="tx1"/>
                  </w14:solidFill>
                </w14:textFill>
              </w:rPr>
              <w:t>200</w:t>
            </w:r>
            <w:r>
              <w:rPr>
                <w:rFonts w:hint="eastAsia"/>
                <w:color w:val="000000" w:themeColor="text1"/>
                <w:sz w:val="24"/>
                <w:szCs w:val="20"/>
                <w14:textFill>
                  <w14:solidFill>
                    <w14:schemeClr w14:val="tx1"/>
                  </w14:solidFill>
                </w14:textFill>
              </w:rPr>
              <w:t>辆，</w:t>
            </w:r>
            <w:r>
              <w:rPr>
                <w:rFonts w:hint="eastAsia"/>
                <w:sz w:val="24"/>
                <w:szCs w:val="20"/>
              </w:rPr>
              <w:t>则因汽车运输带起的动力起尘产生量约为</w:t>
            </w:r>
            <w:r>
              <w:rPr>
                <w:rFonts w:hint="eastAsia"/>
                <w:sz w:val="24"/>
                <w:szCs w:val="20"/>
                <w:lang w:val="en-US" w:eastAsia="zh-CN"/>
              </w:rPr>
              <w:t>1.098</w:t>
            </w:r>
            <w:r>
              <w:rPr>
                <w:sz w:val="24"/>
                <w:szCs w:val="20"/>
              </w:rPr>
              <w:t>t/a</w:t>
            </w:r>
            <w:r>
              <w:rPr>
                <w:rFonts w:hint="eastAsia"/>
                <w:sz w:val="24"/>
                <w:szCs w:val="20"/>
              </w:rPr>
              <w:t>，排放量为</w:t>
            </w:r>
            <w:r>
              <w:rPr>
                <w:rFonts w:hint="eastAsia"/>
                <w:sz w:val="24"/>
                <w:szCs w:val="20"/>
                <w:lang w:val="en-US" w:eastAsia="zh-CN"/>
              </w:rPr>
              <w:t>0.0549</w:t>
            </w:r>
            <w:r>
              <w:rPr>
                <w:sz w:val="24"/>
                <w:szCs w:val="20"/>
              </w:rPr>
              <w:t>t/a</w:t>
            </w:r>
            <w:r>
              <w:rPr>
                <w:rFonts w:hint="eastAsia"/>
                <w:sz w:val="24"/>
                <w:szCs w:val="20"/>
              </w:rPr>
              <w:t>。</w:t>
            </w:r>
          </w:p>
          <w:p>
            <w:pPr>
              <w:spacing w:line="440" w:lineRule="exact"/>
              <w:ind w:firstLine="480" w:firstLineChars="200"/>
              <w:rPr>
                <w:sz w:val="24"/>
              </w:rPr>
            </w:pPr>
            <w:r>
              <w:rPr>
                <w:rFonts w:hint="eastAsia"/>
                <w:sz w:val="24"/>
              </w:rPr>
              <w:t>3）集气罩未收集的无组织粉尘</w:t>
            </w:r>
          </w:p>
          <w:p>
            <w:pPr>
              <w:spacing w:line="440" w:lineRule="exact"/>
              <w:ind w:firstLine="480" w:firstLineChars="200"/>
              <w:rPr>
                <w:sz w:val="24"/>
              </w:rPr>
            </w:pPr>
            <w:r>
              <w:rPr>
                <w:rFonts w:hint="eastAsia"/>
                <w:sz w:val="24"/>
              </w:rPr>
              <w:t>本项目</w:t>
            </w:r>
            <w:r>
              <w:rPr>
                <w:rFonts w:hint="eastAsia"/>
                <w:sz w:val="24"/>
                <w:lang w:val="en-US" w:eastAsia="zh-CN"/>
              </w:rPr>
              <w:t>集气装置</w:t>
            </w:r>
            <w:r>
              <w:rPr>
                <w:rFonts w:hint="eastAsia"/>
                <w:sz w:val="24"/>
              </w:rPr>
              <w:t>未收集的无组织粉尘排放量为</w:t>
            </w:r>
            <w:r>
              <w:rPr>
                <w:rFonts w:hint="eastAsia"/>
                <w:sz w:val="24"/>
                <w:lang w:val="en-US" w:eastAsia="zh-CN"/>
              </w:rPr>
              <w:t>0.575</w:t>
            </w:r>
            <w:r>
              <w:rPr>
                <w:sz w:val="24"/>
              </w:rPr>
              <w:t>t/a</w:t>
            </w:r>
            <w:r>
              <w:rPr>
                <w:rFonts w:hint="eastAsia"/>
                <w:sz w:val="24"/>
              </w:rPr>
              <w:t>，</w:t>
            </w:r>
            <w:r>
              <w:rPr>
                <w:rFonts w:hint="eastAsia"/>
                <w:spacing w:val="-6"/>
                <w:sz w:val="24"/>
              </w:rPr>
              <w:t>粉尘排入外环境的量按粉尘无组织产生量的</w:t>
            </w:r>
            <w:r>
              <w:rPr>
                <w:spacing w:val="-6"/>
                <w:sz w:val="24"/>
              </w:rPr>
              <w:t>5%</w:t>
            </w:r>
            <w:r>
              <w:rPr>
                <w:rFonts w:hint="eastAsia"/>
                <w:spacing w:val="-6"/>
                <w:sz w:val="24"/>
              </w:rPr>
              <w:t>计，为</w:t>
            </w:r>
            <w:r>
              <w:rPr>
                <w:rFonts w:hint="eastAsia"/>
                <w:spacing w:val="-6"/>
                <w:sz w:val="24"/>
                <w:lang w:val="en-US" w:eastAsia="zh-CN"/>
              </w:rPr>
              <w:t>0.0288</w:t>
            </w:r>
            <w:r>
              <w:rPr>
                <w:rFonts w:hint="eastAsia"/>
                <w:spacing w:val="-6"/>
                <w:sz w:val="24"/>
              </w:rPr>
              <w:t>t/a</w:t>
            </w:r>
            <w:r>
              <w:rPr>
                <w:rFonts w:hint="eastAsia"/>
                <w:sz w:val="24"/>
              </w:rPr>
              <w:t>。</w:t>
            </w:r>
          </w:p>
          <w:p>
            <w:pPr>
              <w:spacing w:line="400" w:lineRule="exact"/>
              <w:ind w:firstLine="480" w:firstLineChars="200"/>
              <w:jc w:val="left"/>
              <w:rPr>
                <w:sz w:val="24"/>
              </w:rPr>
            </w:pPr>
            <w:r>
              <w:rPr>
                <w:rFonts w:hint="eastAsia"/>
                <w:snapToGrid w:val="0"/>
                <w:kern w:val="24"/>
                <w:sz w:val="24"/>
                <w:szCs w:val="24"/>
              </w:rPr>
              <w:t>综</w:t>
            </w:r>
            <w:r>
              <w:rPr>
                <w:rFonts w:hint="eastAsia"/>
                <w:sz w:val="24"/>
              </w:rPr>
              <w:t>上，预计厂区粉尘无组织量共计为</w:t>
            </w:r>
            <w:r>
              <w:rPr>
                <w:rFonts w:hint="eastAsia"/>
                <w:sz w:val="24"/>
                <w:lang w:val="en-US" w:eastAsia="zh-CN"/>
              </w:rPr>
              <w:t>0.1337</w:t>
            </w:r>
            <w:r>
              <w:rPr>
                <w:sz w:val="24"/>
              </w:rPr>
              <w:t>t/a</w:t>
            </w:r>
            <w:r>
              <w:rPr>
                <w:rFonts w:hint="eastAsia"/>
                <w:sz w:val="24"/>
              </w:rPr>
              <w:t>（</w:t>
            </w:r>
            <w:r>
              <w:rPr>
                <w:rFonts w:hint="eastAsia"/>
                <w:sz w:val="24"/>
                <w:lang w:val="en-US" w:eastAsia="zh-CN"/>
              </w:rPr>
              <w:t>0.1114</w:t>
            </w:r>
            <w:r>
              <w:rPr>
                <w:rFonts w:hint="eastAsia"/>
                <w:sz w:val="24"/>
              </w:rPr>
              <w:t>kg/h）。</w:t>
            </w:r>
          </w:p>
          <w:p>
            <w:pPr>
              <w:spacing w:line="440" w:lineRule="exact"/>
              <w:ind w:firstLine="482" w:firstLineChars="200"/>
              <w:rPr>
                <w:b/>
                <w:bCs/>
                <w:sz w:val="24"/>
                <w:szCs w:val="24"/>
              </w:rPr>
            </w:pPr>
            <w:r>
              <w:rPr>
                <w:rFonts w:hint="eastAsia"/>
                <w:b/>
                <w:bCs/>
                <w:sz w:val="24"/>
                <w:szCs w:val="24"/>
              </w:rPr>
              <w:t>3、废气治理措施可行性分析</w:t>
            </w:r>
          </w:p>
          <w:p>
            <w:pPr>
              <w:spacing w:line="440" w:lineRule="exact"/>
              <w:ind w:firstLine="480" w:firstLineChars="200"/>
              <w:textAlignment w:val="baseline"/>
              <w:rPr>
                <w:sz w:val="24"/>
                <w:szCs w:val="24"/>
              </w:rPr>
            </w:pPr>
            <w:r>
              <w:rPr>
                <w:rFonts w:hint="eastAsia"/>
                <w:sz w:val="24"/>
                <w:szCs w:val="24"/>
              </w:rPr>
              <w:t>经查阅《排污许可证申请与核发技术规范</w:t>
            </w:r>
            <w:r>
              <w:rPr>
                <w:rFonts w:hint="eastAsia"/>
                <w:sz w:val="24"/>
                <w:szCs w:val="24"/>
                <w:lang w:val="en-US" w:eastAsia="zh-CN"/>
              </w:rPr>
              <w:t xml:space="preserve">  水泥工业</w:t>
            </w:r>
            <w:r>
              <w:rPr>
                <w:rFonts w:hint="eastAsia"/>
                <w:sz w:val="24"/>
                <w:szCs w:val="24"/>
              </w:rPr>
              <w:t>》</w:t>
            </w:r>
            <w:r>
              <w:rPr>
                <w:rFonts w:hint="eastAsia" w:hAnsi="宋体"/>
                <w:sz w:val="24"/>
                <w:lang w:val="en-GB"/>
              </w:rPr>
              <w:t>（HJ848-2017）</w:t>
            </w:r>
            <w:r>
              <w:rPr>
                <w:rFonts w:hint="eastAsia"/>
                <w:sz w:val="24"/>
                <w:szCs w:val="24"/>
              </w:rPr>
              <w:t>，项目采用的废气治理措施脉冲袋式除尘器属于规范中可行技术。</w:t>
            </w:r>
          </w:p>
          <w:p>
            <w:pPr>
              <w:adjustRightInd w:val="0"/>
              <w:snapToGrid w:val="0"/>
              <w:spacing w:line="440" w:lineRule="exact"/>
              <w:ind w:firstLine="482" w:firstLineChars="200"/>
              <w:rPr>
                <w:rFonts w:ascii="宋体" w:hAnsi="Courier New" w:cs="Courier New"/>
                <w:b/>
                <w:color w:val="000000"/>
                <w:sz w:val="24"/>
                <w:szCs w:val="24"/>
              </w:rPr>
            </w:pPr>
            <w:r>
              <w:rPr>
                <w:rFonts w:hint="eastAsia" w:ascii="宋体" w:hAnsi="Courier New" w:cs="Courier New"/>
                <w:b/>
                <w:color w:val="000000"/>
                <w:sz w:val="24"/>
                <w:szCs w:val="24"/>
              </w:rPr>
              <w:t>4、本项目污染源排放口情况</w:t>
            </w:r>
          </w:p>
          <w:p>
            <w:pPr>
              <w:adjustRightInd w:val="0"/>
              <w:snapToGrid w:val="0"/>
              <w:spacing w:line="440" w:lineRule="exact"/>
              <w:ind w:firstLine="240" w:firstLineChars="100"/>
              <w:rPr>
                <w:rFonts w:eastAsia="黑体"/>
                <w:sz w:val="24"/>
              </w:rPr>
            </w:pPr>
            <w:r>
              <w:rPr>
                <w:rFonts w:hint="eastAsia" w:hAnsi="黑体" w:eastAsia="黑体"/>
                <w:sz w:val="24"/>
              </w:rPr>
              <w:t xml:space="preserve">   表</w:t>
            </w:r>
            <w:r>
              <w:rPr>
                <w:rFonts w:hint="eastAsia" w:hAnsi="黑体" w:eastAsia="黑体"/>
                <w:sz w:val="24"/>
                <w:lang w:val="en-US" w:eastAsia="zh-CN"/>
              </w:rPr>
              <w:t>4-5</w:t>
            </w:r>
            <w:r>
              <w:rPr>
                <w:rFonts w:hint="eastAsia" w:eastAsia="黑体"/>
                <w:sz w:val="24"/>
              </w:rPr>
              <w:t xml:space="preserve">          </w:t>
            </w:r>
            <w:r>
              <w:rPr>
                <w:rFonts w:hint="eastAsia" w:hAnsi="黑体" w:eastAsia="黑体"/>
                <w:sz w:val="24"/>
              </w:rPr>
              <w:t>本项目有组织排放口基本情况一览表</w:t>
            </w:r>
          </w:p>
          <w:tbl>
            <w:tblPr>
              <w:tblStyle w:val="2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42"/>
              <w:gridCol w:w="801"/>
              <w:gridCol w:w="881"/>
              <w:gridCol w:w="953"/>
              <w:gridCol w:w="550"/>
              <w:gridCol w:w="784"/>
              <w:gridCol w:w="850"/>
              <w:gridCol w:w="1134"/>
              <w:gridCol w:w="131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51" w:type="dxa"/>
                  <w:vMerge w:val="restart"/>
                  <w:vAlign w:val="center"/>
                </w:tcPr>
                <w:p>
                  <w:pPr>
                    <w:adjustRightInd w:val="0"/>
                    <w:snapToGrid w:val="0"/>
                    <w:jc w:val="center"/>
                    <w:rPr>
                      <w:b/>
                      <w:sz w:val="21"/>
                      <w:szCs w:val="21"/>
                    </w:rPr>
                  </w:pPr>
                  <w:r>
                    <w:rPr>
                      <w:rFonts w:hint="eastAsia"/>
                      <w:b/>
                      <w:sz w:val="21"/>
                      <w:szCs w:val="21"/>
                    </w:rPr>
                    <w:t>编号</w:t>
                  </w:r>
                </w:p>
              </w:tc>
              <w:tc>
                <w:tcPr>
                  <w:tcW w:w="742" w:type="dxa"/>
                  <w:vMerge w:val="restart"/>
                  <w:vAlign w:val="center"/>
                </w:tcPr>
                <w:p>
                  <w:pPr>
                    <w:adjustRightInd w:val="0"/>
                    <w:snapToGrid w:val="0"/>
                    <w:jc w:val="center"/>
                    <w:rPr>
                      <w:b/>
                      <w:sz w:val="21"/>
                      <w:szCs w:val="21"/>
                    </w:rPr>
                  </w:pPr>
                  <w:r>
                    <w:rPr>
                      <w:rFonts w:hint="eastAsia"/>
                      <w:b/>
                      <w:sz w:val="21"/>
                      <w:szCs w:val="21"/>
                      <w:lang w:val="en-US" w:eastAsia="zh-CN"/>
                    </w:rPr>
                    <w:t>污染源</w:t>
                  </w:r>
                  <w:r>
                    <w:rPr>
                      <w:rFonts w:hint="eastAsia"/>
                      <w:b/>
                      <w:sz w:val="21"/>
                      <w:szCs w:val="21"/>
                    </w:rPr>
                    <w:t>名称</w:t>
                  </w:r>
                </w:p>
              </w:tc>
              <w:tc>
                <w:tcPr>
                  <w:tcW w:w="1682" w:type="dxa"/>
                  <w:gridSpan w:val="2"/>
                  <w:vAlign w:val="center"/>
                </w:tcPr>
                <w:p>
                  <w:pPr>
                    <w:jc w:val="center"/>
                    <w:rPr>
                      <w:rFonts w:hint="eastAsia"/>
                      <w:b/>
                      <w:sz w:val="21"/>
                      <w:szCs w:val="21"/>
                    </w:rPr>
                  </w:pPr>
                  <w:r>
                    <w:rPr>
                      <w:rFonts w:hint="eastAsia"/>
                      <w:b/>
                      <w:sz w:val="21"/>
                      <w:szCs w:val="21"/>
                    </w:rPr>
                    <w:t>排放口地理</w:t>
                  </w:r>
                </w:p>
                <w:p>
                  <w:pPr>
                    <w:jc w:val="center"/>
                    <w:rPr>
                      <w:b/>
                      <w:sz w:val="21"/>
                      <w:szCs w:val="21"/>
                    </w:rPr>
                  </w:pPr>
                  <w:r>
                    <w:rPr>
                      <w:rFonts w:hint="eastAsia"/>
                      <w:b/>
                      <w:sz w:val="21"/>
                      <w:szCs w:val="21"/>
                    </w:rPr>
                    <w:t>坐标</w:t>
                  </w:r>
                </w:p>
              </w:tc>
              <w:tc>
                <w:tcPr>
                  <w:tcW w:w="953" w:type="dxa"/>
                  <w:vMerge w:val="restart"/>
                  <w:vAlign w:val="center"/>
                </w:tcPr>
                <w:p>
                  <w:pPr>
                    <w:jc w:val="center"/>
                    <w:rPr>
                      <w:b/>
                      <w:sz w:val="21"/>
                      <w:szCs w:val="21"/>
                    </w:rPr>
                  </w:pPr>
                  <w:r>
                    <w:rPr>
                      <w:rFonts w:hint="eastAsia"/>
                      <w:b/>
                      <w:sz w:val="21"/>
                      <w:szCs w:val="21"/>
                    </w:rPr>
                    <w:t>排气筒高度</w:t>
                  </w:r>
                </w:p>
              </w:tc>
              <w:tc>
                <w:tcPr>
                  <w:tcW w:w="550" w:type="dxa"/>
                  <w:vMerge w:val="restart"/>
                  <w:vAlign w:val="center"/>
                </w:tcPr>
                <w:p>
                  <w:pPr>
                    <w:adjustRightInd w:val="0"/>
                    <w:snapToGrid w:val="0"/>
                    <w:jc w:val="center"/>
                    <w:rPr>
                      <w:b/>
                      <w:sz w:val="21"/>
                      <w:szCs w:val="21"/>
                    </w:rPr>
                  </w:pPr>
                  <w:r>
                    <w:rPr>
                      <w:rFonts w:hint="eastAsia"/>
                      <w:b/>
                      <w:sz w:val="21"/>
                      <w:szCs w:val="21"/>
                    </w:rPr>
                    <w:t>出口内径</w:t>
                  </w:r>
                  <w:r>
                    <w:rPr>
                      <w:b/>
                      <w:sz w:val="21"/>
                      <w:szCs w:val="21"/>
                    </w:rPr>
                    <w:t>/m</w:t>
                  </w:r>
                </w:p>
              </w:tc>
              <w:tc>
                <w:tcPr>
                  <w:tcW w:w="784" w:type="dxa"/>
                  <w:vMerge w:val="restart"/>
                  <w:vAlign w:val="center"/>
                </w:tcPr>
                <w:p>
                  <w:pPr>
                    <w:adjustRightInd w:val="0"/>
                    <w:snapToGrid w:val="0"/>
                    <w:jc w:val="center"/>
                    <w:rPr>
                      <w:b/>
                      <w:sz w:val="21"/>
                      <w:szCs w:val="21"/>
                    </w:rPr>
                  </w:pPr>
                  <w:r>
                    <w:rPr>
                      <w:rFonts w:hint="eastAsia"/>
                      <w:b/>
                      <w:sz w:val="21"/>
                      <w:szCs w:val="21"/>
                    </w:rPr>
                    <w:t>类型</w:t>
                  </w:r>
                </w:p>
              </w:tc>
              <w:tc>
                <w:tcPr>
                  <w:tcW w:w="850" w:type="dxa"/>
                  <w:vMerge w:val="restart"/>
                  <w:vAlign w:val="center"/>
                </w:tcPr>
                <w:p>
                  <w:pPr>
                    <w:adjustRightInd w:val="0"/>
                    <w:snapToGrid w:val="0"/>
                    <w:jc w:val="center"/>
                    <w:rPr>
                      <w:b/>
                      <w:sz w:val="21"/>
                      <w:szCs w:val="21"/>
                    </w:rPr>
                  </w:pPr>
                  <w:r>
                    <w:rPr>
                      <w:rFonts w:hint="eastAsia"/>
                      <w:b/>
                      <w:sz w:val="21"/>
                      <w:szCs w:val="21"/>
                    </w:rPr>
                    <w:t>烟气温度</w:t>
                  </w:r>
                  <w:r>
                    <w:rPr>
                      <w:b/>
                      <w:sz w:val="21"/>
                      <w:szCs w:val="21"/>
                    </w:rPr>
                    <w:t>/</w:t>
                  </w:r>
                  <w:r>
                    <w:rPr>
                      <w:rFonts w:hint="eastAsia" w:ascii="宋体" w:hAnsi="宋体" w:cs="宋体"/>
                      <w:b/>
                      <w:sz w:val="21"/>
                      <w:szCs w:val="21"/>
                    </w:rPr>
                    <w:t>℃</w:t>
                  </w:r>
                </w:p>
              </w:tc>
              <w:tc>
                <w:tcPr>
                  <w:tcW w:w="1134" w:type="dxa"/>
                  <w:vMerge w:val="restart"/>
                  <w:vAlign w:val="center"/>
                </w:tcPr>
                <w:p>
                  <w:pPr>
                    <w:adjustRightInd w:val="0"/>
                    <w:snapToGrid w:val="0"/>
                    <w:jc w:val="center"/>
                    <w:rPr>
                      <w:b/>
                      <w:sz w:val="21"/>
                      <w:szCs w:val="21"/>
                    </w:rPr>
                  </w:pPr>
                  <w:r>
                    <w:rPr>
                      <w:rFonts w:hint="eastAsia"/>
                      <w:b/>
                      <w:sz w:val="21"/>
                      <w:szCs w:val="21"/>
                    </w:rPr>
                    <w:t>污染物</w:t>
                  </w:r>
                </w:p>
              </w:tc>
              <w:tc>
                <w:tcPr>
                  <w:tcW w:w="1310" w:type="dxa"/>
                  <w:vMerge w:val="restart"/>
                  <w:vAlign w:val="center"/>
                </w:tcPr>
                <w:p>
                  <w:pPr>
                    <w:jc w:val="center"/>
                    <w:rPr>
                      <w:b/>
                      <w:sz w:val="21"/>
                      <w:szCs w:val="21"/>
                    </w:rPr>
                  </w:pPr>
                  <w:r>
                    <w:rPr>
                      <w:rFonts w:hint="eastAsia"/>
                      <w:b/>
                      <w:sz w:val="21"/>
                      <w:szCs w:val="21"/>
                    </w:rPr>
                    <w:t>执行标准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51" w:type="dxa"/>
                  <w:vMerge w:val="continue"/>
                  <w:tcBorders>
                    <w:bottom w:val="single" w:color="auto" w:sz="8" w:space="0"/>
                  </w:tcBorders>
                  <w:vAlign w:val="center"/>
                </w:tcPr>
                <w:p>
                  <w:pPr>
                    <w:adjustRightInd w:val="0"/>
                    <w:snapToGrid w:val="0"/>
                    <w:jc w:val="center"/>
                    <w:rPr>
                      <w:b/>
                      <w:sz w:val="21"/>
                      <w:szCs w:val="21"/>
                    </w:rPr>
                  </w:pPr>
                </w:p>
              </w:tc>
              <w:tc>
                <w:tcPr>
                  <w:tcW w:w="742" w:type="dxa"/>
                  <w:vMerge w:val="continue"/>
                  <w:tcBorders>
                    <w:bottom w:val="single" w:color="auto" w:sz="8" w:space="0"/>
                  </w:tcBorders>
                  <w:vAlign w:val="center"/>
                </w:tcPr>
                <w:p>
                  <w:pPr>
                    <w:adjustRightInd w:val="0"/>
                    <w:snapToGrid w:val="0"/>
                    <w:jc w:val="center"/>
                    <w:rPr>
                      <w:b/>
                      <w:sz w:val="21"/>
                      <w:szCs w:val="21"/>
                    </w:rPr>
                  </w:pPr>
                </w:p>
              </w:tc>
              <w:tc>
                <w:tcPr>
                  <w:tcW w:w="801" w:type="dxa"/>
                  <w:tcBorders>
                    <w:bottom w:val="single" w:color="auto" w:sz="8" w:space="0"/>
                  </w:tcBorders>
                  <w:vAlign w:val="center"/>
                </w:tcPr>
                <w:p>
                  <w:pPr>
                    <w:jc w:val="center"/>
                    <w:rPr>
                      <w:b/>
                      <w:sz w:val="21"/>
                      <w:szCs w:val="21"/>
                    </w:rPr>
                  </w:pPr>
                  <w:r>
                    <w:rPr>
                      <w:rFonts w:hint="eastAsia"/>
                      <w:b/>
                      <w:sz w:val="21"/>
                      <w:szCs w:val="21"/>
                    </w:rPr>
                    <w:t>经度</w:t>
                  </w:r>
                </w:p>
              </w:tc>
              <w:tc>
                <w:tcPr>
                  <w:tcW w:w="881" w:type="dxa"/>
                  <w:tcBorders>
                    <w:bottom w:val="single" w:color="auto" w:sz="8" w:space="0"/>
                  </w:tcBorders>
                  <w:vAlign w:val="center"/>
                </w:tcPr>
                <w:p>
                  <w:pPr>
                    <w:jc w:val="center"/>
                    <w:rPr>
                      <w:b/>
                      <w:sz w:val="21"/>
                      <w:szCs w:val="21"/>
                    </w:rPr>
                  </w:pPr>
                  <w:r>
                    <w:rPr>
                      <w:rFonts w:hint="eastAsia"/>
                      <w:b/>
                      <w:sz w:val="21"/>
                      <w:szCs w:val="21"/>
                    </w:rPr>
                    <w:t>纬度</w:t>
                  </w:r>
                </w:p>
              </w:tc>
              <w:tc>
                <w:tcPr>
                  <w:tcW w:w="953" w:type="dxa"/>
                  <w:vMerge w:val="continue"/>
                  <w:tcBorders>
                    <w:bottom w:val="single" w:color="auto" w:sz="8" w:space="0"/>
                  </w:tcBorders>
                  <w:vAlign w:val="center"/>
                </w:tcPr>
                <w:p>
                  <w:pPr>
                    <w:jc w:val="center"/>
                    <w:rPr>
                      <w:b/>
                      <w:sz w:val="21"/>
                      <w:szCs w:val="21"/>
                    </w:rPr>
                  </w:pPr>
                </w:p>
              </w:tc>
              <w:tc>
                <w:tcPr>
                  <w:tcW w:w="550" w:type="dxa"/>
                  <w:vMerge w:val="continue"/>
                  <w:tcBorders>
                    <w:bottom w:val="single" w:color="auto" w:sz="8" w:space="0"/>
                  </w:tcBorders>
                  <w:vAlign w:val="center"/>
                </w:tcPr>
                <w:p>
                  <w:pPr>
                    <w:adjustRightInd w:val="0"/>
                    <w:snapToGrid w:val="0"/>
                    <w:jc w:val="center"/>
                    <w:rPr>
                      <w:b/>
                      <w:sz w:val="21"/>
                      <w:szCs w:val="21"/>
                    </w:rPr>
                  </w:pPr>
                </w:p>
              </w:tc>
              <w:tc>
                <w:tcPr>
                  <w:tcW w:w="784" w:type="dxa"/>
                  <w:vMerge w:val="continue"/>
                  <w:tcBorders>
                    <w:bottom w:val="single" w:color="auto" w:sz="8" w:space="0"/>
                  </w:tcBorders>
                  <w:vAlign w:val="center"/>
                </w:tcPr>
                <w:p>
                  <w:pPr>
                    <w:adjustRightInd w:val="0"/>
                    <w:snapToGrid w:val="0"/>
                    <w:jc w:val="center"/>
                    <w:rPr>
                      <w:b/>
                      <w:sz w:val="21"/>
                      <w:szCs w:val="21"/>
                    </w:rPr>
                  </w:pPr>
                </w:p>
              </w:tc>
              <w:tc>
                <w:tcPr>
                  <w:tcW w:w="850" w:type="dxa"/>
                  <w:vMerge w:val="continue"/>
                  <w:tcBorders>
                    <w:bottom w:val="single" w:color="auto" w:sz="8" w:space="0"/>
                  </w:tcBorders>
                  <w:vAlign w:val="center"/>
                </w:tcPr>
                <w:p>
                  <w:pPr>
                    <w:adjustRightInd w:val="0"/>
                    <w:snapToGrid w:val="0"/>
                    <w:jc w:val="center"/>
                    <w:rPr>
                      <w:b/>
                      <w:sz w:val="21"/>
                      <w:szCs w:val="21"/>
                    </w:rPr>
                  </w:pPr>
                </w:p>
              </w:tc>
              <w:tc>
                <w:tcPr>
                  <w:tcW w:w="1134" w:type="dxa"/>
                  <w:vMerge w:val="continue"/>
                  <w:tcBorders>
                    <w:bottom w:val="single" w:color="auto" w:sz="8" w:space="0"/>
                  </w:tcBorders>
                  <w:vAlign w:val="center"/>
                </w:tcPr>
                <w:p>
                  <w:pPr>
                    <w:adjustRightInd w:val="0"/>
                    <w:snapToGrid w:val="0"/>
                    <w:jc w:val="center"/>
                    <w:rPr>
                      <w:b/>
                      <w:sz w:val="21"/>
                      <w:szCs w:val="21"/>
                    </w:rPr>
                  </w:pPr>
                </w:p>
              </w:tc>
              <w:tc>
                <w:tcPr>
                  <w:tcW w:w="1310" w:type="dxa"/>
                  <w:vMerge w:val="continue"/>
                  <w:tcBorders>
                    <w:bottom w:val="single" w:color="auto" w:sz="8" w:space="0"/>
                  </w:tcBorders>
                  <w:vAlign w:val="center"/>
                </w:tcPr>
                <w:p>
                  <w:pPr>
                    <w:jc w:val="center"/>
                    <w:rPr>
                      <w:b/>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8" w:space="0"/>
                  </w:tcBorders>
                  <w:vAlign w:val="center"/>
                </w:tcPr>
                <w:p>
                  <w:pPr>
                    <w:adjustRightInd w:val="0"/>
                    <w:snapToGrid w:val="0"/>
                    <w:jc w:val="center"/>
                    <w:rPr>
                      <w:sz w:val="21"/>
                      <w:szCs w:val="21"/>
                    </w:rPr>
                  </w:pPr>
                  <w:r>
                    <w:rPr>
                      <w:sz w:val="21"/>
                      <w:szCs w:val="21"/>
                    </w:rPr>
                    <w:t>DA001</w:t>
                  </w:r>
                </w:p>
              </w:tc>
              <w:tc>
                <w:tcPr>
                  <w:tcW w:w="742" w:type="dxa"/>
                  <w:tcBorders>
                    <w:top w:val="single" w:color="auto" w:sz="8" w:space="0"/>
                  </w:tcBorders>
                  <w:vAlign w:val="center"/>
                </w:tcPr>
                <w:p>
                  <w:pPr>
                    <w:jc w:val="center"/>
                    <w:rPr>
                      <w:rFonts w:hint="eastAsia" w:ascii="Times New Roman" w:hAnsi="Times New Roman" w:eastAsia="宋体"/>
                      <w:sz w:val="21"/>
                      <w:szCs w:val="21"/>
                      <w:lang w:val="en-US" w:eastAsia="zh-CN"/>
                    </w:rPr>
                  </w:pPr>
                  <w:r>
                    <w:rPr>
                      <w:rFonts w:hint="eastAsia" w:ascii="宋体" w:hAnsi="宋体" w:cs="宋体"/>
                      <w:color w:val="000000"/>
                      <w:sz w:val="21"/>
                      <w:szCs w:val="21"/>
                      <w:lang w:val="en-US" w:eastAsia="zh-CN"/>
                    </w:rPr>
                    <w:t>粉料</w:t>
                  </w:r>
                  <w:r>
                    <w:rPr>
                      <w:rFonts w:hint="eastAsia" w:ascii="宋体" w:hAnsi="宋体" w:cs="宋体"/>
                      <w:color w:val="000000"/>
                      <w:sz w:val="21"/>
                      <w:szCs w:val="21"/>
                    </w:rPr>
                    <w:t>筒仓呼吸</w:t>
                  </w:r>
                  <w:r>
                    <w:rPr>
                      <w:rFonts w:hint="eastAsia" w:ascii="宋体" w:hAnsi="宋体" w:cs="宋体"/>
                      <w:color w:val="000000"/>
                      <w:sz w:val="21"/>
                      <w:szCs w:val="21"/>
                      <w:lang w:val="en-US" w:eastAsia="zh-CN"/>
                    </w:rPr>
                    <w:t>废气</w:t>
                  </w:r>
                </w:p>
              </w:tc>
              <w:tc>
                <w:tcPr>
                  <w:tcW w:w="801" w:type="dxa"/>
                  <w:tcBorders>
                    <w:top w:val="single" w:color="auto" w:sz="8" w:space="0"/>
                  </w:tcBorders>
                  <w:vAlign w:val="center"/>
                </w:tcPr>
                <w:p>
                  <w:pPr>
                    <w:adjustRightInd w:val="0"/>
                    <w:snapToGrid w:val="0"/>
                    <w:jc w:val="center"/>
                    <w:rPr>
                      <w:sz w:val="21"/>
                      <w:szCs w:val="21"/>
                    </w:rPr>
                  </w:pPr>
                  <w:r>
                    <w:rPr>
                      <w:rFonts w:hint="eastAsia"/>
                      <w:sz w:val="21"/>
                      <w:szCs w:val="21"/>
                    </w:rPr>
                    <w:t>113°44′27.0″</w:t>
                  </w:r>
                </w:p>
              </w:tc>
              <w:tc>
                <w:tcPr>
                  <w:tcW w:w="881" w:type="dxa"/>
                  <w:tcBorders>
                    <w:top w:val="single" w:color="auto" w:sz="8" w:space="0"/>
                  </w:tcBorders>
                  <w:vAlign w:val="center"/>
                </w:tcPr>
                <w:p>
                  <w:pPr>
                    <w:adjustRightInd w:val="0"/>
                    <w:snapToGrid w:val="0"/>
                    <w:jc w:val="center"/>
                    <w:rPr>
                      <w:sz w:val="21"/>
                      <w:szCs w:val="21"/>
                    </w:rPr>
                  </w:pPr>
                  <w:r>
                    <w:rPr>
                      <w:rFonts w:hint="eastAsia"/>
                      <w:sz w:val="21"/>
                      <w:szCs w:val="21"/>
                    </w:rPr>
                    <w:br w:type="textWrapping"/>
                  </w:r>
                  <w:r>
                    <w:rPr>
                      <w:rFonts w:hint="eastAsia"/>
                      <w:sz w:val="21"/>
                      <w:szCs w:val="21"/>
                    </w:rPr>
                    <w:t>35°8′58.81″</w:t>
                  </w:r>
                </w:p>
              </w:tc>
              <w:tc>
                <w:tcPr>
                  <w:tcW w:w="953" w:type="dxa"/>
                  <w:tcBorders>
                    <w:top w:val="single" w:color="auto" w:sz="8" w:space="0"/>
                  </w:tcBorders>
                  <w:vAlign w:val="center"/>
                </w:tcPr>
                <w:p>
                  <w:pPr>
                    <w:adjustRightInd w:val="0"/>
                    <w:snapToGrid w:val="0"/>
                    <w:jc w:val="center"/>
                    <w:rPr>
                      <w:sz w:val="21"/>
                      <w:szCs w:val="21"/>
                    </w:rPr>
                  </w:pPr>
                  <w:r>
                    <w:rPr>
                      <w:rFonts w:hint="eastAsia"/>
                      <w:color w:val="000000"/>
                      <w:sz w:val="21"/>
                      <w:szCs w:val="21"/>
                    </w:rPr>
                    <w:t>不低于</w:t>
                  </w:r>
                  <w:r>
                    <w:rPr>
                      <w:color w:val="000000"/>
                      <w:sz w:val="21"/>
                      <w:szCs w:val="21"/>
                    </w:rPr>
                    <w:t>15m</w:t>
                  </w:r>
                  <w:r>
                    <w:rPr>
                      <w:rFonts w:hint="eastAsia"/>
                      <w:color w:val="000000"/>
                      <w:sz w:val="21"/>
                      <w:szCs w:val="21"/>
                    </w:rPr>
                    <w:t>且高于本体建筑物</w:t>
                  </w:r>
                  <w:r>
                    <w:rPr>
                      <w:color w:val="000000"/>
                      <w:sz w:val="21"/>
                      <w:szCs w:val="21"/>
                    </w:rPr>
                    <w:t>3m</w:t>
                  </w:r>
                  <w:r>
                    <w:rPr>
                      <w:rFonts w:hint="eastAsia"/>
                      <w:color w:val="000000"/>
                      <w:sz w:val="21"/>
                      <w:szCs w:val="21"/>
                    </w:rPr>
                    <w:t>的排气筒</w:t>
                  </w:r>
                </w:p>
              </w:tc>
              <w:tc>
                <w:tcPr>
                  <w:tcW w:w="550" w:type="dxa"/>
                  <w:tcBorders>
                    <w:top w:val="single" w:color="auto" w:sz="8" w:space="0"/>
                  </w:tcBorders>
                  <w:vAlign w:val="center"/>
                </w:tcPr>
                <w:p>
                  <w:pPr>
                    <w:adjustRightInd w:val="0"/>
                    <w:snapToGrid w:val="0"/>
                    <w:jc w:val="center"/>
                    <w:rPr>
                      <w:rFonts w:hint="eastAsia" w:eastAsia="宋体"/>
                      <w:sz w:val="21"/>
                      <w:szCs w:val="21"/>
                      <w:lang w:eastAsia="zh-CN"/>
                    </w:rPr>
                  </w:pPr>
                  <w:r>
                    <w:rPr>
                      <w:sz w:val="21"/>
                      <w:szCs w:val="21"/>
                    </w:rPr>
                    <w:t>0.</w:t>
                  </w:r>
                  <w:r>
                    <w:rPr>
                      <w:rFonts w:hint="eastAsia"/>
                      <w:sz w:val="21"/>
                      <w:szCs w:val="21"/>
                      <w:lang w:val="en-US" w:eastAsia="zh-CN"/>
                    </w:rPr>
                    <w:t>6</w:t>
                  </w:r>
                </w:p>
              </w:tc>
              <w:tc>
                <w:tcPr>
                  <w:tcW w:w="784" w:type="dxa"/>
                  <w:vMerge w:val="restart"/>
                  <w:tcBorders>
                    <w:top w:val="single" w:color="auto" w:sz="8" w:space="0"/>
                  </w:tcBorders>
                  <w:vAlign w:val="center"/>
                </w:tcPr>
                <w:p>
                  <w:pPr>
                    <w:pStyle w:val="120"/>
                    <w:rPr>
                      <w:rFonts w:ascii="Times New Roman" w:hAnsi="Times New Roman" w:eastAsia="宋体"/>
                      <w:sz w:val="21"/>
                      <w:szCs w:val="21"/>
                    </w:rPr>
                  </w:pPr>
                  <w:r>
                    <w:rPr>
                      <w:rFonts w:hint="eastAsia" w:ascii="Times New Roman" w:hAnsi="Times New Roman" w:eastAsia="宋体"/>
                      <w:sz w:val="21"/>
                      <w:szCs w:val="21"/>
                    </w:rPr>
                    <w:t>一</w:t>
                  </w:r>
                </w:p>
                <w:p>
                  <w:pPr>
                    <w:pStyle w:val="120"/>
                    <w:rPr>
                      <w:rFonts w:ascii="Times New Roman" w:hAnsi="Times New Roman" w:eastAsia="宋体"/>
                      <w:sz w:val="21"/>
                      <w:szCs w:val="21"/>
                    </w:rPr>
                  </w:pPr>
                  <w:r>
                    <w:rPr>
                      <w:rFonts w:hint="eastAsia" w:ascii="Times New Roman" w:hAnsi="Times New Roman" w:eastAsia="宋体"/>
                      <w:sz w:val="21"/>
                      <w:szCs w:val="21"/>
                    </w:rPr>
                    <w:t>般</w:t>
                  </w:r>
                </w:p>
                <w:p>
                  <w:pPr>
                    <w:pStyle w:val="120"/>
                    <w:rPr>
                      <w:rFonts w:ascii="Times New Roman" w:hAnsi="Times New Roman" w:eastAsia="宋体"/>
                      <w:sz w:val="21"/>
                      <w:szCs w:val="21"/>
                    </w:rPr>
                  </w:pPr>
                  <w:r>
                    <w:rPr>
                      <w:rFonts w:hint="eastAsia" w:ascii="Times New Roman" w:hAnsi="Times New Roman" w:eastAsia="宋体"/>
                      <w:sz w:val="21"/>
                      <w:szCs w:val="21"/>
                    </w:rPr>
                    <w:t>排</w:t>
                  </w:r>
                </w:p>
                <w:p>
                  <w:pPr>
                    <w:pStyle w:val="120"/>
                    <w:rPr>
                      <w:rFonts w:ascii="Times New Roman" w:hAnsi="Times New Roman" w:eastAsia="宋体"/>
                      <w:sz w:val="21"/>
                      <w:szCs w:val="21"/>
                    </w:rPr>
                  </w:pPr>
                  <w:r>
                    <w:rPr>
                      <w:rFonts w:hint="eastAsia" w:ascii="Times New Roman" w:hAnsi="Times New Roman" w:eastAsia="宋体"/>
                      <w:sz w:val="21"/>
                      <w:szCs w:val="21"/>
                    </w:rPr>
                    <w:t>放</w:t>
                  </w:r>
                </w:p>
                <w:p>
                  <w:pPr>
                    <w:pStyle w:val="120"/>
                    <w:rPr>
                      <w:rFonts w:eastAsia="黑体"/>
                      <w:sz w:val="24"/>
                    </w:rPr>
                  </w:pPr>
                  <w:r>
                    <w:rPr>
                      <w:rFonts w:hint="eastAsia" w:ascii="Times New Roman" w:hAnsi="Times New Roman" w:eastAsia="宋体"/>
                      <w:sz w:val="21"/>
                      <w:szCs w:val="21"/>
                    </w:rPr>
                    <w:t>口</w:t>
                  </w:r>
                </w:p>
              </w:tc>
              <w:tc>
                <w:tcPr>
                  <w:tcW w:w="850" w:type="dxa"/>
                  <w:tcBorders>
                    <w:top w:val="single" w:color="auto" w:sz="8" w:space="0"/>
                  </w:tcBorders>
                  <w:vAlign w:val="center"/>
                </w:tcPr>
                <w:p>
                  <w:pPr>
                    <w:adjustRightInd w:val="0"/>
                    <w:snapToGrid w:val="0"/>
                    <w:jc w:val="center"/>
                    <w:rPr>
                      <w:sz w:val="21"/>
                      <w:szCs w:val="21"/>
                    </w:rPr>
                  </w:pPr>
                  <w:r>
                    <w:rPr>
                      <w:sz w:val="21"/>
                      <w:szCs w:val="21"/>
                    </w:rPr>
                    <w:t>25</w:t>
                  </w:r>
                </w:p>
              </w:tc>
              <w:tc>
                <w:tcPr>
                  <w:tcW w:w="1134" w:type="dxa"/>
                  <w:tcBorders>
                    <w:top w:val="single" w:color="auto" w:sz="8" w:space="0"/>
                  </w:tcBorders>
                  <w:vAlign w:val="center"/>
                </w:tcPr>
                <w:p>
                  <w:pPr>
                    <w:adjustRightInd w:val="0"/>
                    <w:snapToGrid w:val="0"/>
                    <w:jc w:val="center"/>
                    <w:rPr>
                      <w:sz w:val="21"/>
                      <w:szCs w:val="21"/>
                    </w:rPr>
                  </w:pPr>
                  <w:r>
                    <w:rPr>
                      <w:rFonts w:hint="eastAsia"/>
                      <w:sz w:val="21"/>
                      <w:szCs w:val="21"/>
                    </w:rPr>
                    <w:t>颗粒物</w:t>
                  </w:r>
                </w:p>
              </w:tc>
              <w:tc>
                <w:tcPr>
                  <w:tcW w:w="1310" w:type="dxa"/>
                  <w:vMerge w:val="restart"/>
                  <w:tcBorders>
                    <w:top w:val="single" w:color="auto" w:sz="8" w:space="0"/>
                  </w:tcBorders>
                  <w:vAlign w:val="center"/>
                </w:tcPr>
                <w:p>
                  <w:pPr>
                    <w:pStyle w:val="120"/>
                    <w:jc w:val="left"/>
                    <w:rPr>
                      <w:rFonts w:ascii="Times New Roman" w:hAnsi="Times New Roman" w:eastAsia="黑体"/>
                      <w:sz w:val="21"/>
                      <w:szCs w:val="21"/>
                    </w:rPr>
                  </w:pPr>
                  <w:r>
                    <w:rPr>
                      <w:rFonts w:ascii="Times New Roman" w:hAnsi="Times New Roman" w:eastAsia="宋体"/>
                      <w:color w:val="000000"/>
                      <w:sz w:val="21"/>
                      <w:szCs w:val="21"/>
                    </w:rPr>
                    <w:t>《水泥工业大气污染物排放标准》（</w:t>
                  </w:r>
                  <w:r>
                    <w:rPr>
                      <w:rFonts w:ascii="Times New Roman" w:hAnsi="Times New Roman"/>
                      <w:color w:val="000000"/>
                      <w:sz w:val="21"/>
                      <w:szCs w:val="21"/>
                    </w:rPr>
                    <w:t>DB41/1953-2020</w:t>
                  </w:r>
                  <w:r>
                    <w:rPr>
                      <w:rFonts w:ascii="Times New Roman" w:hAnsi="Times New Roman" w:eastAsia="宋体"/>
                      <w:color w:val="000000"/>
                      <w:sz w:val="21"/>
                      <w:szCs w:val="21"/>
                    </w:rPr>
                    <w:t>）表</w:t>
                  </w:r>
                  <w:r>
                    <w:rPr>
                      <w:rFonts w:hint="eastAsia" w:ascii="Times New Roman" w:hAnsi="Times New Roman" w:eastAsia="宋体"/>
                      <w:color w:val="000000"/>
                      <w:sz w:val="21"/>
                      <w:szCs w:val="21"/>
                    </w:rPr>
                    <w:t xml:space="preserve">1 </w:t>
                  </w:r>
                  <w:r>
                    <w:rPr>
                      <w:rFonts w:ascii="Times New Roman" w:hAnsi="Times New Roman" w:eastAsia="宋体"/>
                      <w:color w:val="000000"/>
                      <w:sz w:val="21"/>
                      <w:szCs w:val="21"/>
                    </w:rPr>
                    <w:t>颗粒物排放浓度限值10</w:t>
                  </w:r>
                  <w:r>
                    <w:rPr>
                      <w:rFonts w:ascii="Times New Roman" w:hAnsi="Times New Roman"/>
                      <w:sz w:val="21"/>
                      <w:szCs w:val="21"/>
                    </w:rPr>
                    <w:t>mg/m</w:t>
                  </w:r>
                  <w:r>
                    <w:rPr>
                      <w:rFonts w:ascii="Times New Roman" w:hAnsi="Times New Roman"/>
                      <w:sz w:val="21"/>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51" w:type="dxa"/>
                  <w:vAlign w:val="center"/>
                </w:tcPr>
                <w:p>
                  <w:pPr>
                    <w:adjustRightInd w:val="0"/>
                    <w:snapToGrid w:val="0"/>
                    <w:jc w:val="center"/>
                    <w:rPr>
                      <w:rFonts w:hint="eastAsia"/>
                      <w:sz w:val="21"/>
                      <w:szCs w:val="21"/>
                      <w:lang w:eastAsia="zh-CN"/>
                    </w:rPr>
                  </w:pPr>
                  <w:r>
                    <w:rPr>
                      <w:rFonts w:hint="eastAsia"/>
                      <w:sz w:val="21"/>
                      <w:szCs w:val="21"/>
                    </w:rPr>
                    <w:t>DA00</w:t>
                  </w:r>
                  <w:r>
                    <w:rPr>
                      <w:rFonts w:hint="eastAsia"/>
                      <w:sz w:val="21"/>
                      <w:szCs w:val="21"/>
                      <w:lang w:val="en-US" w:eastAsia="zh-CN"/>
                    </w:rPr>
                    <w:t>2</w:t>
                  </w:r>
                </w:p>
              </w:tc>
              <w:tc>
                <w:tcPr>
                  <w:tcW w:w="742" w:type="dxa"/>
                  <w:vAlign w:val="center"/>
                </w:tcPr>
                <w:p>
                  <w:pPr>
                    <w:adjustRightInd w:val="0"/>
                    <w:snapToGrid w:val="0"/>
                    <w:jc w:val="center"/>
                    <w:rPr>
                      <w:rFonts w:hint="eastAsia"/>
                      <w:sz w:val="21"/>
                      <w:szCs w:val="21"/>
                    </w:rPr>
                  </w:pPr>
                  <w:r>
                    <w:rPr>
                      <w:rFonts w:hint="eastAsia"/>
                      <w:sz w:val="21"/>
                      <w:szCs w:val="21"/>
                    </w:rPr>
                    <w:t>砂石进料粉尘</w:t>
                  </w:r>
                </w:p>
              </w:tc>
              <w:tc>
                <w:tcPr>
                  <w:tcW w:w="801" w:type="dxa"/>
                  <w:vAlign w:val="center"/>
                </w:tcPr>
                <w:p>
                  <w:pPr>
                    <w:adjustRightInd w:val="0"/>
                    <w:snapToGrid w:val="0"/>
                    <w:jc w:val="center"/>
                    <w:rPr>
                      <w:rFonts w:hint="eastAsia"/>
                      <w:sz w:val="21"/>
                      <w:szCs w:val="21"/>
                    </w:rPr>
                  </w:pPr>
                  <w:r>
                    <w:rPr>
                      <w:rFonts w:hint="eastAsia"/>
                      <w:sz w:val="21"/>
                      <w:szCs w:val="21"/>
                    </w:rPr>
                    <w:t>11</w:t>
                  </w:r>
                  <w:r>
                    <w:rPr>
                      <w:rFonts w:hint="eastAsia"/>
                      <w:sz w:val="21"/>
                      <w:szCs w:val="21"/>
                      <w:lang w:val="en-US" w:eastAsia="zh-CN"/>
                    </w:rPr>
                    <w:t>3</w:t>
                  </w:r>
                  <w:r>
                    <w:rPr>
                      <w:rFonts w:hint="eastAsia"/>
                      <w:sz w:val="21"/>
                      <w:szCs w:val="21"/>
                    </w:rPr>
                    <w:t>°44′24.22″</w:t>
                  </w:r>
                </w:p>
              </w:tc>
              <w:tc>
                <w:tcPr>
                  <w:tcW w:w="881" w:type="dxa"/>
                  <w:vAlign w:val="top"/>
                </w:tcPr>
                <w:p>
                  <w:pPr>
                    <w:adjustRightInd w:val="0"/>
                    <w:snapToGrid w:val="0"/>
                    <w:jc w:val="center"/>
                    <w:rPr>
                      <w:rFonts w:hint="eastAsia"/>
                      <w:sz w:val="21"/>
                      <w:szCs w:val="21"/>
                    </w:rPr>
                  </w:pPr>
                  <w:r>
                    <w:rPr>
                      <w:rFonts w:hint="eastAsia"/>
                      <w:sz w:val="21"/>
                      <w:szCs w:val="21"/>
                    </w:rPr>
                    <w:br w:type="textWrapping"/>
                  </w:r>
                  <w:r>
                    <w:rPr>
                      <w:rFonts w:hint="eastAsia"/>
                      <w:sz w:val="21"/>
                      <w:szCs w:val="21"/>
                    </w:rPr>
                    <w:t>35°8′57.00</w:t>
                  </w:r>
                </w:p>
              </w:tc>
              <w:tc>
                <w:tcPr>
                  <w:tcW w:w="953" w:type="dxa"/>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15</w:t>
                  </w:r>
                </w:p>
              </w:tc>
              <w:tc>
                <w:tcPr>
                  <w:tcW w:w="550" w:type="dxa"/>
                  <w:vAlign w:val="center"/>
                </w:tcPr>
                <w:p>
                  <w:pPr>
                    <w:adjustRightInd w:val="0"/>
                    <w:snapToGrid w:val="0"/>
                    <w:jc w:val="center"/>
                    <w:rPr>
                      <w:rFonts w:hint="eastAsia" w:eastAsia="宋体"/>
                      <w:sz w:val="21"/>
                      <w:szCs w:val="21"/>
                      <w:lang w:eastAsia="zh-CN"/>
                    </w:rPr>
                  </w:pPr>
                  <w:r>
                    <w:rPr>
                      <w:sz w:val="21"/>
                      <w:szCs w:val="21"/>
                    </w:rPr>
                    <w:t>0.</w:t>
                  </w:r>
                  <w:r>
                    <w:rPr>
                      <w:rFonts w:hint="eastAsia"/>
                      <w:sz w:val="21"/>
                      <w:szCs w:val="21"/>
                      <w:lang w:val="en-US" w:eastAsia="zh-CN"/>
                    </w:rPr>
                    <w:t>6</w:t>
                  </w:r>
                </w:p>
              </w:tc>
              <w:tc>
                <w:tcPr>
                  <w:tcW w:w="784" w:type="dxa"/>
                  <w:vMerge w:val="continue"/>
                  <w:vAlign w:val="center"/>
                </w:tcPr>
                <w:p>
                  <w:pPr>
                    <w:adjustRightInd w:val="0"/>
                    <w:snapToGrid w:val="0"/>
                    <w:spacing w:line="440" w:lineRule="exact"/>
                    <w:jc w:val="center"/>
                    <w:rPr>
                      <w:rFonts w:eastAsia="黑体"/>
                      <w:sz w:val="24"/>
                    </w:rPr>
                  </w:pPr>
                </w:p>
              </w:tc>
              <w:tc>
                <w:tcPr>
                  <w:tcW w:w="850" w:type="dxa"/>
                  <w:vAlign w:val="center"/>
                </w:tcPr>
                <w:p>
                  <w:pPr>
                    <w:adjustRightInd w:val="0"/>
                    <w:snapToGrid w:val="0"/>
                    <w:jc w:val="center"/>
                    <w:rPr>
                      <w:sz w:val="21"/>
                      <w:szCs w:val="21"/>
                    </w:rPr>
                  </w:pPr>
                  <w:r>
                    <w:rPr>
                      <w:sz w:val="21"/>
                      <w:szCs w:val="21"/>
                    </w:rPr>
                    <w:t>25</w:t>
                  </w:r>
                </w:p>
              </w:tc>
              <w:tc>
                <w:tcPr>
                  <w:tcW w:w="1134" w:type="dxa"/>
                  <w:vAlign w:val="center"/>
                </w:tcPr>
                <w:p>
                  <w:pPr>
                    <w:adjustRightInd w:val="0"/>
                    <w:snapToGrid w:val="0"/>
                    <w:jc w:val="center"/>
                    <w:rPr>
                      <w:sz w:val="21"/>
                      <w:szCs w:val="21"/>
                    </w:rPr>
                  </w:pPr>
                  <w:r>
                    <w:rPr>
                      <w:rFonts w:hint="eastAsia"/>
                      <w:sz w:val="21"/>
                      <w:szCs w:val="21"/>
                    </w:rPr>
                    <w:t>颗粒物</w:t>
                  </w:r>
                </w:p>
              </w:tc>
              <w:tc>
                <w:tcPr>
                  <w:tcW w:w="1310" w:type="dxa"/>
                  <w:vMerge w:val="continue"/>
                </w:tcPr>
                <w:p>
                  <w:pPr>
                    <w:adjustRightInd w:val="0"/>
                    <w:snapToGrid w:val="0"/>
                    <w:spacing w:line="440" w:lineRule="exact"/>
                    <w:rPr>
                      <w:rFonts w:eastAsia="黑体"/>
                      <w:sz w:val="24"/>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jc w:val="center"/>
                    <w:rPr>
                      <w:rFonts w:hint="eastAsia" w:eastAsia="宋体"/>
                      <w:sz w:val="21"/>
                      <w:szCs w:val="21"/>
                      <w:lang w:eastAsia="zh-CN"/>
                    </w:rPr>
                  </w:pPr>
                  <w:r>
                    <w:rPr>
                      <w:sz w:val="21"/>
                      <w:szCs w:val="21"/>
                    </w:rPr>
                    <w:t>DA00</w:t>
                  </w:r>
                  <w:r>
                    <w:rPr>
                      <w:rFonts w:hint="eastAsia"/>
                      <w:sz w:val="21"/>
                      <w:szCs w:val="21"/>
                      <w:lang w:val="en-US" w:eastAsia="zh-CN"/>
                    </w:rPr>
                    <w:t>3</w:t>
                  </w:r>
                </w:p>
              </w:tc>
              <w:tc>
                <w:tcPr>
                  <w:tcW w:w="742" w:type="dxa"/>
                  <w:vAlign w:val="center"/>
                </w:tcPr>
                <w:p>
                  <w:pPr>
                    <w:jc w:val="center"/>
                    <w:rPr>
                      <w:rFonts w:hAnsiTheme="minorEastAsia" w:eastAsiaTheme="minorEastAsia"/>
                      <w:sz w:val="21"/>
                      <w:szCs w:val="21"/>
                    </w:rPr>
                  </w:pPr>
                  <w:r>
                    <w:rPr>
                      <w:rFonts w:hint="eastAsia" w:ascii="宋体" w:hAnsi="宋体" w:cs="宋体"/>
                      <w:color w:val="000000"/>
                      <w:sz w:val="21"/>
                      <w:szCs w:val="21"/>
                    </w:rPr>
                    <w:t>搅拌系统粉尘</w:t>
                  </w:r>
                </w:p>
              </w:tc>
              <w:tc>
                <w:tcPr>
                  <w:tcW w:w="801"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 w:val="21"/>
                      <w:szCs w:val="21"/>
                    </w:rPr>
                    <w:t>113°44′24.78″</w:t>
                  </w:r>
                </w:p>
              </w:tc>
              <w:tc>
                <w:tcPr>
                  <w:tcW w:w="881" w:type="dxa"/>
                  <w:vAlign w:val="top"/>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 w:val="21"/>
                      <w:szCs w:val="21"/>
                    </w:rPr>
                    <w:br w:type="textWrapping"/>
                  </w:r>
                  <w:r>
                    <w:rPr>
                      <w:rFonts w:hint="eastAsia"/>
                      <w:sz w:val="21"/>
                      <w:szCs w:val="21"/>
                    </w:rPr>
                    <w:t>35°8′57.36</w:t>
                  </w:r>
                </w:p>
              </w:tc>
              <w:tc>
                <w:tcPr>
                  <w:tcW w:w="953" w:type="dxa"/>
                  <w:vAlign w:val="center"/>
                </w:tcPr>
                <w:p>
                  <w:pPr>
                    <w:adjustRightInd w:val="0"/>
                    <w:snapToGrid w:val="0"/>
                    <w:jc w:val="center"/>
                    <w:rPr>
                      <w:sz w:val="21"/>
                      <w:szCs w:val="21"/>
                    </w:rPr>
                  </w:pPr>
                  <w:r>
                    <w:rPr>
                      <w:sz w:val="21"/>
                      <w:szCs w:val="21"/>
                    </w:rPr>
                    <w:t>15</w:t>
                  </w:r>
                </w:p>
              </w:tc>
              <w:tc>
                <w:tcPr>
                  <w:tcW w:w="550" w:type="dxa"/>
                  <w:vAlign w:val="center"/>
                </w:tcPr>
                <w:p>
                  <w:pPr>
                    <w:adjustRightInd w:val="0"/>
                    <w:snapToGrid w:val="0"/>
                    <w:jc w:val="center"/>
                    <w:rPr>
                      <w:rFonts w:hint="eastAsia" w:eastAsia="宋体"/>
                      <w:sz w:val="21"/>
                      <w:szCs w:val="21"/>
                      <w:lang w:eastAsia="zh-CN"/>
                    </w:rPr>
                  </w:pPr>
                  <w:r>
                    <w:rPr>
                      <w:sz w:val="21"/>
                      <w:szCs w:val="21"/>
                    </w:rPr>
                    <w:t>0.</w:t>
                  </w:r>
                  <w:r>
                    <w:rPr>
                      <w:rFonts w:hint="eastAsia"/>
                      <w:sz w:val="21"/>
                      <w:szCs w:val="21"/>
                      <w:lang w:val="en-US" w:eastAsia="zh-CN"/>
                    </w:rPr>
                    <w:t>6</w:t>
                  </w:r>
                </w:p>
              </w:tc>
              <w:tc>
                <w:tcPr>
                  <w:tcW w:w="784" w:type="dxa"/>
                  <w:vMerge w:val="continue"/>
                  <w:vAlign w:val="center"/>
                </w:tcPr>
                <w:p>
                  <w:pPr>
                    <w:adjustRightInd w:val="0"/>
                    <w:snapToGrid w:val="0"/>
                    <w:spacing w:line="440" w:lineRule="exact"/>
                    <w:jc w:val="center"/>
                    <w:rPr>
                      <w:rFonts w:eastAsia="黑体"/>
                      <w:sz w:val="24"/>
                    </w:rPr>
                  </w:pPr>
                </w:p>
              </w:tc>
              <w:tc>
                <w:tcPr>
                  <w:tcW w:w="850" w:type="dxa"/>
                  <w:vAlign w:val="center"/>
                </w:tcPr>
                <w:p>
                  <w:pPr>
                    <w:adjustRightInd w:val="0"/>
                    <w:snapToGrid w:val="0"/>
                    <w:jc w:val="center"/>
                    <w:rPr>
                      <w:sz w:val="21"/>
                      <w:szCs w:val="21"/>
                    </w:rPr>
                  </w:pPr>
                  <w:r>
                    <w:rPr>
                      <w:sz w:val="21"/>
                      <w:szCs w:val="21"/>
                    </w:rPr>
                    <w:t>25</w:t>
                  </w:r>
                </w:p>
              </w:tc>
              <w:tc>
                <w:tcPr>
                  <w:tcW w:w="1134" w:type="dxa"/>
                  <w:vAlign w:val="center"/>
                </w:tcPr>
                <w:p>
                  <w:pPr>
                    <w:adjustRightInd w:val="0"/>
                    <w:snapToGrid w:val="0"/>
                    <w:jc w:val="center"/>
                    <w:rPr>
                      <w:sz w:val="21"/>
                      <w:szCs w:val="21"/>
                    </w:rPr>
                  </w:pPr>
                  <w:r>
                    <w:rPr>
                      <w:rFonts w:hint="eastAsia"/>
                      <w:sz w:val="21"/>
                      <w:szCs w:val="21"/>
                    </w:rPr>
                    <w:t>颗粒物</w:t>
                  </w:r>
                </w:p>
              </w:tc>
              <w:tc>
                <w:tcPr>
                  <w:tcW w:w="1310" w:type="dxa"/>
                  <w:vMerge w:val="continue"/>
                </w:tcPr>
                <w:p>
                  <w:pPr>
                    <w:adjustRightInd w:val="0"/>
                    <w:snapToGrid w:val="0"/>
                    <w:spacing w:line="440" w:lineRule="exact"/>
                    <w:rPr>
                      <w:rFonts w:eastAsia="黑体"/>
                      <w:sz w:val="24"/>
                    </w:rPr>
                  </w:pPr>
                </w:p>
              </w:tc>
            </w:tr>
          </w:tbl>
          <w:p>
            <w:pPr>
              <w:adjustRightInd w:val="0"/>
              <w:snapToGrid w:val="0"/>
              <w:spacing w:line="440" w:lineRule="exact"/>
              <w:ind w:firstLine="480" w:firstLineChars="200"/>
              <w:rPr>
                <w:rFonts w:hint="eastAsia"/>
                <w:sz w:val="24"/>
              </w:rPr>
            </w:pPr>
            <w:r>
              <w:rPr>
                <w:rFonts w:hint="eastAsia"/>
                <w:sz w:val="24"/>
              </w:rPr>
              <w:t>本项目无组织排放源基本情况见下表。</w:t>
            </w:r>
            <w:r>
              <w:rPr>
                <w:rFonts w:hint="eastAsia"/>
                <w:sz w:val="24"/>
                <w:szCs w:val="20"/>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0" w:hRule="atLeast"/>
        </w:trPr>
        <w:tc>
          <w:tcPr>
            <w:tcW w:w="534" w:type="dxa"/>
            <w:tcBorders>
              <w:top w:val="single" w:color="auto" w:sz="8" w:space="0"/>
              <w:left w:val="single" w:color="auto" w:sz="8" w:space="0"/>
              <w:right w:val="single" w:color="auto" w:sz="4" w:space="0"/>
            </w:tcBorders>
          </w:tcPr>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center"/>
              <w:rPr>
                <w:color w:val="000000"/>
                <w:sz w:val="21"/>
                <w:szCs w:val="21"/>
              </w:rPr>
            </w:pPr>
          </w:p>
          <w:p>
            <w:pPr>
              <w:adjustRightInd w:val="0"/>
              <w:snapToGrid w:val="0"/>
              <w:jc w:val="left"/>
              <w:rPr>
                <w:color w:val="000000"/>
                <w:sz w:val="21"/>
                <w:szCs w:val="21"/>
              </w:rPr>
            </w:pPr>
          </w:p>
        </w:tc>
        <w:tc>
          <w:tcPr>
            <w:tcW w:w="9072" w:type="dxa"/>
            <w:tcBorders>
              <w:top w:val="single" w:color="auto" w:sz="8" w:space="0"/>
              <w:left w:val="single" w:color="auto" w:sz="4" w:space="0"/>
              <w:bottom w:val="single" w:color="auto" w:sz="8" w:space="0"/>
              <w:right w:val="single" w:color="auto" w:sz="8" w:space="0"/>
            </w:tcBorders>
          </w:tcPr>
          <w:p>
            <w:pPr>
              <w:adjustRightInd w:val="0"/>
              <w:snapToGrid w:val="0"/>
              <w:spacing w:line="440" w:lineRule="exact"/>
              <w:ind w:firstLine="480" w:firstLineChars="200"/>
              <w:rPr>
                <w:rFonts w:eastAsia="黑体"/>
                <w:sz w:val="24"/>
              </w:rPr>
            </w:pPr>
            <w:r>
              <w:rPr>
                <w:rFonts w:hint="eastAsia" w:hAnsi="黑体" w:eastAsia="黑体"/>
                <w:sz w:val="24"/>
              </w:rPr>
              <w:t>表</w:t>
            </w:r>
            <w:r>
              <w:rPr>
                <w:rFonts w:hint="eastAsia" w:eastAsia="黑体"/>
                <w:sz w:val="24"/>
                <w:lang w:val="en-US" w:eastAsia="zh-CN"/>
              </w:rPr>
              <w:t>4-6</w:t>
            </w:r>
            <w:r>
              <w:rPr>
                <w:rFonts w:hint="eastAsia" w:eastAsia="黑体"/>
                <w:sz w:val="24"/>
              </w:rPr>
              <w:t xml:space="preserve">         </w:t>
            </w:r>
            <w:r>
              <w:rPr>
                <w:rFonts w:hint="eastAsia" w:hAnsi="黑体" w:eastAsia="黑体"/>
                <w:sz w:val="24"/>
              </w:rPr>
              <w:t>本项目无组织排放口基本情况</w:t>
            </w:r>
          </w:p>
          <w:tbl>
            <w:tblPr>
              <w:tblStyle w:val="24"/>
              <w:tblW w:w="5000" w:type="pct"/>
              <w:jc w:val="center"/>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956"/>
              <w:gridCol w:w="900"/>
              <w:gridCol w:w="1033"/>
              <w:gridCol w:w="1200"/>
              <w:gridCol w:w="750"/>
              <w:gridCol w:w="1034"/>
              <w:gridCol w:w="2983"/>
            </w:tblGrid>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9" w:type="pct"/>
                  <w:vMerge w:val="restart"/>
                  <w:tcBorders>
                    <w:top w:val="single" w:color="000000" w:sz="8" w:space="0"/>
                    <w:left w:val="nil"/>
                    <w:bottom w:val="single" w:color="000000" w:sz="6" w:space="0"/>
                    <w:right w:val="single" w:color="000000" w:sz="6" w:space="0"/>
                  </w:tcBorders>
                  <w:vAlign w:val="center"/>
                </w:tcPr>
                <w:p>
                  <w:pPr>
                    <w:adjustRightInd w:val="0"/>
                    <w:snapToGrid w:val="0"/>
                    <w:jc w:val="center"/>
                    <w:rPr>
                      <w:b/>
                      <w:sz w:val="21"/>
                      <w:szCs w:val="21"/>
                    </w:rPr>
                  </w:pPr>
                  <w:r>
                    <w:rPr>
                      <w:rFonts w:hint="eastAsia" w:hAnsi="宋体"/>
                      <w:b/>
                      <w:sz w:val="21"/>
                      <w:szCs w:val="21"/>
                    </w:rPr>
                    <w:t>名称</w:t>
                  </w:r>
                </w:p>
              </w:tc>
              <w:tc>
                <w:tcPr>
                  <w:tcW w:w="508" w:type="pct"/>
                  <w:vMerge w:val="restart"/>
                  <w:tcBorders>
                    <w:top w:val="single" w:color="000000" w:sz="8" w:space="0"/>
                    <w:left w:val="single" w:color="000000" w:sz="6" w:space="0"/>
                    <w:bottom w:val="single" w:color="000000" w:sz="6" w:space="0"/>
                    <w:right w:val="single" w:color="000000" w:sz="6" w:space="0"/>
                  </w:tcBorders>
                  <w:vAlign w:val="center"/>
                </w:tcPr>
                <w:p>
                  <w:pPr>
                    <w:adjustRightInd w:val="0"/>
                    <w:snapToGrid w:val="0"/>
                    <w:jc w:val="center"/>
                    <w:rPr>
                      <w:b/>
                      <w:sz w:val="21"/>
                      <w:szCs w:val="21"/>
                    </w:rPr>
                  </w:pPr>
                  <w:r>
                    <w:rPr>
                      <w:rFonts w:hint="eastAsia" w:hAnsi="宋体"/>
                      <w:b/>
                      <w:sz w:val="21"/>
                      <w:szCs w:val="21"/>
                    </w:rPr>
                    <w:t>面源长度</w:t>
                  </w:r>
                  <w:r>
                    <w:rPr>
                      <w:b/>
                      <w:sz w:val="21"/>
                      <w:szCs w:val="21"/>
                    </w:rPr>
                    <w:t>/m</w:t>
                  </w:r>
                </w:p>
              </w:tc>
              <w:tc>
                <w:tcPr>
                  <w:tcW w:w="583" w:type="pct"/>
                  <w:vMerge w:val="restart"/>
                  <w:tcBorders>
                    <w:top w:val="single" w:color="000000" w:sz="8" w:space="0"/>
                    <w:left w:val="single" w:color="000000" w:sz="6" w:space="0"/>
                    <w:bottom w:val="single" w:color="000000" w:sz="6" w:space="0"/>
                    <w:right w:val="single" w:color="000000" w:sz="6" w:space="0"/>
                  </w:tcBorders>
                  <w:vAlign w:val="center"/>
                </w:tcPr>
                <w:p>
                  <w:pPr>
                    <w:adjustRightInd w:val="0"/>
                    <w:snapToGrid w:val="0"/>
                    <w:jc w:val="center"/>
                    <w:rPr>
                      <w:b/>
                      <w:sz w:val="21"/>
                      <w:szCs w:val="21"/>
                    </w:rPr>
                  </w:pPr>
                  <w:r>
                    <w:rPr>
                      <w:rFonts w:hint="eastAsia" w:hAnsi="宋体"/>
                      <w:b/>
                      <w:sz w:val="21"/>
                      <w:szCs w:val="21"/>
                    </w:rPr>
                    <w:t>面源宽度</w:t>
                  </w:r>
                  <w:r>
                    <w:rPr>
                      <w:b/>
                      <w:sz w:val="21"/>
                      <w:szCs w:val="21"/>
                    </w:rPr>
                    <w:t>/m</w:t>
                  </w:r>
                </w:p>
              </w:tc>
              <w:tc>
                <w:tcPr>
                  <w:tcW w:w="677" w:type="pct"/>
                  <w:vMerge w:val="restart"/>
                  <w:tcBorders>
                    <w:top w:val="single" w:color="000000" w:sz="8" w:space="0"/>
                    <w:left w:val="single" w:color="000000" w:sz="6" w:space="0"/>
                    <w:bottom w:val="single" w:color="000000" w:sz="6" w:space="0"/>
                    <w:right w:val="single" w:color="000000" w:sz="6" w:space="0"/>
                  </w:tcBorders>
                  <w:vAlign w:val="center"/>
                </w:tcPr>
                <w:p>
                  <w:pPr>
                    <w:adjustRightInd w:val="0"/>
                    <w:snapToGrid w:val="0"/>
                    <w:jc w:val="center"/>
                    <w:rPr>
                      <w:b/>
                      <w:sz w:val="21"/>
                      <w:szCs w:val="21"/>
                    </w:rPr>
                  </w:pPr>
                  <w:r>
                    <w:rPr>
                      <w:rFonts w:hint="eastAsia" w:hAnsi="宋体"/>
                      <w:b/>
                      <w:sz w:val="21"/>
                      <w:szCs w:val="21"/>
                    </w:rPr>
                    <w:t>面源有效排放高度</w:t>
                  </w:r>
                  <w:r>
                    <w:rPr>
                      <w:b/>
                      <w:sz w:val="21"/>
                      <w:szCs w:val="21"/>
                    </w:rPr>
                    <w:t>/m</w:t>
                  </w:r>
                </w:p>
              </w:tc>
              <w:tc>
                <w:tcPr>
                  <w:tcW w:w="423" w:type="pct"/>
                  <w:vMerge w:val="restart"/>
                  <w:tcBorders>
                    <w:top w:val="single" w:color="000000" w:sz="8" w:space="0"/>
                    <w:left w:val="single" w:color="000000" w:sz="6" w:space="0"/>
                    <w:bottom w:val="single" w:color="000000" w:sz="6" w:space="0"/>
                    <w:right w:val="single" w:color="000000" w:sz="6" w:space="0"/>
                  </w:tcBorders>
                  <w:vAlign w:val="center"/>
                </w:tcPr>
                <w:p>
                  <w:pPr>
                    <w:adjustRightInd w:val="0"/>
                    <w:snapToGrid w:val="0"/>
                    <w:jc w:val="center"/>
                    <w:rPr>
                      <w:b/>
                      <w:sz w:val="21"/>
                      <w:szCs w:val="21"/>
                    </w:rPr>
                  </w:pPr>
                  <w:r>
                    <w:rPr>
                      <w:rFonts w:hint="eastAsia" w:hAnsi="宋体"/>
                      <w:b/>
                      <w:sz w:val="21"/>
                      <w:szCs w:val="21"/>
                    </w:rPr>
                    <w:t>类型</w:t>
                  </w:r>
                </w:p>
              </w:tc>
              <w:tc>
                <w:tcPr>
                  <w:tcW w:w="583" w:type="pct"/>
                  <w:vMerge w:val="restart"/>
                  <w:tcBorders>
                    <w:top w:val="single" w:color="000000" w:sz="8" w:space="0"/>
                    <w:left w:val="single" w:color="000000" w:sz="6" w:space="0"/>
                    <w:bottom w:val="single" w:color="000000" w:sz="6" w:space="0"/>
                    <w:right w:val="single" w:color="000000" w:sz="6" w:space="0"/>
                  </w:tcBorders>
                  <w:vAlign w:val="center"/>
                </w:tcPr>
                <w:p>
                  <w:pPr>
                    <w:adjustRightInd w:val="0"/>
                    <w:snapToGrid w:val="0"/>
                    <w:jc w:val="center"/>
                    <w:rPr>
                      <w:b/>
                      <w:sz w:val="21"/>
                      <w:szCs w:val="21"/>
                    </w:rPr>
                  </w:pPr>
                  <w:r>
                    <w:rPr>
                      <w:rFonts w:hint="eastAsia" w:hAnsi="宋体"/>
                      <w:b/>
                      <w:sz w:val="21"/>
                      <w:szCs w:val="21"/>
                    </w:rPr>
                    <w:t>污染物</w:t>
                  </w:r>
                </w:p>
              </w:tc>
              <w:tc>
                <w:tcPr>
                  <w:tcW w:w="1684" w:type="pct"/>
                  <w:vMerge w:val="restart"/>
                  <w:tcBorders>
                    <w:top w:val="single" w:color="000000" w:sz="8" w:space="0"/>
                    <w:left w:val="single" w:color="000000" w:sz="6" w:space="0"/>
                    <w:bottom w:val="single" w:color="000000" w:sz="6" w:space="0"/>
                    <w:right w:val="nil"/>
                  </w:tcBorders>
                  <w:vAlign w:val="center"/>
                </w:tcPr>
                <w:p>
                  <w:pPr>
                    <w:adjustRightInd w:val="0"/>
                    <w:snapToGrid w:val="0"/>
                    <w:jc w:val="center"/>
                    <w:rPr>
                      <w:b/>
                      <w:sz w:val="21"/>
                      <w:szCs w:val="21"/>
                    </w:rPr>
                  </w:pPr>
                  <w:r>
                    <w:rPr>
                      <w:rFonts w:hint="eastAsia" w:hAnsi="宋体"/>
                      <w:b/>
                      <w:sz w:val="21"/>
                      <w:szCs w:val="21"/>
                    </w:rPr>
                    <w:t>执行标准</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9" w:type="pct"/>
                  <w:vMerge w:val="continue"/>
                  <w:tcBorders>
                    <w:top w:val="single" w:color="000000" w:sz="8" w:space="0"/>
                    <w:left w:val="nil"/>
                    <w:bottom w:val="single" w:color="000000" w:sz="6" w:space="0"/>
                    <w:right w:val="single" w:color="000000" w:sz="6" w:space="0"/>
                  </w:tcBorders>
                  <w:vAlign w:val="center"/>
                </w:tcPr>
                <w:p>
                  <w:pPr>
                    <w:widowControl/>
                    <w:jc w:val="left"/>
                    <w:rPr>
                      <w:b/>
                      <w:sz w:val="21"/>
                      <w:szCs w:val="21"/>
                    </w:rPr>
                  </w:pPr>
                </w:p>
              </w:tc>
              <w:tc>
                <w:tcPr>
                  <w:tcW w:w="508" w:type="pct"/>
                  <w:vMerge w:val="continue"/>
                  <w:tcBorders>
                    <w:top w:val="single" w:color="000000" w:sz="8" w:space="0"/>
                    <w:left w:val="single" w:color="000000" w:sz="6" w:space="0"/>
                    <w:bottom w:val="single" w:color="000000" w:sz="6" w:space="0"/>
                    <w:right w:val="single" w:color="000000" w:sz="6" w:space="0"/>
                  </w:tcBorders>
                  <w:vAlign w:val="center"/>
                </w:tcPr>
                <w:p>
                  <w:pPr>
                    <w:widowControl/>
                    <w:jc w:val="left"/>
                    <w:rPr>
                      <w:b/>
                      <w:sz w:val="21"/>
                      <w:szCs w:val="21"/>
                    </w:rPr>
                  </w:pPr>
                </w:p>
              </w:tc>
              <w:tc>
                <w:tcPr>
                  <w:tcW w:w="583" w:type="pct"/>
                  <w:vMerge w:val="continue"/>
                  <w:tcBorders>
                    <w:top w:val="single" w:color="000000" w:sz="8" w:space="0"/>
                    <w:left w:val="single" w:color="000000" w:sz="6" w:space="0"/>
                    <w:bottom w:val="single" w:color="000000" w:sz="6" w:space="0"/>
                    <w:right w:val="single" w:color="000000" w:sz="6" w:space="0"/>
                  </w:tcBorders>
                  <w:vAlign w:val="center"/>
                </w:tcPr>
                <w:p>
                  <w:pPr>
                    <w:widowControl/>
                    <w:jc w:val="left"/>
                    <w:rPr>
                      <w:b/>
                      <w:sz w:val="21"/>
                      <w:szCs w:val="21"/>
                    </w:rPr>
                  </w:pPr>
                </w:p>
              </w:tc>
              <w:tc>
                <w:tcPr>
                  <w:tcW w:w="677" w:type="pct"/>
                  <w:vMerge w:val="continue"/>
                  <w:tcBorders>
                    <w:top w:val="single" w:color="000000" w:sz="8" w:space="0"/>
                    <w:left w:val="single" w:color="000000" w:sz="6" w:space="0"/>
                    <w:bottom w:val="single" w:color="000000" w:sz="6" w:space="0"/>
                    <w:right w:val="single" w:color="000000" w:sz="6" w:space="0"/>
                  </w:tcBorders>
                  <w:vAlign w:val="center"/>
                </w:tcPr>
                <w:p>
                  <w:pPr>
                    <w:widowControl/>
                    <w:jc w:val="left"/>
                    <w:rPr>
                      <w:b/>
                      <w:sz w:val="21"/>
                      <w:szCs w:val="21"/>
                    </w:rPr>
                  </w:pPr>
                </w:p>
              </w:tc>
              <w:tc>
                <w:tcPr>
                  <w:tcW w:w="423" w:type="pct"/>
                  <w:vMerge w:val="continue"/>
                  <w:tcBorders>
                    <w:top w:val="single" w:color="000000" w:sz="8" w:space="0"/>
                    <w:left w:val="single" w:color="000000" w:sz="6" w:space="0"/>
                    <w:bottom w:val="single" w:color="000000" w:sz="6" w:space="0"/>
                    <w:right w:val="single" w:color="000000" w:sz="6" w:space="0"/>
                  </w:tcBorders>
                  <w:vAlign w:val="center"/>
                </w:tcPr>
                <w:p>
                  <w:pPr>
                    <w:widowControl/>
                    <w:jc w:val="left"/>
                    <w:rPr>
                      <w:b/>
                      <w:sz w:val="21"/>
                      <w:szCs w:val="21"/>
                    </w:rPr>
                  </w:pPr>
                </w:p>
              </w:tc>
              <w:tc>
                <w:tcPr>
                  <w:tcW w:w="583" w:type="pct"/>
                  <w:vMerge w:val="continue"/>
                  <w:tcBorders>
                    <w:top w:val="single" w:color="000000" w:sz="8" w:space="0"/>
                    <w:left w:val="single" w:color="000000" w:sz="6" w:space="0"/>
                    <w:bottom w:val="single" w:color="000000" w:sz="6" w:space="0"/>
                    <w:right w:val="single" w:color="000000" w:sz="6" w:space="0"/>
                  </w:tcBorders>
                  <w:vAlign w:val="center"/>
                </w:tcPr>
                <w:p>
                  <w:pPr>
                    <w:widowControl/>
                    <w:jc w:val="left"/>
                    <w:rPr>
                      <w:b/>
                      <w:sz w:val="21"/>
                      <w:szCs w:val="21"/>
                    </w:rPr>
                  </w:pPr>
                </w:p>
              </w:tc>
              <w:tc>
                <w:tcPr>
                  <w:tcW w:w="1684" w:type="pct"/>
                  <w:vMerge w:val="continue"/>
                  <w:tcBorders>
                    <w:top w:val="single" w:color="000000" w:sz="8" w:space="0"/>
                    <w:left w:val="single" w:color="000000" w:sz="6" w:space="0"/>
                    <w:bottom w:val="single" w:color="000000" w:sz="6" w:space="0"/>
                    <w:right w:val="nil"/>
                  </w:tcBorders>
                  <w:vAlign w:val="center"/>
                </w:tcPr>
                <w:p>
                  <w:pPr>
                    <w:widowControl/>
                    <w:jc w:val="left"/>
                    <w:rPr>
                      <w:b/>
                      <w:sz w:val="21"/>
                      <w:szCs w:val="21"/>
                    </w:rPr>
                  </w:pP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9" w:type="pct"/>
                  <w:tcBorders>
                    <w:top w:val="single" w:color="000000" w:sz="8" w:space="0"/>
                    <w:left w:val="nil"/>
                    <w:bottom w:val="single" w:color="000000" w:sz="8" w:space="0"/>
                    <w:right w:val="single" w:color="000000" w:sz="6" w:space="0"/>
                  </w:tcBorders>
                  <w:vAlign w:val="center"/>
                </w:tcPr>
                <w:p>
                  <w:pPr>
                    <w:adjustRightInd w:val="0"/>
                    <w:snapToGrid w:val="0"/>
                    <w:jc w:val="center"/>
                    <w:rPr>
                      <w:rFonts w:hint="default" w:eastAsia="宋体"/>
                      <w:sz w:val="21"/>
                      <w:szCs w:val="21"/>
                      <w:lang w:val="en-US" w:eastAsia="zh-CN"/>
                    </w:rPr>
                  </w:pPr>
                  <w:r>
                    <w:rPr>
                      <w:rFonts w:hint="eastAsia" w:hAnsi="宋体"/>
                      <w:sz w:val="21"/>
                      <w:szCs w:val="21"/>
                    </w:rPr>
                    <w:t>原料</w:t>
                  </w:r>
                  <w:r>
                    <w:rPr>
                      <w:rFonts w:hint="eastAsia" w:hAnsi="宋体"/>
                      <w:sz w:val="21"/>
                      <w:szCs w:val="21"/>
                      <w:lang w:val="en-US" w:eastAsia="zh-CN"/>
                    </w:rPr>
                    <w:t>储存扬尘</w:t>
                  </w:r>
                  <w:r>
                    <w:rPr>
                      <w:rFonts w:hint="eastAsia" w:hAnsi="宋体"/>
                      <w:sz w:val="21"/>
                      <w:szCs w:val="21"/>
                      <w:lang w:eastAsia="zh-CN"/>
                    </w:rPr>
                    <w:t>、</w:t>
                  </w:r>
                  <w:r>
                    <w:rPr>
                      <w:rFonts w:hint="eastAsia" w:hAnsi="宋体"/>
                      <w:sz w:val="21"/>
                      <w:szCs w:val="21"/>
                      <w:lang w:val="en-US" w:eastAsia="zh-CN"/>
                    </w:rPr>
                    <w:t>集气罩未收集粉尘</w:t>
                  </w:r>
                </w:p>
              </w:tc>
              <w:tc>
                <w:tcPr>
                  <w:tcW w:w="508" w:type="pct"/>
                  <w:tcBorders>
                    <w:top w:val="single" w:color="000000" w:sz="8" w:space="0"/>
                    <w:left w:val="single" w:color="000000" w:sz="6" w:space="0"/>
                    <w:bottom w:val="single" w:color="000000" w:sz="8" w:space="0"/>
                    <w:right w:val="single" w:color="000000" w:sz="6" w:space="0"/>
                  </w:tcBorders>
                  <w:vAlign w:val="center"/>
                </w:tcPr>
                <w:p>
                  <w:pPr>
                    <w:adjustRightInd w:val="0"/>
                    <w:snapToGrid w:val="0"/>
                    <w:jc w:val="center"/>
                    <w:rPr>
                      <w:sz w:val="21"/>
                      <w:szCs w:val="21"/>
                    </w:rPr>
                  </w:pPr>
                  <w:r>
                    <w:rPr>
                      <w:rFonts w:hint="eastAsia"/>
                      <w:sz w:val="21"/>
                      <w:szCs w:val="21"/>
                    </w:rPr>
                    <w:t>60</w:t>
                  </w:r>
                </w:p>
              </w:tc>
              <w:tc>
                <w:tcPr>
                  <w:tcW w:w="583" w:type="pct"/>
                  <w:tcBorders>
                    <w:top w:val="single" w:color="000000" w:sz="8" w:space="0"/>
                    <w:left w:val="single" w:color="000000" w:sz="6" w:space="0"/>
                    <w:bottom w:val="single" w:color="000000" w:sz="8" w:space="0"/>
                    <w:right w:val="single" w:color="000000" w:sz="6" w:space="0"/>
                  </w:tcBorders>
                  <w:vAlign w:val="center"/>
                </w:tcPr>
                <w:p>
                  <w:pPr>
                    <w:adjustRightInd w:val="0"/>
                    <w:snapToGrid w:val="0"/>
                    <w:jc w:val="center"/>
                    <w:rPr>
                      <w:sz w:val="21"/>
                      <w:szCs w:val="21"/>
                    </w:rPr>
                  </w:pPr>
                  <w:r>
                    <w:rPr>
                      <w:rFonts w:hint="eastAsia"/>
                      <w:sz w:val="21"/>
                      <w:szCs w:val="21"/>
                    </w:rPr>
                    <w:t>60</w:t>
                  </w:r>
                </w:p>
              </w:tc>
              <w:tc>
                <w:tcPr>
                  <w:tcW w:w="677" w:type="pct"/>
                  <w:tcBorders>
                    <w:top w:val="single" w:color="000000" w:sz="8" w:space="0"/>
                    <w:left w:val="single" w:color="000000" w:sz="6" w:space="0"/>
                    <w:bottom w:val="single" w:color="000000" w:sz="8" w:space="0"/>
                    <w:right w:val="single" w:color="000000" w:sz="6" w:space="0"/>
                  </w:tcBorders>
                  <w:vAlign w:val="center"/>
                </w:tcPr>
                <w:p>
                  <w:pPr>
                    <w:adjustRightInd w:val="0"/>
                    <w:snapToGrid w:val="0"/>
                    <w:jc w:val="center"/>
                    <w:rPr>
                      <w:sz w:val="21"/>
                      <w:szCs w:val="21"/>
                    </w:rPr>
                  </w:pPr>
                  <w:r>
                    <w:rPr>
                      <w:rFonts w:hint="eastAsia"/>
                      <w:sz w:val="21"/>
                      <w:szCs w:val="21"/>
                    </w:rPr>
                    <w:t>10</w:t>
                  </w:r>
                </w:p>
              </w:tc>
              <w:tc>
                <w:tcPr>
                  <w:tcW w:w="423" w:type="pct"/>
                  <w:vMerge w:val="restart"/>
                  <w:tcBorders>
                    <w:top w:val="single" w:color="000000" w:sz="8" w:space="0"/>
                    <w:left w:val="single" w:color="000000" w:sz="6" w:space="0"/>
                    <w:right w:val="single" w:color="000000" w:sz="6" w:space="0"/>
                  </w:tcBorders>
                  <w:vAlign w:val="center"/>
                </w:tcPr>
                <w:p>
                  <w:pPr>
                    <w:adjustRightInd w:val="0"/>
                    <w:snapToGrid w:val="0"/>
                    <w:jc w:val="center"/>
                    <w:rPr>
                      <w:sz w:val="21"/>
                      <w:szCs w:val="21"/>
                    </w:rPr>
                  </w:pPr>
                  <w:r>
                    <w:rPr>
                      <w:rFonts w:hint="eastAsia" w:hAnsi="宋体"/>
                      <w:sz w:val="21"/>
                      <w:szCs w:val="21"/>
                    </w:rPr>
                    <w:t>无组织</w:t>
                  </w:r>
                </w:p>
              </w:tc>
              <w:tc>
                <w:tcPr>
                  <w:tcW w:w="583" w:type="pct"/>
                  <w:vMerge w:val="restart"/>
                  <w:tcBorders>
                    <w:top w:val="single" w:color="000000" w:sz="8" w:space="0"/>
                    <w:left w:val="single" w:color="000000" w:sz="6" w:space="0"/>
                    <w:right w:val="single" w:color="000000" w:sz="6" w:space="0"/>
                  </w:tcBorders>
                  <w:vAlign w:val="center"/>
                </w:tcPr>
                <w:p>
                  <w:pPr>
                    <w:adjustRightInd w:val="0"/>
                    <w:snapToGrid w:val="0"/>
                    <w:jc w:val="center"/>
                    <w:rPr>
                      <w:sz w:val="21"/>
                      <w:szCs w:val="21"/>
                    </w:rPr>
                  </w:pPr>
                  <w:r>
                    <w:rPr>
                      <w:rFonts w:hint="eastAsia" w:hAnsi="宋体"/>
                      <w:sz w:val="21"/>
                      <w:szCs w:val="21"/>
                    </w:rPr>
                    <w:t>颗粒物</w:t>
                  </w:r>
                </w:p>
              </w:tc>
              <w:tc>
                <w:tcPr>
                  <w:tcW w:w="1684" w:type="pct"/>
                  <w:vMerge w:val="restart"/>
                  <w:tcBorders>
                    <w:top w:val="single" w:color="000000" w:sz="8" w:space="0"/>
                    <w:left w:val="single" w:color="000000" w:sz="6" w:space="0"/>
                    <w:right w:val="nil"/>
                  </w:tcBorders>
                  <w:vAlign w:val="center"/>
                </w:tcPr>
                <w:p>
                  <w:pPr>
                    <w:adjustRightInd w:val="0"/>
                    <w:snapToGrid w:val="0"/>
                    <w:jc w:val="center"/>
                    <w:rPr>
                      <w:sz w:val="21"/>
                      <w:szCs w:val="21"/>
                    </w:rPr>
                  </w:pPr>
                  <w:r>
                    <w:rPr>
                      <w:rFonts w:hint="eastAsia"/>
                      <w:color w:val="000000"/>
                      <w:sz w:val="21"/>
                      <w:szCs w:val="21"/>
                    </w:rPr>
                    <w:t>《水泥工业大气污染物排放标准》（</w:t>
                  </w:r>
                  <w:r>
                    <w:rPr>
                      <w:color w:val="000000"/>
                      <w:sz w:val="21"/>
                      <w:szCs w:val="21"/>
                    </w:rPr>
                    <w:t>DB41/1953-2020</w:t>
                  </w:r>
                  <w:r>
                    <w:rPr>
                      <w:rFonts w:hint="eastAsia"/>
                      <w:color w:val="000000"/>
                      <w:sz w:val="21"/>
                      <w:szCs w:val="21"/>
                    </w:rPr>
                    <w:t>）</w:t>
                  </w:r>
                  <w:r>
                    <w:rPr>
                      <w:rFonts w:hint="eastAsia"/>
                      <w:sz w:val="21"/>
                      <w:szCs w:val="21"/>
                    </w:rPr>
                    <w:t>表2颗粒物无组织浓度0.5</w:t>
                  </w:r>
                  <w:r>
                    <w:rPr>
                      <w:sz w:val="21"/>
                      <w:szCs w:val="21"/>
                    </w:rPr>
                    <w:t>mg/m</w:t>
                  </w:r>
                  <w:r>
                    <w:rPr>
                      <w:sz w:val="21"/>
                      <w:szCs w:val="21"/>
                      <w:vertAlign w:val="superscript"/>
                    </w:rPr>
                    <w:t>3</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9" w:type="pct"/>
                  <w:tcBorders>
                    <w:top w:val="single" w:color="000000" w:sz="8" w:space="0"/>
                    <w:left w:val="nil"/>
                    <w:bottom w:val="single" w:color="000000" w:sz="8" w:space="0"/>
                    <w:right w:val="single" w:color="000000" w:sz="6" w:space="0"/>
                  </w:tcBorders>
                  <w:vAlign w:val="center"/>
                </w:tcPr>
                <w:p>
                  <w:pPr>
                    <w:adjustRightInd w:val="0"/>
                    <w:snapToGrid w:val="0"/>
                    <w:jc w:val="center"/>
                    <w:rPr>
                      <w:rFonts w:hint="eastAsia" w:ascii="Times New Roman" w:hAnsi="宋体" w:eastAsia="宋体" w:cs="Times New Roman"/>
                      <w:color w:val="auto"/>
                      <w:kern w:val="2"/>
                      <w:sz w:val="21"/>
                      <w:szCs w:val="21"/>
                      <w:lang w:val="en-US" w:eastAsia="zh-CN" w:bidi="ar-SA"/>
                    </w:rPr>
                  </w:pPr>
                  <w:r>
                    <w:rPr>
                      <w:rFonts w:hint="eastAsia" w:hAnsi="宋体"/>
                      <w:color w:val="auto"/>
                      <w:sz w:val="21"/>
                      <w:szCs w:val="21"/>
                    </w:rPr>
                    <w:t>运输车辆扬尘</w:t>
                  </w:r>
                </w:p>
              </w:tc>
              <w:tc>
                <w:tcPr>
                  <w:tcW w:w="508" w:type="pct"/>
                  <w:tcBorders>
                    <w:top w:val="single" w:color="000000" w:sz="8" w:space="0"/>
                    <w:left w:val="single" w:color="000000" w:sz="6" w:space="0"/>
                    <w:bottom w:val="single" w:color="000000" w:sz="8" w:space="0"/>
                    <w:right w:val="single" w:color="000000" w:sz="6"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583" w:type="pct"/>
                  <w:tcBorders>
                    <w:top w:val="single" w:color="000000" w:sz="8" w:space="0"/>
                    <w:left w:val="single" w:color="000000" w:sz="6" w:space="0"/>
                    <w:bottom w:val="single" w:color="000000" w:sz="8" w:space="0"/>
                    <w:right w:val="single" w:color="000000" w:sz="6" w:space="0"/>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w:t>
                  </w:r>
                </w:p>
              </w:tc>
              <w:tc>
                <w:tcPr>
                  <w:tcW w:w="677" w:type="pct"/>
                  <w:tcBorders>
                    <w:top w:val="single" w:color="000000" w:sz="8" w:space="0"/>
                    <w:left w:val="single" w:color="000000" w:sz="6" w:space="0"/>
                    <w:bottom w:val="single" w:color="000000" w:sz="8" w:space="0"/>
                    <w:right w:val="single" w:color="000000" w:sz="6" w:space="0"/>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423" w:type="pct"/>
                  <w:vMerge w:val="continue"/>
                  <w:tcBorders>
                    <w:left w:val="single" w:color="000000" w:sz="6" w:space="0"/>
                    <w:bottom w:val="single" w:color="000000" w:sz="8" w:space="0"/>
                    <w:right w:val="single" w:color="000000" w:sz="6" w:space="0"/>
                  </w:tcBorders>
                  <w:vAlign w:val="center"/>
                </w:tcPr>
                <w:p>
                  <w:pPr>
                    <w:adjustRightInd w:val="0"/>
                    <w:snapToGrid w:val="0"/>
                    <w:jc w:val="center"/>
                    <w:rPr>
                      <w:rFonts w:hint="eastAsia" w:hAnsi="宋体"/>
                      <w:sz w:val="21"/>
                      <w:szCs w:val="21"/>
                    </w:rPr>
                  </w:pPr>
                </w:p>
              </w:tc>
              <w:tc>
                <w:tcPr>
                  <w:tcW w:w="583" w:type="pct"/>
                  <w:vMerge w:val="continue"/>
                  <w:tcBorders>
                    <w:left w:val="single" w:color="000000" w:sz="6" w:space="0"/>
                    <w:bottom w:val="single" w:color="auto" w:sz="8" w:space="0"/>
                    <w:right w:val="single" w:color="000000" w:sz="6" w:space="0"/>
                  </w:tcBorders>
                  <w:vAlign w:val="center"/>
                </w:tcPr>
                <w:p>
                  <w:pPr>
                    <w:adjustRightInd w:val="0"/>
                    <w:snapToGrid w:val="0"/>
                    <w:jc w:val="center"/>
                    <w:rPr>
                      <w:rFonts w:hint="eastAsia" w:hAnsi="宋体"/>
                      <w:sz w:val="21"/>
                      <w:szCs w:val="21"/>
                    </w:rPr>
                  </w:pPr>
                </w:p>
              </w:tc>
              <w:tc>
                <w:tcPr>
                  <w:tcW w:w="1684" w:type="pct"/>
                  <w:vMerge w:val="continue"/>
                  <w:tcBorders>
                    <w:left w:val="single" w:color="000000" w:sz="6" w:space="0"/>
                    <w:bottom w:val="single" w:color="auto" w:sz="8" w:space="0"/>
                    <w:right w:val="nil"/>
                  </w:tcBorders>
                  <w:vAlign w:val="center"/>
                </w:tcPr>
                <w:p>
                  <w:pPr>
                    <w:adjustRightInd w:val="0"/>
                    <w:snapToGrid w:val="0"/>
                    <w:jc w:val="center"/>
                    <w:rPr>
                      <w:rFonts w:hint="eastAsia"/>
                      <w:color w:val="000000"/>
                      <w:sz w:val="21"/>
                      <w:szCs w:val="21"/>
                    </w:rPr>
                  </w:pPr>
                </w:p>
              </w:tc>
            </w:tr>
          </w:tbl>
          <w:p>
            <w:pPr>
              <w:adjustRightInd w:val="0"/>
              <w:snapToGrid w:val="0"/>
              <w:spacing w:line="440" w:lineRule="exact"/>
              <w:ind w:firstLine="482" w:firstLineChars="200"/>
              <w:rPr>
                <w:b/>
                <w:sz w:val="24"/>
              </w:rPr>
            </w:pPr>
            <w:r>
              <w:rPr>
                <w:b/>
                <w:sz w:val="24"/>
              </w:rPr>
              <w:t>5</w:t>
            </w:r>
            <w:r>
              <w:rPr>
                <w:rFonts w:hint="eastAsia"/>
                <w:b/>
                <w:sz w:val="24"/>
              </w:rPr>
              <w:t>、废气产排情况汇总</w:t>
            </w:r>
          </w:p>
          <w:p>
            <w:pPr>
              <w:tabs>
                <w:tab w:val="left" w:pos="1680"/>
              </w:tabs>
              <w:adjustRightInd w:val="0"/>
              <w:snapToGrid w:val="0"/>
              <w:spacing w:line="460" w:lineRule="exact"/>
              <w:ind w:firstLine="480" w:firstLineChars="200"/>
              <w:rPr>
                <w:sz w:val="24"/>
              </w:rPr>
            </w:pPr>
            <w:r>
              <w:rPr>
                <w:rFonts w:hint="eastAsia"/>
                <w:sz w:val="24"/>
              </w:rPr>
              <w:t>（1）项目运营期废气产排情况如下：</w:t>
            </w:r>
          </w:p>
          <w:p>
            <w:pPr>
              <w:adjustRightInd w:val="0"/>
              <w:snapToGrid w:val="0"/>
              <w:spacing w:line="440" w:lineRule="exact"/>
              <w:ind w:firstLine="480" w:firstLineChars="200"/>
              <w:rPr>
                <w:rFonts w:hAnsi="黑体" w:eastAsia="黑体"/>
                <w:sz w:val="24"/>
              </w:rPr>
            </w:pPr>
            <w:r>
              <w:rPr>
                <w:rFonts w:hint="eastAsia" w:hAnsi="黑体" w:eastAsia="黑体"/>
                <w:sz w:val="24"/>
              </w:rPr>
              <w:t>表</w:t>
            </w:r>
            <w:r>
              <w:rPr>
                <w:rFonts w:hint="eastAsia" w:hAnsi="黑体" w:eastAsia="黑体"/>
                <w:sz w:val="24"/>
                <w:lang w:val="en-US" w:eastAsia="zh-CN"/>
              </w:rPr>
              <w:t>4-7</w:t>
            </w:r>
            <w:r>
              <w:rPr>
                <w:rFonts w:hint="eastAsia" w:hAnsi="黑体" w:eastAsia="黑体"/>
                <w:sz w:val="24"/>
              </w:rPr>
              <w:t xml:space="preserve">          项目运营期废气产排情况一览表</w:t>
            </w:r>
          </w:p>
          <w:tbl>
            <w:tblPr>
              <w:tblStyle w:val="24"/>
              <w:tblW w:w="4900" w:type="pct"/>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008"/>
              <w:gridCol w:w="1526"/>
              <w:gridCol w:w="999"/>
              <w:gridCol w:w="1562"/>
              <w:gridCol w:w="1338"/>
              <w:gridCol w:w="1662"/>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2" w:type="dxa"/>
                  <w:gridSpan w:val="2"/>
                  <w:tcBorders>
                    <w:top w:val="single" w:color="auto" w:sz="8" w:space="0"/>
                    <w:left w:val="nil"/>
                    <w:bottom w:val="single" w:color="auto" w:sz="8" w:space="0"/>
                    <w:right w:val="single" w:color="auto" w:sz="4" w:space="0"/>
                  </w:tcBorders>
                  <w:vAlign w:val="center"/>
                </w:tcPr>
                <w:p>
                  <w:pPr>
                    <w:jc w:val="center"/>
                    <w:rPr>
                      <w:sz w:val="21"/>
                      <w:szCs w:val="21"/>
                    </w:rPr>
                  </w:pPr>
                  <w:r>
                    <w:rPr>
                      <w:rFonts w:hint="eastAsia"/>
                      <w:sz w:val="21"/>
                      <w:szCs w:val="21"/>
                    </w:rPr>
                    <w:t>排放形式</w:t>
                  </w:r>
                </w:p>
              </w:tc>
              <w:tc>
                <w:tcPr>
                  <w:tcW w:w="1526" w:type="dxa"/>
                  <w:tcBorders>
                    <w:top w:val="single" w:color="auto" w:sz="8" w:space="0"/>
                    <w:left w:val="single" w:color="auto" w:sz="4" w:space="0"/>
                    <w:bottom w:val="single" w:color="auto" w:sz="8" w:space="0"/>
                    <w:right w:val="single" w:color="auto" w:sz="4" w:space="0"/>
                  </w:tcBorders>
                  <w:vAlign w:val="center"/>
                </w:tcPr>
                <w:p>
                  <w:pPr>
                    <w:jc w:val="center"/>
                    <w:rPr>
                      <w:sz w:val="21"/>
                      <w:szCs w:val="21"/>
                    </w:rPr>
                  </w:pPr>
                  <w:r>
                    <w:rPr>
                      <w:rFonts w:hint="eastAsia"/>
                      <w:sz w:val="21"/>
                      <w:szCs w:val="21"/>
                    </w:rPr>
                    <w:t>污染源</w:t>
                  </w:r>
                </w:p>
              </w:tc>
              <w:tc>
                <w:tcPr>
                  <w:tcW w:w="999" w:type="dxa"/>
                  <w:tcBorders>
                    <w:top w:val="single" w:color="auto" w:sz="8" w:space="0"/>
                    <w:left w:val="single" w:color="auto" w:sz="4" w:space="0"/>
                    <w:bottom w:val="single" w:color="auto" w:sz="8" w:space="0"/>
                    <w:right w:val="single" w:color="auto" w:sz="4" w:space="0"/>
                  </w:tcBorders>
                  <w:vAlign w:val="center"/>
                </w:tcPr>
                <w:p>
                  <w:pPr>
                    <w:jc w:val="center"/>
                    <w:rPr>
                      <w:rFonts w:hint="eastAsia" w:eastAsia="宋体"/>
                      <w:sz w:val="21"/>
                      <w:szCs w:val="21"/>
                      <w:lang w:eastAsia="zh-CN"/>
                    </w:rPr>
                  </w:pPr>
                  <w:r>
                    <w:rPr>
                      <w:rFonts w:hint="eastAsia"/>
                      <w:sz w:val="21"/>
                      <w:szCs w:val="21"/>
                    </w:rPr>
                    <w:t>污染</w:t>
                  </w:r>
                </w:p>
                <w:p>
                  <w:pPr>
                    <w:jc w:val="center"/>
                    <w:rPr>
                      <w:sz w:val="21"/>
                      <w:szCs w:val="21"/>
                    </w:rPr>
                  </w:pPr>
                  <w:r>
                    <w:rPr>
                      <w:rFonts w:hint="eastAsia"/>
                      <w:sz w:val="21"/>
                      <w:szCs w:val="21"/>
                    </w:rPr>
                    <w:t>因子</w:t>
                  </w:r>
                </w:p>
              </w:tc>
              <w:tc>
                <w:tcPr>
                  <w:tcW w:w="1562" w:type="dxa"/>
                  <w:tcBorders>
                    <w:top w:val="single" w:color="auto" w:sz="8" w:space="0"/>
                    <w:left w:val="single" w:color="auto" w:sz="4" w:space="0"/>
                    <w:bottom w:val="single" w:color="auto" w:sz="8" w:space="0"/>
                    <w:right w:val="single" w:color="auto" w:sz="4" w:space="0"/>
                  </w:tcBorders>
                  <w:vAlign w:val="center"/>
                </w:tcPr>
                <w:p>
                  <w:pPr>
                    <w:jc w:val="center"/>
                    <w:rPr>
                      <w:sz w:val="21"/>
                      <w:szCs w:val="21"/>
                    </w:rPr>
                  </w:pPr>
                  <w:r>
                    <w:rPr>
                      <w:rFonts w:hint="eastAsia"/>
                      <w:sz w:val="21"/>
                      <w:szCs w:val="21"/>
                    </w:rPr>
                    <w:t>产生量</w:t>
                  </w:r>
                  <w:r>
                    <w:rPr>
                      <w:sz w:val="21"/>
                      <w:szCs w:val="21"/>
                    </w:rPr>
                    <w:t>t/a</w:t>
                  </w:r>
                </w:p>
              </w:tc>
              <w:tc>
                <w:tcPr>
                  <w:tcW w:w="1338" w:type="dxa"/>
                  <w:tcBorders>
                    <w:top w:val="single" w:color="auto" w:sz="8" w:space="0"/>
                    <w:left w:val="single" w:color="auto" w:sz="4" w:space="0"/>
                    <w:bottom w:val="single" w:color="auto" w:sz="8" w:space="0"/>
                    <w:right w:val="single" w:color="auto" w:sz="4" w:space="0"/>
                  </w:tcBorders>
                  <w:vAlign w:val="center"/>
                </w:tcPr>
                <w:p>
                  <w:pPr>
                    <w:jc w:val="center"/>
                    <w:rPr>
                      <w:sz w:val="21"/>
                      <w:szCs w:val="21"/>
                    </w:rPr>
                  </w:pPr>
                  <w:r>
                    <w:rPr>
                      <w:rFonts w:hint="eastAsia"/>
                      <w:sz w:val="21"/>
                      <w:szCs w:val="21"/>
                    </w:rPr>
                    <w:t>排放量</w:t>
                  </w:r>
                  <w:r>
                    <w:rPr>
                      <w:sz w:val="21"/>
                      <w:szCs w:val="21"/>
                      <w:lang w:val="fr-FR"/>
                    </w:rPr>
                    <w:t>t/a</w:t>
                  </w:r>
                </w:p>
              </w:tc>
              <w:tc>
                <w:tcPr>
                  <w:tcW w:w="1662" w:type="dxa"/>
                  <w:tcBorders>
                    <w:top w:val="single" w:color="auto" w:sz="8" w:space="0"/>
                    <w:left w:val="single" w:color="auto" w:sz="4" w:space="0"/>
                    <w:bottom w:val="single" w:color="auto" w:sz="8" w:space="0"/>
                    <w:right w:val="nil"/>
                  </w:tcBorders>
                  <w:vAlign w:val="center"/>
                </w:tcPr>
                <w:p>
                  <w:pPr>
                    <w:jc w:val="center"/>
                    <w:rPr>
                      <w:sz w:val="21"/>
                      <w:szCs w:val="21"/>
                    </w:rPr>
                  </w:pPr>
                  <w:r>
                    <w:rPr>
                      <w:rFonts w:hint="eastAsia"/>
                      <w:sz w:val="21"/>
                      <w:szCs w:val="21"/>
                    </w:rPr>
                    <w:t>排放速率</w:t>
                  </w:r>
                  <w:r>
                    <w:rPr>
                      <w:sz w:val="21"/>
                      <w:szCs w:val="21"/>
                      <w:lang w:val="fr-FR"/>
                    </w:rPr>
                    <w:t>kg/h</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vMerge w:val="restart"/>
                  <w:tcBorders>
                    <w:top w:val="single" w:color="auto" w:sz="8" w:space="0"/>
                    <w:left w:val="nil"/>
                    <w:right w:val="single" w:color="auto" w:sz="4" w:space="0"/>
                  </w:tcBorders>
                  <w:vAlign w:val="center"/>
                </w:tcPr>
                <w:p>
                  <w:pPr>
                    <w:jc w:val="center"/>
                    <w:rPr>
                      <w:b/>
                      <w:sz w:val="21"/>
                      <w:szCs w:val="21"/>
                    </w:rPr>
                  </w:pPr>
                  <w:r>
                    <w:rPr>
                      <w:rFonts w:hint="eastAsia"/>
                      <w:sz w:val="21"/>
                      <w:szCs w:val="21"/>
                      <w:lang w:val="fr-FR"/>
                    </w:rPr>
                    <w:t>有组织排放</w:t>
                  </w:r>
                </w:p>
              </w:tc>
              <w:tc>
                <w:tcPr>
                  <w:tcW w:w="1008"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sz w:val="21"/>
                      <w:szCs w:val="21"/>
                    </w:rPr>
                  </w:pPr>
                  <w:r>
                    <w:rPr>
                      <w:sz w:val="21"/>
                      <w:szCs w:val="21"/>
                    </w:rPr>
                    <w:t>DA001</w:t>
                  </w:r>
                </w:p>
              </w:tc>
              <w:tc>
                <w:tcPr>
                  <w:tcW w:w="1526" w:type="dxa"/>
                  <w:tcBorders>
                    <w:top w:val="single" w:color="auto" w:sz="8" w:space="0"/>
                    <w:left w:val="single" w:color="auto" w:sz="4" w:space="0"/>
                    <w:bottom w:val="single" w:color="auto" w:sz="4" w:space="0"/>
                    <w:right w:val="single" w:color="auto" w:sz="4" w:space="0"/>
                  </w:tcBorders>
                  <w:vAlign w:val="center"/>
                </w:tcPr>
                <w:p>
                  <w:pPr>
                    <w:jc w:val="center"/>
                    <w:rPr>
                      <w:sz w:val="21"/>
                      <w:szCs w:val="21"/>
                    </w:rPr>
                  </w:pPr>
                  <w:r>
                    <w:rPr>
                      <w:rFonts w:hint="eastAsia" w:ascii="宋体" w:hAnsi="宋体" w:cs="宋体"/>
                      <w:color w:val="000000"/>
                      <w:sz w:val="21"/>
                      <w:szCs w:val="21"/>
                      <w:lang w:val="en-US" w:eastAsia="zh-CN"/>
                    </w:rPr>
                    <w:t>粉料</w:t>
                  </w:r>
                  <w:r>
                    <w:rPr>
                      <w:rFonts w:hint="eastAsia" w:ascii="宋体" w:hAnsi="宋体" w:cs="宋体"/>
                      <w:color w:val="000000"/>
                      <w:sz w:val="21"/>
                      <w:szCs w:val="21"/>
                    </w:rPr>
                    <w:t>筒仓呼吸</w:t>
                  </w:r>
                  <w:r>
                    <w:rPr>
                      <w:rFonts w:hint="eastAsia" w:ascii="宋体" w:hAnsi="宋体" w:cs="宋体"/>
                      <w:color w:val="000000"/>
                      <w:sz w:val="21"/>
                      <w:szCs w:val="21"/>
                      <w:lang w:val="en-US" w:eastAsia="zh-CN"/>
                    </w:rPr>
                    <w:t>废气</w:t>
                  </w:r>
                </w:p>
              </w:tc>
              <w:tc>
                <w:tcPr>
                  <w:tcW w:w="999" w:type="dxa"/>
                  <w:tcBorders>
                    <w:top w:val="single" w:color="auto" w:sz="8" w:space="0"/>
                    <w:left w:val="single" w:color="auto" w:sz="4" w:space="0"/>
                    <w:bottom w:val="single" w:color="auto" w:sz="4" w:space="0"/>
                    <w:right w:val="single" w:color="auto" w:sz="4" w:space="0"/>
                  </w:tcBorders>
                  <w:vAlign w:val="center"/>
                </w:tcPr>
                <w:p>
                  <w:pPr>
                    <w:jc w:val="center"/>
                    <w:rPr>
                      <w:sz w:val="21"/>
                      <w:szCs w:val="21"/>
                    </w:rPr>
                  </w:pPr>
                  <w:r>
                    <w:rPr>
                      <w:rFonts w:hint="eastAsia"/>
                      <w:sz w:val="21"/>
                      <w:szCs w:val="21"/>
                    </w:rPr>
                    <w:t>粉尘</w:t>
                  </w:r>
                </w:p>
              </w:tc>
              <w:tc>
                <w:tcPr>
                  <w:tcW w:w="1562"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eastAsiaTheme="minorEastAsia"/>
                      <w:sz w:val="21"/>
                      <w:szCs w:val="21"/>
                      <w:lang w:val="en-US" w:eastAsia="zh-CN"/>
                    </w:rPr>
                    <w:t>33.6</w:t>
                  </w:r>
                </w:p>
              </w:tc>
              <w:tc>
                <w:tcPr>
                  <w:tcW w:w="1338"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eastAsia"/>
                      <w:sz w:val="21"/>
                      <w:szCs w:val="21"/>
                      <w:lang w:val="en-US" w:eastAsia="zh-CN"/>
                    </w:rPr>
                    <w:t>0.168</w:t>
                  </w:r>
                </w:p>
              </w:tc>
              <w:tc>
                <w:tcPr>
                  <w:tcW w:w="1662" w:type="dxa"/>
                  <w:tcBorders>
                    <w:top w:val="single" w:color="auto" w:sz="8" w:space="0"/>
                    <w:left w:val="single" w:color="auto" w:sz="4" w:space="0"/>
                    <w:bottom w:val="single" w:color="auto" w:sz="4" w:space="0"/>
                    <w:right w:val="nil"/>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0.112</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4" w:type="dxa"/>
                  <w:vMerge w:val="continue"/>
                  <w:tcBorders>
                    <w:left w:val="nil"/>
                    <w:right w:val="single" w:color="auto" w:sz="4" w:space="0"/>
                  </w:tcBorders>
                  <w:vAlign w:val="center"/>
                </w:tcPr>
                <w:p>
                  <w:pPr>
                    <w:widowControl/>
                    <w:jc w:val="left"/>
                    <w:rPr>
                      <w:b/>
                      <w:sz w:val="21"/>
                      <w:szCs w:val="21"/>
                      <w:u w:val="single"/>
                    </w:rPr>
                  </w:pPr>
                </w:p>
              </w:tc>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DA002</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000000"/>
                      <w:sz w:val="21"/>
                      <w:szCs w:val="21"/>
                    </w:rPr>
                  </w:pPr>
                  <w:r>
                    <w:rPr>
                      <w:rFonts w:hint="eastAsia" w:ascii="宋体" w:hAnsi="宋体" w:cs="宋体"/>
                      <w:color w:val="000000"/>
                      <w:sz w:val="21"/>
                      <w:szCs w:val="21"/>
                    </w:rPr>
                    <w:t>砂石进料粉尘</w:t>
                  </w:r>
                </w:p>
              </w:tc>
              <w:tc>
                <w:tcPr>
                  <w:tcW w:w="999" w:type="dxa"/>
                  <w:tcBorders>
                    <w:top w:val="single" w:color="auto" w:sz="4" w:space="0"/>
                    <w:left w:val="single" w:color="auto" w:sz="4" w:space="0"/>
                    <w:bottom w:val="single" w:color="auto" w:sz="4" w:space="0"/>
                    <w:right w:val="single" w:color="auto" w:sz="4" w:space="0"/>
                  </w:tcBorders>
                  <w:vAlign w:val="center"/>
                </w:tcPr>
                <w:p>
                  <w:pPr>
                    <w:pStyle w:val="39"/>
                    <w:spacing w:line="240" w:lineRule="auto"/>
                    <w:ind w:firstLine="0"/>
                    <w:jc w:val="center"/>
                    <w:rPr>
                      <w:sz w:val="21"/>
                      <w:szCs w:val="21"/>
                    </w:rPr>
                  </w:pPr>
                  <w:r>
                    <w:rPr>
                      <w:rFonts w:hint="eastAsia"/>
                      <w:sz w:val="21"/>
                      <w:szCs w:val="21"/>
                    </w:rPr>
                    <w:t>粉尘</w:t>
                  </w:r>
                </w:p>
              </w:tc>
              <w:tc>
                <w:tcPr>
                  <w:tcW w:w="156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Theme="minorEastAsia"/>
                      <w:sz w:val="21"/>
                      <w:szCs w:val="21"/>
                      <w:lang w:val="en-US" w:eastAsia="zh-CN"/>
                    </w:rPr>
                  </w:pPr>
                  <w:r>
                    <w:rPr>
                      <w:rFonts w:hint="eastAsia" w:eastAsiaTheme="minorEastAsia"/>
                      <w:sz w:val="21"/>
                      <w:szCs w:val="21"/>
                      <w:lang w:val="en-US" w:eastAsia="zh-CN"/>
                    </w:rPr>
                    <w:t>10.925</w:t>
                  </w:r>
                </w:p>
              </w:tc>
              <w:tc>
                <w:tcPr>
                  <w:tcW w:w="1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Theme="minorEastAsia"/>
                      <w:sz w:val="21"/>
                      <w:szCs w:val="21"/>
                      <w:lang w:val="en-US" w:eastAsia="zh-CN"/>
                    </w:rPr>
                  </w:pPr>
                  <w:r>
                    <w:rPr>
                      <w:rFonts w:hint="eastAsia" w:eastAsiaTheme="minorEastAsia"/>
                      <w:sz w:val="21"/>
                      <w:szCs w:val="21"/>
                      <w:lang w:val="en-US" w:eastAsia="zh-CN"/>
                    </w:rPr>
                    <w:t>0.0546</w:t>
                  </w:r>
                </w:p>
              </w:tc>
              <w:tc>
                <w:tcPr>
                  <w:tcW w:w="1662" w:type="dxa"/>
                  <w:tcBorders>
                    <w:top w:val="single" w:color="auto" w:sz="4" w:space="0"/>
                    <w:left w:val="single" w:color="auto" w:sz="4" w:space="0"/>
                    <w:bottom w:val="single" w:color="auto" w:sz="4" w:space="0"/>
                    <w:right w:val="nil"/>
                  </w:tcBorders>
                  <w:vAlign w:val="center"/>
                </w:tcPr>
                <w:p>
                  <w:pPr>
                    <w:jc w:val="center"/>
                    <w:rPr>
                      <w:rFonts w:hint="default" w:eastAsia="宋体"/>
                      <w:sz w:val="21"/>
                      <w:szCs w:val="21"/>
                      <w:lang w:val="en-US" w:eastAsia="zh-CN"/>
                    </w:rPr>
                  </w:pPr>
                  <w:r>
                    <w:rPr>
                      <w:rFonts w:hint="eastAsia"/>
                      <w:sz w:val="21"/>
                      <w:szCs w:val="21"/>
                      <w:lang w:val="en-US" w:eastAsia="zh-CN"/>
                    </w:rPr>
                    <w:t>0.0455</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4" w:type="dxa"/>
                  <w:vMerge w:val="continue"/>
                  <w:tcBorders>
                    <w:left w:val="nil"/>
                    <w:bottom w:val="single" w:color="auto" w:sz="4" w:space="0"/>
                    <w:right w:val="single" w:color="auto" w:sz="4" w:space="0"/>
                  </w:tcBorders>
                  <w:vAlign w:val="center"/>
                </w:tcPr>
                <w:p>
                  <w:pPr>
                    <w:widowControl/>
                    <w:jc w:val="left"/>
                    <w:rPr>
                      <w:b/>
                      <w:sz w:val="21"/>
                      <w:szCs w:val="21"/>
                      <w:u w:val="single"/>
                    </w:rPr>
                  </w:pPr>
                </w:p>
              </w:tc>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DA00</w:t>
                  </w:r>
                  <w:r>
                    <w:rPr>
                      <w:rFonts w:hint="default" w:ascii="Times New Roman" w:hAnsi="Times New Roman" w:cs="Times New Roman"/>
                      <w:color w:val="000000"/>
                      <w:sz w:val="21"/>
                      <w:szCs w:val="21"/>
                      <w:lang w:val="en-US" w:eastAsia="zh-CN"/>
                    </w:rPr>
                    <w:t>3</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000000"/>
                      <w:sz w:val="21"/>
                      <w:szCs w:val="21"/>
                    </w:rPr>
                  </w:pPr>
                  <w:r>
                    <w:rPr>
                      <w:rFonts w:hint="eastAsia" w:ascii="宋体" w:hAnsi="宋体" w:cs="宋体"/>
                      <w:color w:val="000000"/>
                      <w:sz w:val="21"/>
                      <w:szCs w:val="21"/>
                    </w:rPr>
                    <w:t>搅拌系统粉尘</w:t>
                  </w:r>
                </w:p>
              </w:tc>
              <w:tc>
                <w:tcPr>
                  <w:tcW w:w="999" w:type="dxa"/>
                  <w:tcBorders>
                    <w:top w:val="single" w:color="auto" w:sz="4" w:space="0"/>
                    <w:left w:val="single" w:color="auto" w:sz="4" w:space="0"/>
                    <w:bottom w:val="single" w:color="auto" w:sz="4" w:space="0"/>
                    <w:right w:val="single" w:color="auto" w:sz="4" w:space="0"/>
                  </w:tcBorders>
                  <w:vAlign w:val="center"/>
                </w:tcPr>
                <w:p>
                  <w:pPr>
                    <w:pStyle w:val="39"/>
                    <w:spacing w:line="240" w:lineRule="auto"/>
                    <w:ind w:firstLine="0"/>
                    <w:jc w:val="center"/>
                    <w:rPr>
                      <w:sz w:val="21"/>
                      <w:szCs w:val="21"/>
                    </w:rPr>
                  </w:pPr>
                  <w:r>
                    <w:rPr>
                      <w:rFonts w:hint="eastAsia"/>
                      <w:sz w:val="21"/>
                      <w:szCs w:val="21"/>
                    </w:rPr>
                    <w:t>粉尘</w:t>
                  </w:r>
                </w:p>
              </w:tc>
              <w:tc>
                <w:tcPr>
                  <w:tcW w:w="156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Theme="minorEastAsia"/>
                      <w:sz w:val="21"/>
                      <w:szCs w:val="21"/>
                      <w:lang w:val="en-US" w:eastAsia="zh-CN"/>
                    </w:rPr>
                  </w:pPr>
                  <w:r>
                    <w:rPr>
                      <w:rFonts w:hint="eastAsia" w:eastAsiaTheme="minorEastAsia"/>
                      <w:sz w:val="21"/>
                      <w:szCs w:val="21"/>
                      <w:lang w:val="en-US" w:eastAsia="zh-CN"/>
                    </w:rPr>
                    <w:t>2.8</w:t>
                  </w:r>
                </w:p>
              </w:tc>
              <w:tc>
                <w:tcPr>
                  <w:tcW w:w="1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Theme="minorEastAsia"/>
                      <w:sz w:val="21"/>
                      <w:szCs w:val="21"/>
                      <w:lang w:val="en-US" w:eastAsia="zh-CN"/>
                    </w:rPr>
                  </w:pPr>
                  <w:r>
                    <w:rPr>
                      <w:rFonts w:hint="eastAsia" w:eastAsiaTheme="minorEastAsia"/>
                      <w:sz w:val="21"/>
                      <w:szCs w:val="21"/>
                      <w:lang w:val="en-US" w:eastAsia="zh-CN"/>
                    </w:rPr>
                    <w:t>0.014</w:t>
                  </w:r>
                </w:p>
              </w:tc>
              <w:tc>
                <w:tcPr>
                  <w:tcW w:w="1662" w:type="dxa"/>
                  <w:tcBorders>
                    <w:top w:val="single" w:color="auto" w:sz="4" w:space="0"/>
                    <w:left w:val="single" w:color="auto" w:sz="4" w:space="0"/>
                    <w:bottom w:val="single" w:color="auto" w:sz="4" w:space="0"/>
                    <w:right w:val="nil"/>
                  </w:tcBorders>
                  <w:vAlign w:val="center"/>
                </w:tcPr>
                <w:p>
                  <w:pPr>
                    <w:pStyle w:val="12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0.0117</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2" w:type="dxa"/>
                  <w:gridSpan w:val="2"/>
                  <w:tcBorders>
                    <w:top w:val="single" w:color="auto" w:sz="4" w:space="0"/>
                    <w:left w:val="nil"/>
                    <w:bottom w:val="single" w:color="auto" w:sz="4" w:space="0"/>
                    <w:right w:val="single" w:color="auto" w:sz="4" w:space="0"/>
                  </w:tcBorders>
                  <w:vAlign w:val="center"/>
                </w:tcPr>
                <w:p>
                  <w:pPr>
                    <w:jc w:val="center"/>
                    <w:rPr>
                      <w:sz w:val="21"/>
                      <w:szCs w:val="21"/>
                      <w:lang w:val="fr-FR"/>
                    </w:rPr>
                  </w:pPr>
                  <w:r>
                    <w:rPr>
                      <w:rFonts w:hint="eastAsia"/>
                      <w:sz w:val="21"/>
                      <w:szCs w:val="21"/>
                      <w:lang w:val="fr-FR"/>
                    </w:rPr>
                    <w:t>无组织排放</w:t>
                  </w:r>
                </w:p>
              </w:tc>
              <w:tc>
                <w:tcPr>
                  <w:tcW w:w="1526" w:type="dxa"/>
                  <w:tcBorders>
                    <w:top w:val="single" w:color="auto" w:sz="4" w:space="0"/>
                    <w:left w:val="single" w:color="auto" w:sz="4" w:space="0"/>
                    <w:bottom w:val="single" w:color="auto" w:sz="4" w:space="0"/>
                    <w:right w:val="single" w:color="auto" w:sz="4" w:space="0"/>
                  </w:tcBorders>
                  <w:vAlign w:val="center"/>
                </w:tcPr>
                <w:p>
                  <w:pPr>
                    <w:pStyle w:val="39"/>
                    <w:spacing w:line="240" w:lineRule="auto"/>
                    <w:ind w:firstLine="0"/>
                    <w:jc w:val="center"/>
                    <w:rPr>
                      <w:rFonts w:hint="default" w:eastAsiaTheme="minorEastAsia"/>
                      <w:sz w:val="21"/>
                      <w:szCs w:val="21"/>
                      <w:lang w:val="en-US" w:eastAsia="zh-CN"/>
                    </w:rPr>
                  </w:pPr>
                  <w:r>
                    <w:rPr>
                      <w:rFonts w:hint="eastAsia" w:eastAsiaTheme="minorEastAsia"/>
                      <w:sz w:val="21"/>
                      <w:szCs w:val="21"/>
                    </w:rPr>
                    <w:t>原料</w:t>
                  </w:r>
                  <w:r>
                    <w:rPr>
                      <w:rFonts w:hint="eastAsia" w:eastAsiaTheme="minorEastAsia"/>
                      <w:sz w:val="21"/>
                      <w:szCs w:val="21"/>
                      <w:lang w:val="en-US" w:eastAsia="zh-CN"/>
                    </w:rPr>
                    <w:t>储存扬尘</w:t>
                  </w:r>
                  <w:r>
                    <w:rPr>
                      <w:rFonts w:hint="eastAsia" w:eastAsiaTheme="minorEastAsia"/>
                      <w:sz w:val="21"/>
                      <w:szCs w:val="21"/>
                      <w:lang w:eastAsia="zh-CN"/>
                    </w:rPr>
                    <w:t>、</w:t>
                  </w:r>
                  <w:r>
                    <w:rPr>
                      <w:rFonts w:hint="eastAsia" w:eastAsiaTheme="minorEastAsia"/>
                      <w:sz w:val="21"/>
                      <w:szCs w:val="21"/>
                      <w:lang w:val="en-US" w:eastAsia="zh-CN"/>
                    </w:rPr>
                    <w:t>运输车辆及集气罩未收集粉尘</w:t>
                  </w:r>
                </w:p>
              </w:tc>
              <w:tc>
                <w:tcPr>
                  <w:tcW w:w="999" w:type="dxa"/>
                  <w:tcBorders>
                    <w:top w:val="single" w:color="auto" w:sz="4" w:space="0"/>
                    <w:left w:val="single" w:color="auto" w:sz="4" w:space="0"/>
                    <w:bottom w:val="single" w:color="auto" w:sz="4" w:space="0"/>
                    <w:right w:val="single" w:color="auto" w:sz="4" w:space="0"/>
                  </w:tcBorders>
                  <w:vAlign w:val="center"/>
                </w:tcPr>
                <w:p>
                  <w:pPr>
                    <w:pStyle w:val="39"/>
                    <w:spacing w:line="240" w:lineRule="auto"/>
                    <w:ind w:firstLine="0"/>
                    <w:jc w:val="center"/>
                    <w:rPr>
                      <w:sz w:val="21"/>
                      <w:szCs w:val="21"/>
                    </w:rPr>
                  </w:pPr>
                  <w:r>
                    <w:rPr>
                      <w:rFonts w:hint="eastAsia"/>
                      <w:sz w:val="21"/>
                      <w:szCs w:val="21"/>
                    </w:rPr>
                    <w:t>粉尘</w:t>
                  </w:r>
                </w:p>
              </w:tc>
              <w:tc>
                <w:tcPr>
                  <w:tcW w:w="1562"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sz w:val="21"/>
                      <w:szCs w:val="21"/>
                      <w:lang w:val="en-US" w:eastAsia="zh-CN"/>
                    </w:rPr>
                  </w:pPr>
                  <w:r>
                    <w:rPr>
                      <w:rFonts w:hint="eastAsia"/>
                      <w:sz w:val="21"/>
                      <w:szCs w:val="21"/>
                      <w:lang w:val="en-US" w:eastAsia="zh-CN"/>
                    </w:rPr>
                    <w:t>2.173</w:t>
                  </w:r>
                </w:p>
              </w:tc>
              <w:tc>
                <w:tcPr>
                  <w:tcW w:w="13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0.1337</w:t>
                  </w:r>
                </w:p>
              </w:tc>
              <w:tc>
                <w:tcPr>
                  <w:tcW w:w="1662" w:type="dxa"/>
                  <w:tcBorders>
                    <w:top w:val="single" w:color="auto" w:sz="4" w:space="0"/>
                    <w:left w:val="single" w:color="auto" w:sz="4" w:space="0"/>
                    <w:bottom w:val="single" w:color="auto" w:sz="4" w:space="0"/>
                    <w:right w:val="nil"/>
                  </w:tcBorders>
                  <w:vAlign w:val="center"/>
                </w:tcPr>
                <w:p>
                  <w:pPr>
                    <w:jc w:val="center"/>
                    <w:rPr>
                      <w:rFonts w:hint="default" w:eastAsia="宋体"/>
                      <w:sz w:val="21"/>
                      <w:szCs w:val="21"/>
                      <w:lang w:val="en-US" w:eastAsia="zh-CN"/>
                    </w:rPr>
                  </w:pPr>
                  <w:r>
                    <w:rPr>
                      <w:rFonts w:hint="eastAsia"/>
                      <w:sz w:val="21"/>
                      <w:szCs w:val="21"/>
                      <w:lang w:val="en-US" w:eastAsia="zh-CN"/>
                    </w:rPr>
                    <w:t>0.1114</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2" w:type="dxa"/>
                  <w:gridSpan w:val="2"/>
                  <w:tcBorders>
                    <w:top w:val="single" w:color="auto" w:sz="4" w:space="0"/>
                    <w:left w:val="nil"/>
                    <w:bottom w:val="single" w:color="auto" w:sz="8" w:space="0"/>
                    <w:right w:val="single" w:color="auto" w:sz="4" w:space="0"/>
                  </w:tcBorders>
                  <w:vAlign w:val="center"/>
                </w:tcPr>
                <w:p>
                  <w:pPr>
                    <w:jc w:val="center"/>
                    <w:rPr>
                      <w:sz w:val="21"/>
                      <w:szCs w:val="21"/>
                      <w:lang w:val="fr-FR"/>
                    </w:rPr>
                  </w:pPr>
                  <w:r>
                    <w:rPr>
                      <w:rFonts w:hint="eastAsia"/>
                      <w:sz w:val="21"/>
                      <w:szCs w:val="21"/>
                      <w:lang w:val="fr-FR"/>
                    </w:rPr>
                    <w:t>全厂总计</w:t>
                  </w:r>
                </w:p>
              </w:tc>
              <w:tc>
                <w:tcPr>
                  <w:tcW w:w="1526" w:type="dxa"/>
                  <w:tcBorders>
                    <w:top w:val="single" w:color="auto" w:sz="4" w:space="0"/>
                    <w:left w:val="single" w:color="auto" w:sz="4" w:space="0"/>
                    <w:bottom w:val="single" w:color="auto" w:sz="8" w:space="0"/>
                    <w:right w:val="single" w:color="auto" w:sz="4" w:space="0"/>
                  </w:tcBorders>
                  <w:vAlign w:val="center"/>
                </w:tcPr>
                <w:p>
                  <w:pPr>
                    <w:pStyle w:val="39"/>
                    <w:spacing w:line="240" w:lineRule="auto"/>
                    <w:ind w:firstLine="0"/>
                    <w:jc w:val="center"/>
                    <w:rPr>
                      <w:rFonts w:eastAsiaTheme="minorEastAsia"/>
                      <w:sz w:val="21"/>
                      <w:szCs w:val="21"/>
                    </w:rPr>
                  </w:pPr>
                  <w:r>
                    <w:rPr>
                      <w:rFonts w:hint="eastAsia" w:eastAsiaTheme="minorEastAsia"/>
                      <w:sz w:val="21"/>
                      <w:szCs w:val="21"/>
                    </w:rPr>
                    <w:t>全厂</w:t>
                  </w:r>
                </w:p>
              </w:tc>
              <w:tc>
                <w:tcPr>
                  <w:tcW w:w="999" w:type="dxa"/>
                  <w:tcBorders>
                    <w:top w:val="single" w:color="auto" w:sz="4" w:space="0"/>
                    <w:left w:val="single" w:color="auto" w:sz="4" w:space="0"/>
                    <w:bottom w:val="single" w:color="auto" w:sz="8" w:space="0"/>
                    <w:right w:val="single" w:color="auto" w:sz="4" w:space="0"/>
                  </w:tcBorders>
                  <w:vAlign w:val="center"/>
                </w:tcPr>
                <w:p>
                  <w:pPr>
                    <w:pStyle w:val="39"/>
                    <w:spacing w:line="240" w:lineRule="auto"/>
                    <w:ind w:firstLine="0"/>
                    <w:jc w:val="center"/>
                    <w:rPr>
                      <w:sz w:val="21"/>
                      <w:szCs w:val="21"/>
                    </w:rPr>
                  </w:pPr>
                  <w:r>
                    <w:rPr>
                      <w:rFonts w:hint="eastAsia"/>
                      <w:sz w:val="21"/>
                      <w:szCs w:val="21"/>
                    </w:rPr>
                    <w:t>粉尘</w:t>
                  </w:r>
                </w:p>
              </w:tc>
              <w:tc>
                <w:tcPr>
                  <w:tcW w:w="1562" w:type="dxa"/>
                  <w:tcBorders>
                    <w:top w:val="single" w:color="auto" w:sz="4" w:space="0"/>
                    <w:left w:val="single" w:color="auto" w:sz="4" w:space="0"/>
                    <w:bottom w:val="single" w:color="auto" w:sz="8" w:space="0"/>
                    <w:right w:val="single" w:color="auto" w:sz="4" w:space="0"/>
                  </w:tcBorders>
                  <w:vAlign w:val="center"/>
                </w:tcPr>
                <w:p>
                  <w:pPr>
                    <w:jc w:val="center"/>
                    <w:rPr>
                      <w:rFonts w:hint="default" w:eastAsia="宋体"/>
                      <w:sz w:val="21"/>
                      <w:szCs w:val="21"/>
                      <w:lang w:val="en-US" w:eastAsia="zh-CN"/>
                    </w:rPr>
                  </w:pPr>
                  <w:r>
                    <w:rPr>
                      <w:rFonts w:hint="eastAsia"/>
                      <w:sz w:val="21"/>
                      <w:szCs w:val="21"/>
                      <w:lang w:val="en-US" w:eastAsia="zh-CN"/>
                    </w:rPr>
                    <w:t>49.498</w:t>
                  </w:r>
                </w:p>
              </w:tc>
              <w:tc>
                <w:tcPr>
                  <w:tcW w:w="1338" w:type="dxa"/>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0.3703</w:t>
                  </w:r>
                </w:p>
              </w:tc>
              <w:tc>
                <w:tcPr>
                  <w:tcW w:w="1662" w:type="dxa"/>
                  <w:tcBorders>
                    <w:top w:val="single" w:color="auto" w:sz="4" w:space="0"/>
                    <w:left w:val="single" w:color="auto" w:sz="4" w:space="0"/>
                    <w:bottom w:val="single" w:color="auto" w:sz="8" w:space="0"/>
                    <w:right w:val="nil"/>
                  </w:tcBorders>
                  <w:vAlign w:val="center"/>
                </w:tcPr>
                <w:p>
                  <w:pPr>
                    <w:jc w:val="center"/>
                    <w:rPr>
                      <w:sz w:val="21"/>
                      <w:szCs w:val="21"/>
                      <w:lang w:val="fr-FR"/>
                    </w:rPr>
                  </w:pPr>
                  <w:r>
                    <w:rPr>
                      <w:rFonts w:hint="eastAsia"/>
                      <w:sz w:val="21"/>
                      <w:szCs w:val="21"/>
                      <w:lang w:val="fr-FR"/>
                    </w:rPr>
                    <w:t>/</w:t>
                  </w:r>
                </w:p>
              </w:tc>
            </w:tr>
          </w:tbl>
          <w:p>
            <w:pPr>
              <w:tabs>
                <w:tab w:val="left" w:pos="3620"/>
              </w:tabs>
              <w:adjustRightInd w:val="0"/>
              <w:snapToGrid w:val="0"/>
              <w:spacing w:line="440" w:lineRule="exact"/>
              <w:ind w:firstLine="480" w:firstLineChars="200"/>
              <w:rPr>
                <w:sz w:val="24"/>
              </w:rPr>
            </w:pPr>
            <w:r>
              <w:rPr>
                <w:rFonts w:hint="eastAsia" w:hAnsi="宋体"/>
                <w:sz w:val="24"/>
              </w:rPr>
              <w:t>（2）污染物达标分析</w:t>
            </w:r>
          </w:p>
          <w:p>
            <w:pPr>
              <w:tabs>
                <w:tab w:val="left" w:pos="3620"/>
              </w:tabs>
              <w:adjustRightInd w:val="0"/>
              <w:snapToGrid w:val="0"/>
              <w:spacing w:line="440" w:lineRule="exact"/>
              <w:ind w:firstLine="480" w:firstLineChars="200"/>
              <w:rPr>
                <w:rFonts w:ascii="宋体" w:hAnsi="宋体"/>
                <w:sz w:val="24"/>
              </w:rPr>
            </w:pPr>
            <w:r>
              <w:rPr>
                <w:rFonts w:hint="eastAsia" w:ascii="宋体" w:hAnsi="宋体"/>
                <w:sz w:val="24"/>
              </w:rPr>
              <w:t>①有组织达标分析</w:t>
            </w:r>
          </w:p>
          <w:p>
            <w:pPr>
              <w:tabs>
                <w:tab w:val="left" w:pos="3620"/>
              </w:tabs>
              <w:adjustRightInd w:val="0"/>
              <w:snapToGrid w:val="0"/>
              <w:spacing w:line="440" w:lineRule="exact"/>
              <w:ind w:firstLine="480" w:firstLineChars="200"/>
              <w:rPr>
                <w:rFonts w:eastAsia="黑体"/>
                <w:sz w:val="24"/>
              </w:rPr>
            </w:pPr>
            <w:r>
              <w:rPr>
                <w:rFonts w:hint="eastAsia" w:hAnsi="黑体" w:eastAsia="黑体"/>
                <w:sz w:val="24"/>
              </w:rPr>
              <w:t>表</w:t>
            </w:r>
            <w:r>
              <w:rPr>
                <w:rFonts w:hint="eastAsia" w:eastAsia="黑体"/>
                <w:sz w:val="24"/>
                <w:lang w:val="en-US" w:eastAsia="zh-CN"/>
              </w:rPr>
              <w:t>4-8</w:t>
            </w:r>
            <w:r>
              <w:rPr>
                <w:rFonts w:hint="eastAsia" w:eastAsia="黑体"/>
                <w:sz w:val="24"/>
              </w:rPr>
              <w:t xml:space="preserve">        </w:t>
            </w:r>
            <w:r>
              <w:rPr>
                <w:rFonts w:hint="eastAsia" w:hAnsi="黑体" w:eastAsia="黑体"/>
                <w:sz w:val="24"/>
              </w:rPr>
              <w:t>大气污染源达标排放情况一览表</w:t>
            </w:r>
          </w:p>
          <w:tbl>
            <w:tblPr>
              <w:tblStyle w:val="24"/>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46"/>
              <w:gridCol w:w="748"/>
              <w:gridCol w:w="1480"/>
              <w:gridCol w:w="1080"/>
              <w:gridCol w:w="1079"/>
              <w:gridCol w:w="771"/>
              <w:gridCol w:w="1234"/>
              <w:gridCol w:w="1079"/>
              <w:gridCol w:w="639"/>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46" w:type="dxa"/>
                  <w:vMerge w:val="restart"/>
                  <w:tcBorders>
                    <w:top w:val="single" w:color="auto" w:sz="8" w:space="0"/>
                    <w:left w:val="nil"/>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排放源</w:t>
                  </w:r>
                </w:p>
              </w:tc>
              <w:tc>
                <w:tcPr>
                  <w:tcW w:w="748" w:type="dxa"/>
                  <w:vMerge w:val="restart"/>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排气量</w:t>
                  </w:r>
                  <w:r>
                    <w:rPr>
                      <w:b/>
                      <w:sz w:val="21"/>
                      <w:szCs w:val="21"/>
                    </w:rPr>
                    <w:t>Nm</w:t>
                  </w:r>
                  <w:r>
                    <w:rPr>
                      <w:b/>
                      <w:sz w:val="21"/>
                      <w:szCs w:val="21"/>
                      <w:vertAlign w:val="superscript"/>
                    </w:rPr>
                    <w:t>3</w:t>
                  </w:r>
                  <w:r>
                    <w:rPr>
                      <w:b/>
                      <w:sz w:val="21"/>
                      <w:szCs w:val="21"/>
                    </w:rPr>
                    <w:t>/h</w:t>
                  </w:r>
                </w:p>
              </w:tc>
              <w:tc>
                <w:tcPr>
                  <w:tcW w:w="3639" w:type="dxa"/>
                  <w:gridSpan w:val="3"/>
                  <w:vMerge w:val="restart"/>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污染物排放情况</w:t>
                  </w:r>
                </w:p>
              </w:tc>
              <w:tc>
                <w:tcPr>
                  <w:tcW w:w="771" w:type="dxa"/>
                  <w:vMerge w:val="restart"/>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排气筒高度</w:t>
                  </w:r>
                  <w:r>
                    <w:rPr>
                      <w:b/>
                      <w:sz w:val="21"/>
                      <w:szCs w:val="21"/>
                    </w:rPr>
                    <w:t>m</w:t>
                  </w:r>
                </w:p>
              </w:tc>
              <w:tc>
                <w:tcPr>
                  <w:tcW w:w="2313" w:type="dxa"/>
                  <w:gridSpan w:val="2"/>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标准排放</w:t>
                  </w:r>
                </w:p>
              </w:tc>
              <w:tc>
                <w:tcPr>
                  <w:tcW w:w="639" w:type="dxa"/>
                  <w:vMerge w:val="restart"/>
                  <w:tcBorders>
                    <w:top w:val="single" w:color="auto" w:sz="8" w:space="0"/>
                    <w:left w:val="single" w:color="auto" w:sz="6" w:space="0"/>
                    <w:bottom w:val="single" w:color="auto" w:sz="6" w:space="0"/>
                    <w:right w:val="nil"/>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是否达标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46" w:type="dxa"/>
                  <w:vMerge w:val="continue"/>
                  <w:tcBorders>
                    <w:top w:val="single" w:color="auto" w:sz="8" w:space="0"/>
                    <w:left w:val="nil"/>
                    <w:bottom w:val="single" w:color="auto" w:sz="6" w:space="0"/>
                    <w:right w:val="single" w:color="auto" w:sz="6" w:space="0"/>
                  </w:tcBorders>
                  <w:shd w:val="clear" w:color="auto" w:fill="auto"/>
                  <w:vAlign w:val="center"/>
                </w:tcPr>
                <w:p>
                  <w:pPr>
                    <w:widowControl/>
                    <w:jc w:val="left"/>
                    <w:rPr>
                      <w:b/>
                      <w:sz w:val="21"/>
                      <w:szCs w:val="21"/>
                    </w:rPr>
                  </w:pPr>
                </w:p>
              </w:tc>
              <w:tc>
                <w:tcPr>
                  <w:tcW w:w="748" w:type="dxa"/>
                  <w:vMerge w:val="continue"/>
                  <w:tcBorders>
                    <w:top w:val="single" w:color="auto" w:sz="8" w:space="0"/>
                    <w:left w:val="single" w:color="auto" w:sz="6" w:space="0"/>
                    <w:bottom w:val="single" w:color="auto" w:sz="6" w:space="0"/>
                    <w:right w:val="single" w:color="auto" w:sz="6" w:space="0"/>
                  </w:tcBorders>
                  <w:shd w:val="clear" w:color="auto" w:fill="auto"/>
                  <w:vAlign w:val="center"/>
                </w:tcPr>
                <w:p>
                  <w:pPr>
                    <w:widowControl/>
                    <w:jc w:val="left"/>
                    <w:rPr>
                      <w:b/>
                      <w:sz w:val="21"/>
                      <w:szCs w:val="21"/>
                    </w:rPr>
                  </w:pPr>
                </w:p>
              </w:tc>
              <w:tc>
                <w:tcPr>
                  <w:tcW w:w="3639" w:type="dxa"/>
                  <w:gridSpan w:val="3"/>
                  <w:vMerge w:val="continue"/>
                  <w:tcBorders>
                    <w:top w:val="single" w:color="auto" w:sz="8" w:space="0"/>
                    <w:left w:val="single" w:color="auto" w:sz="6" w:space="0"/>
                    <w:bottom w:val="single" w:color="auto" w:sz="6" w:space="0"/>
                    <w:right w:val="single" w:color="auto" w:sz="6" w:space="0"/>
                  </w:tcBorders>
                  <w:shd w:val="clear" w:color="auto" w:fill="auto"/>
                  <w:vAlign w:val="center"/>
                </w:tcPr>
                <w:p>
                  <w:pPr>
                    <w:widowControl/>
                    <w:jc w:val="left"/>
                    <w:rPr>
                      <w:b/>
                      <w:sz w:val="21"/>
                      <w:szCs w:val="21"/>
                    </w:rPr>
                  </w:pPr>
                </w:p>
              </w:tc>
              <w:tc>
                <w:tcPr>
                  <w:tcW w:w="771" w:type="dxa"/>
                  <w:vMerge w:val="continue"/>
                  <w:tcBorders>
                    <w:top w:val="single" w:color="auto" w:sz="8" w:space="0"/>
                    <w:left w:val="single" w:color="auto" w:sz="6" w:space="0"/>
                    <w:bottom w:val="single" w:color="auto" w:sz="6" w:space="0"/>
                    <w:right w:val="single" w:color="auto" w:sz="6" w:space="0"/>
                  </w:tcBorders>
                  <w:shd w:val="clear" w:color="auto" w:fill="auto"/>
                  <w:vAlign w:val="center"/>
                </w:tcPr>
                <w:p>
                  <w:pPr>
                    <w:widowControl/>
                    <w:jc w:val="left"/>
                    <w:rPr>
                      <w:b/>
                      <w:sz w:val="21"/>
                      <w:szCs w:val="21"/>
                    </w:rPr>
                  </w:pPr>
                </w:p>
              </w:tc>
              <w:tc>
                <w:tcPr>
                  <w:tcW w:w="1234"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bCs/>
                      <w:sz w:val="21"/>
                      <w:szCs w:val="21"/>
                    </w:rPr>
                    <w:t>最高允许排放速率</w:t>
                  </w:r>
                  <w:r>
                    <w:rPr>
                      <w:b/>
                      <w:sz w:val="21"/>
                      <w:szCs w:val="21"/>
                    </w:rPr>
                    <w:t>kg/h</w:t>
                  </w:r>
                </w:p>
              </w:tc>
              <w:tc>
                <w:tcPr>
                  <w:tcW w:w="1079"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排放浓度限值</w:t>
                  </w:r>
                  <w:r>
                    <w:rPr>
                      <w:b/>
                      <w:sz w:val="21"/>
                      <w:szCs w:val="21"/>
                    </w:rPr>
                    <w:t>mg/m</w:t>
                  </w:r>
                  <w:r>
                    <w:rPr>
                      <w:b/>
                      <w:sz w:val="21"/>
                      <w:szCs w:val="21"/>
                      <w:vertAlign w:val="superscript"/>
                    </w:rPr>
                    <w:t>3</w:t>
                  </w:r>
                </w:p>
              </w:tc>
              <w:tc>
                <w:tcPr>
                  <w:tcW w:w="639" w:type="dxa"/>
                  <w:vMerge w:val="continue"/>
                  <w:tcBorders>
                    <w:top w:val="single" w:color="auto" w:sz="8" w:space="0"/>
                    <w:left w:val="single" w:color="auto" w:sz="6" w:space="0"/>
                    <w:bottom w:val="single" w:color="auto" w:sz="6" w:space="0"/>
                    <w:right w:val="nil"/>
                  </w:tcBorders>
                  <w:shd w:val="clear" w:color="auto" w:fill="auto"/>
                  <w:vAlign w:val="center"/>
                </w:tcPr>
                <w:p>
                  <w:pPr>
                    <w:widowControl/>
                    <w:jc w:val="left"/>
                    <w:rPr>
                      <w:b/>
                      <w:sz w:val="21"/>
                      <w:szCs w:val="21"/>
                    </w:rPr>
                  </w:pP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46" w:type="dxa"/>
                  <w:vMerge w:val="continue"/>
                  <w:tcBorders>
                    <w:top w:val="single" w:color="auto" w:sz="8" w:space="0"/>
                    <w:left w:val="nil"/>
                    <w:bottom w:val="single" w:color="auto" w:sz="6" w:space="0"/>
                    <w:right w:val="single" w:color="auto" w:sz="6" w:space="0"/>
                  </w:tcBorders>
                  <w:shd w:val="clear" w:color="auto" w:fill="auto"/>
                  <w:vAlign w:val="center"/>
                </w:tcPr>
                <w:p>
                  <w:pPr>
                    <w:widowControl/>
                    <w:jc w:val="left"/>
                    <w:rPr>
                      <w:b/>
                      <w:sz w:val="21"/>
                      <w:szCs w:val="21"/>
                    </w:rPr>
                  </w:pPr>
                </w:p>
              </w:tc>
              <w:tc>
                <w:tcPr>
                  <w:tcW w:w="748" w:type="dxa"/>
                  <w:vMerge w:val="continue"/>
                  <w:tcBorders>
                    <w:top w:val="single" w:color="auto" w:sz="8" w:space="0"/>
                    <w:left w:val="single" w:color="auto" w:sz="6" w:space="0"/>
                    <w:bottom w:val="single" w:color="auto" w:sz="6" w:space="0"/>
                    <w:right w:val="single" w:color="auto" w:sz="6" w:space="0"/>
                  </w:tcBorders>
                  <w:shd w:val="clear" w:color="auto" w:fill="auto"/>
                  <w:vAlign w:val="center"/>
                </w:tcPr>
                <w:p>
                  <w:pPr>
                    <w:widowControl/>
                    <w:jc w:val="left"/>
                    <w:rPr>
                      <w:b/>
                      <w:sz w:val="21"/>
                      <w:szCs w:val="21"/>
                    </w:rPr>
                  </w:pPr>
                </w:p>
              </w:tc>
              <w:tc>
                <w:tcPr>
                  <w:tcW w:w="1480"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污染物名称</w:t>
                  </w:r>
                </w:p>
              </w:tc>
              <w:tc>
                <w:tcPr>
                  <w:tcW w:w="1080"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排放速率</w:t>
                  </w:r>
                  <w:r>
                    <w:rPr>
                      <w:b/>
                      <w:sz w:val="21"/>
                      <w:szCs w:val="21"/>
                    </w:rPr>
                    <w:t>kg/h</w:t>
                  </w:r>
                </w:p>
              </w:tc>
              <w:tc>
                <w:tcPr>
                  <w:tcW w:w="1079"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排放浓度</w:t>
                  </w:r>
                </w:p>
                <w:p>
                  <w:pPr>
                    <w:tabs>
                      <w:tab w:val="left" w:pos="3620"/>
                    </w:tabs>
                    <w:adjustRightInd w:val="0"/>
                    <w:snapToGrid w:val="0"/>
                    <w:jc w:val="center"/>
                    <w:rPr>
                      <w:b/>
                      <w:sz w:val="21"/>
                      <w:szCs w:val="21"/>
                    </w:rPr>
                  </w:pPr>
                  <w:r>
                    <w:rPr>
                      <w:b/>
                      <w:sz w:val="21"/>
                      <w:szCs w:val="21"/>
                    </w:rPr>
                    <w:t>mg/m</w:t>
                  </w:r>
                  <w:r>
                    <w:rPr>
                      <w:b/>
                      <w:sz w:val="21"/>
                      <w:szCs w:val="21"/>
                      <w:vertAlign w:val="superscript"/>
                    </w:rPr>
                    <w:t>3</w:t>
                  </w:r>
                </w:p>
              </w:tc>
              <w:tc>
                <w:tcPr>
                  <w:tcW w:w="771" w:type="dxa"/>
                  <w:vMerge w:val="continue"/>
                  <w:tcBorders>
                    <w:top w:val="single" w:color="auto" w:sz="8" w:space="0"/>
                    <w:left w:val="single" w:color="auto" w:sz="6" w:space="0"/>
                    <w:bottom w:val="single" w:color="auto" w:sz="6" w:space="0"/>
                    <w:right w:val="single" w:color="auto" w:sz="6" w:space="0"/>
                  </w:tcBorders>
                  <w:shd w:val="clear" w:color="auto" w:fill="auto"/>
                  <w:vAlign w:val="center"/>
                </w:tcPr>
                <w:p>
                  <w:pPr>
                    <w:widowControl/>
                    <w:jc w:val="left"/>
                    <w:rPr>
                      <w:b/>
                      <w:sz w:val="21"/>
                      <w:szCs w:val="21"/>
                    </w:rPr>
                  </w:pPr>
                </w:p>
              </w:tc>
              <w:tc>
                <w:tcPr>
                  <w:tcW w:w="1234"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widowControl/>
                    <w:jc w:val="left"/>
                    <w:rPr>
                      <w:b/>
                      <w:sz w:val="21"/>
                      <w:szCs w:val="21"/>
                    </w:rPr>
                  </w:pPr>
                </w:p>
              </w:tc>
              <w:tc>
                <w:tcPr>
                  <w:tcW w:w="1079"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widowControl/>
                    <w:jc w:val="left"/>
                    <w:rPr>
                      <w:b/>
                      <w:sz w:val="21"/>
                      <w:szCs w:val="21"/>
                    </w:rPr>
                  </w:pPr>
                </w:p>
              </w:tc>
              <w:tc>
                <w:tcPr>
                  <w:tcW w:w="639" w:type="dxa"/>
                  <w:vMerge w:val="continue"/>
                  <w:tcBorders>
                    <w:top w:val="single" w:color="auto" w:sz="8" w:space="0"/>
                    <w:left w:val="single" w:color="auto" w:sz="6" w:space="0"/>
                    <w:bottom w:val="single" w:color="auto" w:sz="6" w:space="0"/>
                    <w:right w:val="nil"/>
                  </w:tcBorders>
                  <w:shd w:val="clear" w:color="auto" w:fill="auto"/>
                  <w:vAlign w:val="center"/>
                </w:tcPr>
                <w:p>
                  <w:pPr>
                    <w:widowControl/>
                    <w:jc w:val="left"/>
                    <w:rPr>
                      <w:b/>
                      <w:sz w:val="21"/>
                      <w:szCs w:val="21"/>
                    </w:rPr>
                  </w:pP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46" w:type="dxa"/>
                  <w:tcBorders>
                    <w:top w:val="single" w:color="auto" w:sz="8" w:space="0"/>
                    <w:left w:val="nil"/>
                    <w:bottom w:val="single" w:color="auto" w:sz="6" w:space="0"/>
                    <w:right w:val="single" w:color="auto" w:sz="6" w:space="0"/>
                  </w:tcBorders>
                  <w:shd w:val="clear" w:color="auto" w:fill="auto"/>
                  <w:vAlign w:val="center"/>
                </w:tcPr>
                <w:p>
                  <w:pPr>
                    <w:adjustRightInd w:val="0"/>
                    <w:snapToGrid w:val="0"/>
                    <w:jc w:val="center"/>
                    <w:rPr>
                      <w:sz w:val="21"/>
                      <w:szCs w:val="21"/>
                    </w:rPr>
                  </w:pPr>
                  <w:r>
                    <w:rPr>
                      <w:sz w:val="21"/>
                      <w:szCs w:val="21"/>
                    </w:rPr>
                    <w:t>DA001</w:t>
                  </w:r>
                </w:p>
              </w:tc>
              <w:tc>
                <w:tcPr>
                  <w:tcW w:w="748" w:type="dxa"/>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12000</w:t>
                  </w:r>
                </w:p>
              </w:tc>
              <w:tc>
                <w:tcPr>
                  <w:tcW w:w="1480" w:type="dxa"/>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颗粒物</w:t>
                  </w:r>
                </w:p>
              </w:tc>
              <w:tc>
                <w:tcPr>
                  <w:tcW w:w="1080" w:type="dxa"/>
                  <w:tcBorders>
                    <w:top w:val="single" w:color="auto" w:sz="8" w:space="0"/>
                    <w:left w:val="single" w:color="auto" w:sz="6" w:space="0"/>
                    <w:bottom w:val="single" w:color="auto" w:sz="6" w:space="0"/>
                    <w:right w:val="single" w:color="auto" w:sz="6" w:space="0"/>
                  </w:tcBorders>
                  <w:shd w:val="clear" w:color="auto" w:fill="auto"/>
                  <w:vAlign w:val="center"/>
                </w:tcPr>
                <w:p>
                  <w:pPr>
                    <w:adjustRightInd w:val="0"/>
                    <w:snapToGrid w:val="0"/>
                    <w:jc w:val="center"/>
                    <w:rPr>
                      <w:rFonts w:hint="default"/>
                      <w:sz w:val="21"/>
                      <w:szCs w:val="21"/>
                      <w:lang w:val="en-US"/>
                    </w:rPr>
                  </w:pPr>
                  <w:r>
                    <w:rPr>
                      <w:rFonts w:hint="eastAsia"/>
                      <w:sz w:val="21"/>
                      <w:szCs w:val="21"/>
                      <w:lang w:val="en-US" w:eastAsia="zh-CN"/>
                    </w:rPr>
                    <w:t>0.112</w:t>
                  </w:r>
                </w:p>
              </w:tc>
              <w:tc>
                <w:tcPr>
                  <w:tcW w:w="1079" w:type="dxa"/>
                  <w:tcBorders>
                    <w:top w:val="single" w:color="auto" w:sz="8" w:space="0"/>
                    <w:left w:val="single" w:color="auto" w:sz="6" w:space="0"/>
                    <w:bottom w:val="single" w:color="auto" w:sz="6" w:space="0"/>
                    <w:right w:val="single" w:color="auto" w:sz="6" w:space="0"/>
                  </w:tcBorders>
                  <w:shd w:val="clear" w:color="auto" w:fill="auto"/>
                  <w:vAlign w:val="center"/>
                </w:tcPr>
                <w:p>
                  <w:pPr>
                    <w:pStyle w:val="12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9.3</w:t>
                  </w:r>
                </w:p>
              </w:tc>
              <w:tc>
                <w:tcPr>
                  <w:tcW w:w="771" w:type="dxa"/>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15</w:t>
                  </w:r>
                </w:p>
              </w:tc>
              <w:tc>
                <w:tcPr>
                  <w:tcW w:w="1234" w:type="dxa"/>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w:t>
                  </w:r>
                </w:p>
              </w:tc>
              <w:tc>
                <w:tcPr>
                  <w:tcW w:w="1079" w:type="dxa"/>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10</w:t>
                  </w:r>
                </w:p>
              </w:tc>
              <w:tc>
                <w:tcPr>
                  <w:tcW w:w="639" w:type="dxa"/>
                  <w:tcBorders>
                    <w:top w:val="single" w:color="auto" w:sz="8" w:space="0"/>
                    <w:left w:val="single" w:color="auto" w:sz="6" w:space="0"/>
                    <w:bottom w:val="single" w:color="auto" w:sz="6" w:space="0"/>
                    <w:right w:val="nil"/>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46" w:type="dxa"/>
                  <w:tcBorders>
                    <w:top w:val="single" w:color="auto" w:sz="6" w:space="0"/>
                    <w:left w:val="nil"/>
                    <w:bottom w:val="single" w:color="auto" w:sz="6" w:space="0"/>
                    <w:right w:val="single" w:color="auto" w:sz="6" w:space="0"/>
                  </w:tcBorders>
                  <w:shd w:val="clear" w:color="auto" w:fill="auto"/>
                  <w:vAlign w:val="center"/>
                </w:tcPr>
                <w:p>
                  <w:pPr>
                    <w:jc w:val="center"/>
                  </w:pPr>
                  <w:r>
                    <w:rPr>
                      <w:sz w:val="21"/>
                      <w:szCs w:val="21"/>
                    </w:rPr>
                    <w:t>DA002</w:t>
                  </w:r>
                </w:p>
              </w:tc>
              <w:tc>
                <w:tcPr>
                  <w:tcW w:w="748"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sz w:val="21"/>
                      <w:szCs w:val="21"/>
                      <w:lang w:val="en-US" w:eastAsia="zh-CN"/>
                    </w:rPr>
                    <w:t>5</w:t>
                  </w:r>
                  <w:r>
                    <w:rPr>
                      <w:rFonts w:hint="eastAsia"/>
                      <w:sz w:val="21"/>
                      <w:szCs w:val="21"/>
                    </w:rPr>
                    <w:t>000</w:t>
                  </w:r>
                </w:p>
              </w:tc>
              <w:tc>
                <w:tcPr>
                  <w:tcW w:w="1480"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颗粒物</w:t>
                  </w:r>
                </w:p>
              </w:tc>
              <w:tc>
                <w:tcPr>
                  <w:tcW w:w="1080" w:type="dxa"/>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1"/>
                      <w:szCs w:val="21"/>
                      <w:lang w:val="fr-FR"/>
                    </w:rPr>
                  </w:pPr>
                  <w:r>
                    <w:rPr>
                      <w:rFonts w:hint="eastAsia"/>
                      <w:sz w:val="21"/>
                      <w:szCs w:val="21"/>
                      <w:lang w:val="en-US" w:eastAsia="zh-CN"/>
                    </w:rPr>
                    <w:t>0.0455</w:t>
                  </w:r>
                </w:p>
              </w:tc>
              <w:tc>
                <w:tcPr>
                  <w:tcW w:w="1079"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2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9.1</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15</w:t>
                  </w:r>
                </w:p>
              </w:tc>
              <w:tc>
                <w:tcPr>
                  <w:tcW w:w="1234"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w:t>
                  </w:r>
                </w:p>
              </w:tc>
              <w:tc>
                <w:tcPr>
                  <w:tcW w:w="1079"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10</w:t>
                  </w:r>
                </w:p>
              </w:tc>
              <w:tc>
                <w:tcPr>
                  <w:tcW w:w="639" w:type="dxa"/>
                  <w:tcBorders>
                    <w:top w:val="single" w:color="auto" w:sz="6" w:space="0"/>
                    <w:left w:val="single" w:color="auto" w:sz="6" w:space="0"/>
                    <w:bottom w:val="single" w:color="auto" w:sz="6" w:space="0"/>
                    <w:right w:val="nil"/>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达标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46" w:type="dxa"/>
                  <w:tcBorders>
                    <w:top w:val="single" w:color="auto" w:sz="6" w:space="0"/>
                    <w:left w:val="nil"/>
                    <w:bottom w:val="single" w:color="auto" w:sz="6" w:space="0"/>
                    <w:right w:val="single" w:color="auto" w:sz="6" w:space="0"/>
                  </w:tcBorders>
                  <w:shd w:val="clear" w:color="auto" w:fill="auto"/>
                  <w:vAlign w:val="center"/>
                </w:tcPr>
                <w:p>
                  <w:pPr>
                    <w:jc w:val="center"/>
                  </w:pPr>
                  <w:r>
                    <w:rPr>
                      <w:sz w:val="21"/>
                      <w:szCs w:val="21"/>
                    </w:rPr>
                    <w:t>DA003</w:t>
                  </w:r>
                </w:p>
              </w:tc>
              <w:tc>
                <w:tcPr>
                  <w:tcW w:w="748"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3000</w:t>
                  </w:r>
                </w:p>
              </w:tc>
              <w:tc>
                <w:tcPr>
                  <w:tcW w:w="1480"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颗粒物</w:t>
                  </w:r>
                </w:p>
              </w:tc>
              <w:tc>
                <w:tcPr>
                  <w:tcW w:w="108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20"/>
                    <w:rPr>
                      <w:rFonts w:ascii="Times New Roman" w:hAnsi="Times New Roman" w:eastAsia="宋体"/>
                      <w:sz w:val="21"/>
                      <w:szCs w:val="21"/>
                    </w:rPr>
                  </w:pPr>
                  <w:r>
                    <w:rPr>
                      <w:rFonts w:hint="eastAsia" w:ascii="Times New Roman" w:hAnsi="Times New Roman" w:eastAsia="宋体"/>
                      <w:sz w:val="21"/>
                      <w:szCs w:val="21"/>
                      <w:lang w:val="en-US" w:eastAsia="zh-CN"/>
                    </w:rPr>
                    <w:t>0.0117</w:t>
                  </w:r>
                </w:p>
              </w:tc>
              <w:tc>
                <w:tcPr>
                  <w:tcW w:w="1079"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2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3.9</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15</w:t>
                  </w:r>
                </w:p>
              </w:tc>
              <w:tc>
                <w:tcPr>
                  <w:tcW w:w="1234"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w:t>
                  </w:r>
                </w:p>
              </w:tc>
              <w:tc>
                <w:tcPr>
                  <w:tcW w:w="1079"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10</w:t>
                  </w:r>
                </w:p>
              </w:tc>
              <w:tc>
                <w:tcPr>
                  <w:tcW w:w="639" w:type="dxa"/>
                  <w:tcBorders>
                    <w:top w:val="single" w:color="auto" w:sz="6" w:space="0"/>
                    <w:left w:val="single" w:color="auto" w:sz="6" w:space="0"/>
                    <w:bottom w:val="single" w:color="auto" w:sz="6" w:space="0"/>
                    <w:right w:val="nil"/>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达标</w:t>
                  </w:r>
                </w:p>
              </w:tc>
            </w:tr>
          </w:tbl>
          <w:p>
            <w:pPr>
              <w:tabs>
                <w:tab w:val="left" w:pos="3620"/>
              </w:tabs>
              <w:adjustRightInd w:val="0"/>
              <w:snapToGrid w:val="0"/>
              <w:spacing w:line="440" w:lineRule="exact"/>
              <w:ind w:firstLine="480" w:firstLineChars="200"/>
              <w:rPr>
                <w:sz w:val="24"/>
                <w:szCs w:val="24"/>
              </w:rPr>
            </w:pPr>
            <w:r>
              <w:rPr>
                <w:rFonts w:hint="eastAsia" w:hAnsi="宋体"/>
                <w:sz w:val="24"/>
              </w:rPr>
              <w:t>由上表可知，上述粉尘</w:t>
            </w:r>
            <w:r>
              <w:rPr>
                <w:rFonts w:hint="eastAsia"/>
                <w:sz w:val="24"/>
              </w:rPr>
              <w:t>排放浓度</w:t>
            </w:r>
            <w:r>
              <w:rPr>
                <w:rFonts w:hint="eastAsia"/>
                <w:sz w:val="24"/>
                <w:lang w:val="en-US" w:eastAsia="zh-CN"/>
              </w:rPr>
              <w:t>均</w:t>
            </w:r>
            <w:r>
              <w:rPr>
                <w:rFonts w:hint="eastAsia"/>
                <w:sz w:val="24"/>
              </w:rPr>
              <w:t>能够满足《水泥工业大气污染物排放标准》（</w:t>
            </w:r>
            <w:r>
              <w:rPr>
                <w:sz w:val="24"/>
              </w:rPr>
              <w:t>DB41/1953-2020</w:t>
            </w:r>
            <w:r>
              <w:rPr>
                <w:rFonts w:hint="eastAsia"/>
                <w:sz w:val="24"/>
              </w:rPr>
              <w:t>）表1散装水泥中转站及水泥制品生产中水泥仓及其它通风生产设备颗粒物排放浓度</w:t>
            </w:r>
            <w:r>
              <w:rPr>
                <w:sz w:val="24"/>
              </w:rPr>
              <w:t>10mg/m</w:t>
            </w:r>
            <w:r>
              <w:rPr>
                <w:sz w:val="24"/>
                <w:vertAlign w:val="superscript"/>
              </w:rPr>
              <w:t>3</w:t>
            </w:r>
            <w:r>
              <w:rPr>
                <w:rFonts w:hint="eastAsia"/>
                <w:sz w:val="24"/>
              </w:rPr>
              <w:t>的限值要求</w:t>
            </w:r>
            <w:r>
              <w:rPr>
                <w:rFonts w:hint="eastAsia"/>
                <w:sz w:val="24"/>
                <w:szCs w:val="24"/>
              </w:rPr>
              <w:t>。</w:t>
            </w:r>
          </w:p>
          <w:p>
            <w:pPr>
              <w:tabs>
                <w:tab w:val="left" w:pos="3620"/>
              </w:tabs>
              <w:adjustRightInd w:val="0"/>
              <w:snapToGrid w:val="0"/>
              <w:spacing w:line="440" w:lineRule="exact"/>
              <w:ind w:firstLine="480" w:firstLineChars="200"/>
              <w:rPr>
                <w:rFonts w:ascii="Times New Roman" w:hAnsi="Times New Roman" w:eastAsia="黑体" w:cs="Times New Roman"/>
                <w:color w:val="000000"/>
                <w:sz w:val="24"/>
                <w:szCs w:val="24"/>
              </w:rPr>
            </w:pPr>
            <w:r>
              <w:rPr>
                <w:rFonts w:hint="eastAsia" w:ascii="宋体" w:hAnsi="宋体"/>
                <w:sz w:val="24"/>
              </w:rPr>
              <w:t>②无组织达标分析</w:t>
            </w:r>
            <w:r>
              <w:rPr>
                <w:rFonts w:hint="eastAsia" w:ascii="Times New Roman" w:hAnsi="Times New Roman" w:eastAsia="黑体" w:cs="Times New Roman"/>
                <w:color w:val="000000"/>
                <w:sz w:val="24"/>
                <w:szCs w:val="24"/>
                <w:lang w:val="en-US" w:eastAsia="zh-CN"/>
              </w:rPr>
              <w:br w:type="textWrapping"/>
            </w:r>
            <w:r>
              <w:rPr>
                <w:rFonts w:hint="eastAsia" w:ascii="Times New Roman" w:hAnsi="Times New Roman" w:eastAsia="黑体" w:cs="Times New Roman"/>
                <w:color w:val="000000"/>
                <w:sz w:val="24"/>
                <w:szCs w:val="24"/>
                <w:lang w:val="en-US" w:eastAsia="zh-CN"/>
              </w:rPr>
              <w:t xml:space="preserve">    </w:t>
            </w:r>
            <w:r>
              <w:rPr>
                <w:rFonts w:hint="eastAsia" w:ascii="Times New Roman" w:hAnsi="Times New Roman" w:eastAsia="黑体" w:cs="Times New Roman"/>
                <w:color w:val="000000"/>
                <w:sz w:val="24"/>
                <w:szCs w:val="24"/>
              </w:rPr>
              <w:t>表</w:t>
            </w:r>
            <w:r>
              <w:rPr>
                <w:rFonts w:hint="eastAsia" w:ascii="Times New Roman" w:hAnsi="Times New Roman" w:eastAsia="黑体" w:cs="Times New Roman"/>
                <w:color w:val="000000"/>
                <w:sz w:val="24"/>
                <w:szCs w:val="24"/>
                <w:lang w:val="en-US" w:eastAsia="zh-CN"/>
              </w:rPr>
              <w:t>4-9</w:t>
            </w:r>
            <w:r>
              <w:rPr>
                <w:rFonts w:hint="eastAsia" w:ascii="Times New Roman" w:hAnsi="Times New Roman" w:eastAsia="黑体" w:cs="Times New Roman"/>
                <w:color w:val="000000"/>
                <w:sz w:val="24"/>
                <w:szCs w:val="24"/>
              </w:rPr>
              <w:t xml:space="preserve">             </w:t>
            </w:r>
            <w:r>
              <w:rPr>
                <w:rFonts w:hint="eastAsia" w:eastAsia="黑体" w:cs="Times New Roman"/>
                <w:color w:val="000000"/>
                <w:sz w:val="24"/>
                <w:szCs w:val="24"/>
                <w:lang w:val="en-US" w:eastAsia="zh-CN"/>
              </w:rPr>
              <w:t xml:space="preserve">   </w:t>
            </w:r>
            <w:r>
              <w:rPr>
                <w:rFonts w:hint="eastAsia" w:eastAsia="黑体"/>
                <w:color w:val="000000"/>
                <w:sz w:val="24"/>
                <w:szCs w:val="24"/>
              </w:rPr>
              <w:t>本项目面源参数表</w:t>
            </w:r>
          </w:p>
          <w:tbl>
            <w:tblPr>
              <w:tblStyle w:val="2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069"/>
              <w:gridCol w:w="858"/>
              <w:gridCol w:w="858"/>
              <w:gridCol w:w="765"/>
              <w:gridCol w:w="858"/>
              <w:gridCol w:w="858"/>
              <w:gridCol w:w="858"/>
              <w:gridCol w:w="123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9" w:type="dxa"/>
                  <w:tcBorders>
                    <w:top w:val="single" w:color="auto" w:sz="8" w:space="0"/>
                    <w:left w:val="nil"/>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排放源</w:t>
                  </w:r>
                </w:p>
              </w:tc>
              <w:tc>
                <w:tcPr>
                  <w:tcW w:w="10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面源海拔高度</w:t>
                  </w:r>
                  <w:r>
                    <w:rPr>
                      <w:b/>
                      <w:color w:val="000000"/>
                      <w:sz w:val="21"/>
                      <w:szCs w:val="21"/>
                    </w:rPr>
                    <w:t>/m</w:t>
                  </w:r>
                </w:p>
              </w:tc>
              <w:tc>
                <w:tcPr>
                  <w:tcW w:w="85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面源长度</w:t>
                  </w:r>
                  <w:r>
                    <w:rPr>
                      <w:b/>
                      <w:color w:val="000000"/>
                      <w:sz w:val="21"/>
                      <w:szCs w:val="21"/>
                    </w:rPr>
                    <w:t>/m</w:t>
                  </w:r>
                </w:p>
              </w:tc>
              <w:tc>
                <w:tcPr>
                  <w:tcW w:w="85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面源宽度</w:t>
                  </w:r>
                  <w:r>
                    <w:rPr>
                      <w:b/>
                      <w:color w:val="000000"/>
                      <w:sz w:val="21"/>
                      <w:szCs w:val="21"/>
                    </w:rPr>
                    <w:t>/m</w:t>
                  </w:r>
                </w:p>
              </w:tc>
              <w:tc>
                <w:tcPr>
                  <w:tcW w:w="765"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与正北向夹角</w:t>
                  </w:r>
                  <w:r>
                    <w:rPr>
                      <w:b/>
                      <w:color w:val="000000"/>
                      <w:sz w:val="21"/>
                      <w:szCs w:val="21"/>
                    </w:rPr>
                    <w:t>/°</w:t>
                  </w:r>
                </w:p>
              </w:tc>
              <w:tc>
                <w:tcPr>
                  <w:tcW w:w="85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面源有效排放高度</w:t>
                  </w:r>
                </w:p>
              </w:tc>
              <w:tc>
                <w:tcPr>
                  <w:tcW w:w="85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年排放小时数</w:t>
                  </w:r>
                  <w:r>
                    <w:rPr>
                      <w:b/>
                      <w:color w:val="000000"/>
                      <w:sz w:val="21"/>
                      <w:szCs w:val="21"/>
                    </w:rPr>
                    <w:t>/h</w:t>
                  </w:r>
                </w:p>
              </w:tc>
              <w:tc>
                <w:tcPr>
                  <w:tcW w:w="85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b/>
                      <w:color w:val="000000"/>
                      <w:sz w:val="21"/>
                      <w:szCs w:val="21"/>
                    </w:rPr>
                  </w:pPr>
                  <w:r>
                    <w:rPr>
                      <w:rFonts w:hint="eastAsia"/>
                      <w:b/>
                      <w:color w:val="000000"/>
                      <w:sz w:val="21"/>
                      <w:szCs w:val="21"/>
                    </w:rPr>
                    <w:t>排放工况</w:t>
                  </w:r>
                </w:p>
              </w:tc>
              <w:tc>
                <w:tcPr>
                  <w:tcW w:w="1233" w:type="dxa"/>
                  <w:tcBorders>
                    <w:top w:val="single" w:color="auto" w:sz="8" w:space="0"/>
                    <w:left w:val="single" w:color="auto" w:sz="4" w:space="0"/>
                    <w:bottom w:val="single" w:color="auto" w:sz="8" w:space="0"/>
                    <w:right w:val="nil"/>
                  </w:tcBorders>
                  <w:vAlign w:val="center"/>
                </w:tcPr>
                <w:p>
                  <w:pPr>
                    <w:adjustRightInd w:val="0"/>
                    <w:snapToGrid w:val="0"/>
                    <w:jc w:val="center"/>
                    <w:rPr>
                      <w:b/>
                      <w:color w:val="000000"/>
                      <w:sz w:val="21"/>
                      <w:szCs w:val="21"/>
                    </w:rPr>
                  </w:pPr>
                  <w:r>
                    <w:rPr>
                      <w:rFonts w:hint="eastAsia"/>
                      <w:b/>
                      <w:color w:val="000000"/>
                      <w:sz w:val="21"/>
                      <w:szCs w:val="21"/>
                    </w:rPr>
                    <w:t>污染物排放速率（</w:t>
                  </w:r>
                  <w:r>
                    <w:rPr>
                      <w:b/>
                      <w:color w:val="000000"/>
                      <w:sz w:val="21"/>
                      <w:szCs w:val="21"/>
                    </w:rPr>
                    <w:t>kg/h</w:t>
                  </w:r>
                  <w:r>
                    <w:rPr>
                      <w:rFonts w:hint="eastAsia"/>
                      <w:b/>
                      <w:color w:val="000000"/>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9" w:type="dxa"/>
                  <w:tcBorders>
                    <w:top w:val="single" w:color="auto" w:sz="8" w:space="0"/>
                    <w:left w:val="nil"/>
                    <w:bottom w:val="single" w:color="auto" w:sz="8" w:space="0"/>
                    <w:right w:val="single" w:color="auto" w:sz="4" w:space="0"/>
                  </w:tcBorders>
                  <w:vAlign w:val="center"/>
                </w:tcPr>
                <w:p>
                  <w:pPr>
                    <w:adjustRightInd w:val="0"/>
                    <w:snapToGrid w:val="0"/>
                    <w:jc w:val="center"/>
                    <w:rPr>
                      <w:rFonts w:hint="default" w:eastAsiaTheme="minorEastAsia"/>
                      <w:sz w:val="21"/>
                      <w:szCs w:val="21"/>
                      <w:lang w:val="en-US" w:eastAsia="zh-CN"/>
                    </w:rPr>
                  </w:pPr>
                  <w:r>
                    <w:rPr>
                      <w:rFonts w:hint="eastAsia" w:eastAsiaTheme="minorEastAsia"/>
                      <w:sz w:val="21"/>
                      <w:szCs w:val="21"/>
                      <w:lang w:val="en-US" w:eastAsia="zh-CN"/>
                    </w:rPr>
                    <w:t>生产车间（包含原料库）及车辆运输区域</w:t>
                  </w:r>
                </w:p>
              </w:tc>
              <w:tc>
                <w:tcPr>
                  <w:tcW w:w="1069"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sz w:val="21"/>
                      <w:szCs w:val="21"/>
                    </w:rPr>
                  </w:pPr>
                  <w:r>
                    <w:rPr>
                      <w:rFonts w:hint="eastAsia" w:eastAsiaTheme="minorEastAsia"/>
                      <w:sz w:val="21"/>
                      <w:szCs w:val="21"/>
                    </w:rPr>
                    <w:t>82</w:t>
                  </w:r>
                </w:p>
              </w:tc>
              <w:tc>
                <w:tcPr>
                  <w:tcW w:w="85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sz w:val="21"/>
                      <w:szCs w:val="21"/>
                    </w:rPr>
                  </w:pPr>
                  <w:r>
                    <w:rPr>
                      <w:rFonts w:hint="eastAsia" w:eastAsiaTheme="minorEastAsia"/>
                      <w:sz w:val="21"/>
                      <w:szCs w:val="21"/>
                    </w:rPr>
                    <w:t>60</w:t>
                  </w:r>
                </w:p>
              </w:tc>
              <w:tc>
                <w:tcPr>
                  <w:tcW w:w="85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hint="default" w:eastAsiaTheme="minorEastAsia"/>
                      <w:sz w:val="21"/>
                      <w:szCs w:val="21"/>
                      <w:lang w:val="en-US" w:eastAsia="zh-CN"/>
                    </w:rPr>
                  </w:pPr>
                  <w:r>
                    <w:rPr>
                      <w:rFonts w:hint="eastAsia" w:eastAsiaTheme="minorEastAsia"/>
                      <w:sz w:val="21"/>
                      <w:szCs w:val="21"/>
                      <w:lang w:val="en-US" w:eastAsia="zh-CN"/>
                    </w:rPr>
                    <w:t>60</w:t>
                  </w:r>
                </w:p>
              </w:tc>
              <w:tc>
                <w:tcPr>
                  <w:tcW w:w="765"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sz w:val="21"/>
                      <w:szCs w:val="21"/>
                    </w:rPr>
                  </w:pPr>
                  <w:r>
                    <w:rPr>
                      <w:rFonts w:eastAsiaTheme="minorEastAsia"/>
                      <w:sz w:val="21"/>
                      <w:szCs w:val="21"/>
                    </w:rPr>
                    <w:t>15</w:t>
                  </w:r>
                </w:p>
              </w:tc>
              <w:tc>
                <w:tcPr>
                  <w:tcW w:w="85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sz w:val="21"/>
                      <w:szCs w:val="21"/>
                    </w:rPr>
                  </w:pPr>
                  <w:r>
                    <w:rPr>
                      <w:rFonts w:hint="eastAsia" w:eastAsiaTheme="minorEastAsia"/>
                      <w:sz w:val="21"/>
                      <w:szCs w:val="21"/>
                    </w:rPr>
                    <w:t>10</w:t>
                  </w:r>
                </w:p>
              </w:tc>
              <w:tc>
                <w:tcPr>
                  <w:tcW w:w="85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both"/>
                    <w:rPr>
                      <w:rFonts w:hint="default" w:eastAsiaTheme="minorEastAsia"/>
                      <w:sz w:val="21"/>
                      <w:szCs w:val="21"/>
                      <w:lang w:val="en-US" w:eastAsia="zh-CN"/>
                    </w:rPr>
                  </w:pPr>
                  <w:r>
                    <w:rPr>
                      <w:rFonts w:hint="eastAsia" w:eastAsiaTheme="minorEastAsia"/>
                      <w:sz w:val="21"/>
                      <w:szCs w:val="21"/>
                      <w:lang w:val="en-US" w:eastAsia="zh-CN"/>
                    </w:rPr>
                    <w:t xml:space="preserve"> 1200</w:t>
                  </w:r>
                </w:p>
              </w:tc>
              <w:tc>
                <w:tcPr>
                  <w:tcW w:w="858" w:type="dxa"/>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eastAsiaTheme="minorEastAsia"/>
                      <w:sz w:val="21"/>
                      <w:szCs w:val="21"/>
                    </w:rPr>
                  </w:pPr>
                  <w:r>
                    <w:rPr>
                      <w:rFonts w:hint="eastAsia" w:eastAsiaTheme="minorEastAsia"/>
                      <w:sz w:val="21"/>
                      <w:szCs w:val="21"/>
                    </w:rPr>
                    <w:t>正常</w:t>
                  </w:r>
                </w:p>
              </w:tc>
              <w:tc>
                <w:tcPr>
                  <w:tcW w:w="1233" w:type="dxa"/>
                  <w:tcBorders>
                    <w:top w:val="single" w:color="auto" w:sz="8" w:space="0"/>
                    <w:left w:val="single" w:color="auto" w:sz="4" w:space="0"/>
                    <w:bottom w:val="single" w:color="auto" w:sz="8" w:space="0"/>
                    <w:right w:val="nil"/>
                  </w:tcBorders>
                  <w:vAlign w:val="center"/>
                </w:tcPr>
                <w:p>
                  <w:pPr>
                    <w:adjustRightInd w:val="0"/>
                    <w:snapToGrid w:val="0"/>
                    <w:jc w:val="center"/>
                    <w:rPr>
                      <w:rFonts w:hint="default" w:eastAsiaTheme="minorEastAsia"/>
                      <w:sz w:val="21"/>
                      <w:szCs w:val="21"/>
                      <w:lang w:val="en-US"/>
                    </w:rPr>
                  </w:pPr>
                  <w:r>
                    <w:rPr>
                      <w:rFonts w:hint="eastAsia"/>
                      <w:sz w:val="21"/>
                      <w:szCs w:val="21"/>
                      <w:lang w:val="en-US" w:eastAsia="zh-CN"/>
                    </w:rPr>
                    <w:t>0.1114</w:t>
                  </w:r>
                </w:p>
              </w:tc>
            </w:tr>
          </w:tbl>
          <w:p>
            <w:pPr>
              <w:pStyle w:val="39"/>
              <w:spacing w:beforeLines="50" w:line="240" w:lineRule="auto"/>
              <w:ind w:firstLine="480" w:firstLineChars="200"/>
              <w:rPr>
                <w:rFonts w:eastAsia="黑体"/>
                <w:color w:val="000000"/>
                <w:sz w:val="24"/>
                <w:szCs w:val="24"/>
              </w:rPr>
            </w:pPr>
            <w:r>
              <w:rPr>
                <w:rFonts w:hint="eastAsia" w:ascii="Times New Roman" w:hAnsi="Times New Roman" w:eastAsia="黑体" w:cs="Times New Roman"/>
                <w:color w:val="000000"/>
                <w:sz w:val="24"/>
                <w:szCs w:val="24"/>
                <w:lang w:val="en-US" w:eastAsia="zh-CN"/>
              </w:rPr>
              <w:t>表4-10          本项目废气面源排放对厂界的贡献值</w:t>
            </w:r>
          </w:p>
          <w:tbl>
            <w:tblPr>
              <w:tblStyle w:val="24"/>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443"/>
              <w:gridCol w:w="1801"/>
              <w:gridCol w:w="2052"/>
              <w:gridCol w:w="225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3" w:type="dxa"/>
                  <w:tcBorders>
                    <w:bottom w:val="single" w:color="auto" w:sz="8" w:space="0"/>
                  </w:tcBorders>
                  <w:vAlign w:val="center"/>
                </w:tcPr>
                <w:p>
                  <w:pPr>
                    <w:widowControl/>
                    <w:jc w:val="center"/>
                    <w:rPr>
                      <w:b/>
                      <w:sz w:val="21"/>
                      <w:szCs w:val="21"/>
                    </w:rPr>
                  </w:pPr>
                  <w:r>
                    <w:rPr>
                      <w:rFonts w:hint="eastAsia"/>
                      <w:b/>
                      <w:sz w:val="21"/>
                      <w:szCs w:val="21"/>
                    </w:rPr>
                    <w:t>污染物</w:t>
                  </w:r>
                </w:p>
              </w:tc>
              <w:tc>
                <w:tcPr>
                  <w:tcW w:w="1443" w:type="dxa"/>
                  <w:tcBorders>
                    <w:bottom w:val="single" w:color="auto" w:sz="8" w:space="0"/>
                  </w:tcBorders>
                  <w:vAlign w:val="center"/>
                </w:tcPr>
                <w:p>
                  <w:pPr>
                    <w:widowControl/>
                    <w:jc w:val="center"/>
                    <w:rPr>
                      <w:b/>
                      <w:sz w:val="21"/>
                      <w:szCs w:val="21"/>
                    </w:rPr>
                  </w:pPr>
                  <w:r>
                    <w:rPr>
                      <w:rFonts w:hint="eastAsia"/>
                      <w:b/>
                      <w:sz w:val="21"/>
                      <w:szCs w:val="21"/>
                    </w:rPr>
                    <w:t>厂界</w:t>
                  </w:r>
                </w:p>
              </w:tc>
              <w:tc>
                <w:tcPr>
                  <w:tcW w:w="1801" w:type="dxa"/>
                  <w:tcBorders>
                    <w:bottom w:val="single" w:color="auto" w:sz="8" w:space="0"/>
                  </w:tcBorders>
                  <w:vAlign w:val="center"/>
                </w:tcPr>
                <w:p>
                  <w:pPr>
                    <w:widowControl/>
                    <w:jc w:val="center"/>
                    <w:rPr>
                      <w:b/>
                      <w:sz w:val="21"/>
                      <w:szCs w:val="21"/>
                    </w:rPr>
                  </w:pPr>
                  <w:r>
                    <w:rPr>
                      <w:rFonts w:hint="eastAsia"/>
                      <w:b/>
                      <w:sz w:val="21"/>
                      <w:szCs w:val="21"/>
                    </w:rPr>
                    <w:t>距厂界的距离（</w:t>
                  </w:r>
                  <w:r>
                    <w:rPr>
                      <w:b/>
                      <w:sz w:val="21"/>
                      <w:szCs w:val="21"/>
                    </w:rPr>
                    <w:t>m</w:t>
                  </w:r>
                  <w:r>
                    <w:rPr>
                      <w:rFonts w:hint="eastAsia"/>
                      <w:b/>
                      <w:sz w:val="21"/>
                      <w:szCs w:val="21"/>
                    </w:rPr>
                    <w:t>）</w:t>
                  </w:r>
                </w:p>
              </w:tc>
              <w:tc>
                <w:tcPr>
                  <w:tcW w:w="2052" w:type="dxa"/>
                  <w:tcBorders>
                    <w:bottom w:val="single" w:color="auto" w:sz="8" w:space="0"/>
                  </w:tcBorders>
                  <w:vAlign w:val="center"/>
                </w:tcPr>
                <w:p>
                  <w:pPr>
                    <w:widowControl/>
                    <w:jc w:val="center"/>
                    <w:rPr>
                      <w:b/>
                      <w:sz w:val="21"/>
                      <w:szCs w:val="21"/>
                    </w:rPr>
                  </w:pPr>
                  <w:r>
                    <w:rPr>
                      <w:rFonts w:hint="eastAsia"/>
                      <w:b/>
                      <w:sz w:val="21"/>
                      <w:szCs w:val="21"/>
                    </w:rPr>
                    <w:t>预测浓度（</w:t>
                  </w:r>
                  <w:r>
                    <w:rPr>
                      <w:b/>
                      <w:sz w:val="21"/>
                      <w:szCs w:val="21"/>
                    </w:rPr>
                    <w:t>mg/m</w:t>
                  </w:r>
                  <w:r>
                    <w:rPr>
                      <w:b/>
                      <w:sz w:val="21"/>
                      <w:szCs w:val="21"/>
                      <w:vertAlign w:val="superscript"/>
                    </w:rPr>
                    <w:t>3</w:t>
                  </w:r>
                  <w:r>
                    <w:rPr>
                      <w:rFonts w:hint="eastAsia"/>
                      <w:b/>
                      <w:sz w:val="21"/>
                      <w:szCs w:val="21"/>
                    </w:rPr>
                    <w:t>）</w:t>
                  </w:r>
                </w:p>
              </w:tc>
              <w:tc>
                <w:tcPr>
                  <w:tcW w:w="2250" w:type="dxa"/>
                  <w:tcBorders>
                    <w:bottom w:val="single" w:color="auto" w:sz="8" w:space="0"/>
                  </w:tcBorders>
                  <w:vAlign w:val="center"/>
                </w:tcPr>
                <w:p>
                  <w:pPr>
                    <w:widowControl/>
                    <w:jc w:val="center"/>
                    <w:rPr>
                      <w:rFonts w:hint="eastAsia"/>
                      <w:b/>
                      <w:sz w:val="21"/>
                      <w:szCs w:val="21"/>
                    </w:rPr>
                  </w:pPr>
                  <w:r>
                    <w:rPr>
                      <w:rFonts w:hint="eastAsia"/>
                      <w:b/>
                      <w:sz w:val="21"/>
                      <w:szCs w:val="21"/>
                    </w:rPr>
                    <w:t>厂界</w:t>
                  </w:r>
                </w:p>
                <w:p>
                  <w:pPr>
                    <w:widowControl/>
                    <w:jc w:val="center"/>
                    <w:rPr>
                      <w:b/>
                      <w:sz w:val="21"/>
                      <w:szCs w:val="21"/>
                    </w:rPr>
                  </w:pPr>
                  <w:r>
                    <w:rPr>
                      <w:rFonts w:hint="eastAsia"/>
                      <w:b/>
                      <w:sz w:val="21"/>
                      <w:szCs w:val="21"/>
                    </w:rPr>
                    <w:t>浓度限值（</w:t>
                  </w:r>
                  <w:r>
                    <w:rPr>
                      <w:b/>
                      <w:sz w:val="21"/>
                      <w:szCs w:val="21"/>
                    </w:rPr>
                    <w:t>mg/m</w:t>
                  </w:r>
                  <w:r>
                    <w:rPr>
                      <w:b/>
                      <w:sz w:val="21"/>
                      <w:szCs w:val="21"/>
                      <w:vertAlign w:val="superscript"/>
                    </w:rPr>
                    <w:t>3</w:t>
                  </w:r>
                  <w:r>
                    <w:rPr>
                      <w:rFonts w:hint="eastAsia"/>
                      <w:b/>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3" w:type="dxa"/>
                  <w:vMerge w:val="restart"/>
                  <w:tcBorders>
                    <w:top w:val="single" w:color="auto" w:sz="8" w:space="0"/>
                  </w:tcBorders>
                  <w:vAlign w:val="center"/>
                </w:tcPr>
                <w:p>
                  <w:pPr>
                    <w:snapToGrid w:val="0"/>
                    <w:jc w:val="center"/>
                    <w:rPr>
                      <w:sz w:val="21"/>
                      <w:szCs w:val="21"/>
                    </w:rPr>
                  </w:pPr>
                  <w:r>
                    <w:rPr>
                      <w:sz w:val="21"/>
                      <w:szCs w:val="21"/>
                    </w:rPr>
                    <w:t>PM</w:t>
                  </w:r>
                  <w:r>
                    <w:rPr>
                      <w:sz w:val="21"/>
                      <w:szCs w:val="21"/>
                      <w:vertAlign w:val="subscript"/>
                    </w:rPr>
                    <w:t>10</w:t>
                  </w:r>
                </w:p>
              </w:tc>
              <w:tc>
                <w:tcPr>
                  <w:tcW w:w="1443" w:type="dxa"/>
                  <w:tcBorders>
                    <w:top w:val="single" w:color="auto" w:sz="8" w:space="0"/>
                  </w:tcBorders>
                  <w:vAlign w:val="center"/>
                </w:tcPr>
                <w:p>
                  <w:pPr>
                    <w:kinsoku w:val="0"/>
                    <w:overflowPunct w:val="0"/>
                    <w:autoSpaceDE w:val="0"/>
                    <w:autoSpaceDN w:val="0"/>
                    <w:adjustRightInd w:val="0"/>
                    <w:snapToGrid w:val="0"/>
                    <w:jc w:val="center"/>
                    <w:rPr>
                      <w:rFonts w:eastAsiaTheme="minorEastAsia"/>
                      <w:sz w:val="21"/>
                      <w:szCs w:val="21"/>
                    </w:rPr>
                  </w:pPr>
                  <w:r>
                    <w:rPr>
                      <w:rFonts w:hint="eastAsia" w:eastAsiaTheme="minorEastAsia"/>
                      <w:sz w:val="21"/>
                      <w:szCs w:val="21"/>
                    </w:rPr>
                    <w:t>东厂界</w:t>
                  </w:r>
                </w:p>
              </w:tc>
              <w:tc>
                <w:tcPr>
                  <w:tcW w:w="1801" w:type="dxa"/>
                  <w:tcBorders>
                    <w:top w:val="single" w:color="auto" w:sz="8" w:space="0"/>
                  </w:tcBorders>
                  <w:vAlign w:val="center"/>
                </w:tcPr>
                <w:p>
                  <w:pPr>
                    <w:kinsoku w:val="0"/>
                    <w:overflowPunct w:val="0"/>
                    <w:autoSpaceDE w:val="0"/>
                    <w:autoSpaceDN w:val="0"/>
                    <w:adjustRightInd w:val="0"/>
                    <w:snapToGrid w:val="0"/>
                    <w:ind w:firstLine="630" w:firstLineChars="300"/>
                    <w:jc w:val="both"/>
                    <w:rPr>
                      <w:rFonts w:hint="default" w:eastAsiaTheme="minorEastAsia"/>
                      <w:color w:val="auto"/>
                      <w:sz w:val="21"/>
                      <w:szCs w:val="21"/>
                      <w:lang w:val="en-US" w:eastAsia="zh-CN"/>
                    </w:rPr>
                  </w:pPr>
                  <w:r>
                    <w:rPr>
                      <w:rFonts w:hint="eastAsia" w:eastAsiaTheme="minorEastAsia"/>
                      <w:color w:val="auto"/>
                      <w:sz w:val="21"/>
                      <w:szCs w:val="21"/>
                      <w:lang w:val="en-US" w:eastAsia="zh-CN"/>
                    </w:rPr>
                    <w:t>70</w:t>
                  </w:r>
                </w:p>
              </w:tc>
              <w:tc>
                <w:tcPr>
                  <w:tcW w:w="2052" w:type="dxa"/>
                  <w:tcBorders>
                    <w:top w:val="single" w:color="auto" w:sz="8" w:space="0"/>
                  </w:tcBorders>
                  <w:vAlign w:val="center"/>
                </w:tcPr>
                <w:p>
                  <w:pPr>
                    <w:kinsoku w:val="0"/>
                    <w:overflowPunct w:val="0"/>
                    <w:autoSpaceDE w:val="0"/>
                    <w:autoSpaceDN w:val="0"/>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0.0472</w:t>
                  </w:r>
                </w:p>
              </w:tc>
              <w:tc>
                <w:tcPr>
                  <w:tcW w:w="2250" w:type="dxa"/>
                  <w:vMerge w:val="restart"/>
                  <w:tcBorders>
                    <w:top w:val="single" w:color="auto" w:sz="8" w:space="0"/>
                  </w:tcBorders>
                  <w:vAlign w:val="center"/>
                </w:tcPr>
                <w:p>
                  <w:pPr>
                    <w:snapToGrid w:val="0"/>
                    <w:jc w:val="center"/>
                    <w:rPr>
                      <w:kern w:val="0"/>
                      <w:sz w:val="21"/>
                      <w:szCs w:val="21"/>
                    </w:rPr>
                  </w:pPr>
                  <w:r>
                    <w:rPr>
                      <w:sz w:val="21"/>
                      <w:szCs w:val="21"/>
                    </w:rPr>
                    <w:t>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3" w:type="dxa"/>
                  <w:vMerge w:val="continue"/>
                  <w:vAlign w:val="center"/>
                </w:tcPr>
                <w:p>
                  <w:pPr>
                    <w:widowControl/>
                    <w:jc w:val="left"/>
                    <w:rPr>
                      <w:sz w:val="21"/>
                      <w:szCs w:val="21"/>
                    </w:rPr>
                  </w:pPr>
                </w:p>
              </w:tc>
              <w:tc>
                <w:tcPr>
                  <w:tcW w:w="1443" w:type="dxa"/>
                  <w:vAlign w:val="center"/>
                </w:tcPr>
                <w:p>
                  <w:pPr>
                    <w:kinsoku w:val="0"/>
                    <w:overflowPunct w:val="0"/>
                    <w:autoSpaceDE w:val="0"/>
                    <w:autoSpaceDN w:val="0"/>
                    <w:adjustRightInd w:val="0"/>
                    <w:snapToGrid w:val="0"/>
                    <w:jc w:val="center"/>
                    <w:rPr>
                      <w:rFonts w:eastAsiaTheme="minorEastAsia"/>
                      <w:sz w:val="21"/>
                      <w:szCs w:val="21"/>
                    </w:rPr>
                  </w:pPr>
                  <w:r>
                    <w:rPr>
                      <w:rFonts w:hint="eastAsia" w:eastAsiaTheme="minorEastAsia"/>
                      <w:sz w:val="21"/>
                      <w:szCs w:val="21"/>
                    </w:rPr>
                    <w:t>南厂界</w:t>
                  </w:r>
                </w:p>
              </w:tc>
              <w:tc>
                <w:tcPr>
                  <w:tcW w:w="1801" w:type="dxa"/>
                  <w:vAlign w:val="center"/>
                </w:tcPr>
                <w:p>
                  <w:pPr>
                    <w:kinsoku w:val="0"/>
                    <w:overflowPunct w:val="0"/>
                    <w:autoSpaceDE w:val="0"/>
                    <w:autoSpaceDN w:val="0"/>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13</w:t>
                  </w:r>
                </w:p>
              </w:tc>
              <w:tc>
                <w:tcPr>
                  <w:tcW w:w="2052" w:type="dxa"/>
                  <w:vAlign w:val="center"/>
                </w:tcPr>
                <w:p>
                  <w:pPr>
                    <w:kinsoku w:val="0"/>
                    <w:overflowPunct w:val="0"/>
                    <w:autoSpaceDE w:val="0"/>
                    <w:autoSpaceDN w:val="0"/>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0.0205</w:t>
                  </w:r>
                </w:p>
              </w:tc>
              <w:tc>
                <w:tcPr>
                  <w:tcW w:w="2250" w:type="dxa"/>
                  <w:vMerge w:val="continue"/>
                  <w:vAlign w:val="center"/>
                </w:tcPr>
                <w:p>
                  <w:pPr>
                    <w:widowControl/>
                    <w:jc w:val="left"/>
                    <w:rPr>
                      <w:kern w:val="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33" w:type="dxa"/>
                  <w:vMerge w:val="continue"/>
                  <w:vAlign w:val="center"/>
                </w:tcPr>
                <w:p>
                  <w:pPr>
                    <w:widowControl/>
                    <w:jc w:val="left"/>
                    <w:rPr>
                      <w:sz w:val="21"/>
                      <w:szCs w:val="21"/>
                    </w:rPr>
                  </w:pPr>
                </w:p>
              </w:tc>
              <w:tc>
                <w:tcPr>
                  <w:tcW w:w="1443" w:type="dxa"/>
                  <w:vAlign w:val="center"/>
                </w:tcPr>
                <w:p>
                  <w:pPr>
                    <w:kinsoku w:val="0"/>
                    <w:overflowPunct w:val="0"/>
                    <w:autoSpaceDE w:val="0"/>
                    <w:autoSpaceDN w:val="0"/>
                    <w:adjustRightInd w:val="0"/>
                    <w:snapToGrid w:val="0"/>
                    <w:jc w:val="center"/>
                    <w:rPr>
                      <w:rFonts w:eastAsiaTheme="minorEastAsia"/>
                      <w:sz w:val="21"/>
                      <w:szCs w:val="21"/>
                    </w:rPr>
                  </w:pPr>
                  <w:r>
                    <w:rPr>
                      <w:rFonts w:hint="eastAsia" w:eastAsiaTheme="minorEastAsia"/>
                      <w:sz w:val="21"/>
                      <w:szCs w:val="21"/>
                    </w:rPr>
                    <w:t>西厂界</w:t>
                  </w:r>
                </w:p>
              </w:tc>
              <w:tc>
                <w:tcPr>
                  <w:tcW w:w="1801" w:type="dxa"/>
                  <w:vAlign w:val="center"/>
                </w:tcPr>
                <w:p>
                  <w:pPr>
                    <w:kinsoku w:val="0"/>
                    <w:overflowPunct w:val="0"/>
                    <w:autoSpaceDE w:val="0"/>
                    <w:autoSpaceDN w:val="0"/>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4</w:t>
                  </w:r>
                </w:p>
              </w:tc>
              <w:tc>
                <w:tcPr>
                  <w:tcW w:w="2052" w:type="dxa"/>
                  <w:vAlign w:val="center"/>
                </w:tcPr>
                <w:p>
                  <w:pPr>
                    <w:kinsoku w:val="0"/>
                    <w:overflowPunct w:val="0"/>
                    <w:autoSpaceDE w:val="0"/>
                    <w:autoSpaceDN w:val="0"/>
                    <w:adjustRightInd w:val="0"/>
                    <w:snapToGrid w:val="0"/>
                    <w:jc w:val="center"/>
                    <w:rPr>
                      <w:rFonts w:hint="default" w:eastAsiaTheme="minorEastAsia"/>
                      <w:color w:val="auto"/>
                      <w:sz w:val="21"/>
                      <w:szCs w:val="21"/>
                      <w:lang w:val="en-US"/>
                    </w:rPr>
                  </w:pPr>
                  <w:r>
                    <w:rPr>
                      <w:rFonts w:hint="eastAsia" w:eastAsiaTheme="minorEastAsia"/>
                      <w:color w:val="auto"/>
                      <w:sz w:val="21"/>
                      <w:szCs w:val="21"/>
                      <w:lang w:val="en-US" w:eastAsia="zh-CN"/>
                    </w:rPr>
                    <w:t>0.0162</w:t>
                  </w:r>
                </w:p>
              </w:tc>
              <w:tc>
                <w:tcPr>
                  <w:tcW w:w="2250" w:type="dxa"/>
                  <w:vMerge w:val="continue"/>
                  <w:vAlign w:val="center"/>
                </w:tcPr>
                <w:p>
                  <w:pPr>
                    <w:widowControl/>
                    <w:jc w:val="left"/>
                    <w:rPr>
                      <w:kern w:val="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3" w:type="dxa"/>
                  <w:vMerge w:val="continue"/>
                  <w:vAlign w:val="center"/>
                </w:tcPr>
                <w:p>
                  <w:pPr>
                    <w:widowControl/>
                    <w:jc w:val="left"/>
                    <w:rPr>
                      <w:sz w:val="21"/>
                      <w:szCs w:val="21"/>
                    </w:rPr>
                  </w:pPr>
                </w:p>
              </w:tc>
              <w:tc>
                <w:tcPr>
                  <w:tcW w:w="1443" w:type="dxa"/>
                  <w:vAlign w:val="center"/>
                </w:tcPr>
                <w:p>
                  <w:pPr>
                    <w:kinsoku w:val="0"/>
                    <w:overflowPunct w:val="0"/>
                    <w:autoSpaceDE w:val="0"/>
                    <w:autoSpaceDN w:val="0"/>
                    <w:adjustRightInd w:val="0"/>
                    <w:snapToGrid w:val="0"/>
                    <w:jc w:val="center"/>
                    <w:rPr>
                      <w:rFonts w:eastAsiaTheme="minorEastAsia"/>
                      <w:sz w:val="21"/>
                      <w:szCs w:val="21"/>
                    </w:rPr>
                  </w:pPr>
                  <w:r>
                    <w:rPr>
                      <w:rFonts w:hint="eastAsia" w:eastAsiaTheme="minorEastAsia"/>
                      <w:sz w:val="21"/>
                      <w:szCs w:val="21"/>
                    </w:rPr>
                    <w:t>北厂界</w:t>
                  </w:r>
                </w:p>
              </w:tc>
              <w:tc>
                <w:tcPr>
                  <w:tcW w:w="1801" w:type="dxa"/>
                  <w:vAlign w:val="center"/>
                </w:tcPr>
                <w:p>
                  <w:pPr>
                    <w:kinsoku w:val="0"/>
                    <w:overflowPunct w:val="0"/>
                    <w:autoSpaceDE w:val="0"/>
                    <w:autoSpaceDN w:val="0"/>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4</w:t>
                  </w:r>
                </w:p>
              </w:tc>
              <w:tc>
                <w:tcPr>
                  <w:tcW w:w="2052" w:type="dxa"/>
                  <w:vAlign w:val="center"/>
                </w:tcPr>
                <w:p>
                  <w:pPr>
                    <w:kinsoku w:val="0"/>
                    <w:overflowPunct w:val="0"/>
                    <w:autoSpaceDE w:val="0"/>
                    <w:autoSpaceDN w:val="0"/>
                    <w:adjustRightInd w:val="0"/>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0.0162</w:t>
                  </w:r>
                </w:p>
              </w:tc>
              <w:tc>
                <w:tcPr>
                  <w:tcW w:w="2250" w:type="dxa"/>
                  <w:vMerge w:val="continue"/>
                  <w:vAlign w:val="center"/>
                </w:tcPr>
                <w:p>
                  <w:pPr>
                    <w:widowControl/>
                    <w:jc w:val="left"/>
                    <w:rPr>
                      <w:kern w:val="0"/>
                      <w:sz w:val="21"/>
                      <w:szCs w:val="21"/>
                    </w:rPr>
                  </w:pPr>
                </w:p>
              </w:tc>
            </w:tr>
          </w:tbl>
          <w:p>
            <w:pPr>
              <w:pStyle w:val="107"/>
              <w:spacing w:line="440" w:lineRule="exact"/>
              <w:ind w:firstLine="480"/>
              <w:rPr>
                <w:szCs w:val="24"/>
              </w:rPr>
            </w:pPr>
            <w:r>
              <w:rPr>
                <w:rFonts w:hint="eastAsia"/>
              </w:rPr>
              <w:t>由上表可知，项目颗粒物厂界预测浓</w:t>
            </w:r>
            <w:r>
              <w:rPr>
                <w:rFonts w:hint="eastAsia"/>
                <w:szCs w:val="24"/>
              </w:rPr>
              <w:t>度最大值</w:t>
            </w:r>
            <w:r>
              <w:rPr>
                <w:rFonts w:hint="eastAsia"/>
                <w:color w:val="auto"/>
                <w:szCs w:val="24"/>
              </w:rPr>
              <w:t>为</w:t>
            </w:r>
            <w:r>
              <w:rPr>
                <w:rFonts w:hint="eastAsia"/>
                <w:color w:val="auto"/>
                <w:szCs w:val="24"/>
                <w:lang w:val="en-US" w:eastAsia="zh-CN"/>
              </w:rPr>
              <w:t>0.0472</w:t>
            </w:r>
            <w:r>
              <w:rPr>
                <w:rFonts w:hint="eastAsia"/>
                <w:color w:val="auto"/>
                <w:szCs w:val="24"/>
              </w:rPr>
              <w:t>m</w:t>
            </w:r>
            <w:r>
              <w:rPr>
                <w:rFonts w:hint="eastAsia"/>
                <w:szCs w:val="24"/>
              </w:rPr>
              <w:t>g/m</w:t>
            </w:r>
            <w:r>
              <w:rPr>
                <w:rFonts w:hint="eastAsia"/>
                <w:szCs w:val="24"/>
                <w:vertAlign w:val="superscript"/>
              </w:rPr>
              <w:t>3</w:t>
            </w:r>
            <w:r>
              <w:rPr>
                <w:rFonts w:hint="eastAsia"/>
                <w:szCs w:val="24"/>
              </w:rPr>
              <w:t>，能够满足《水泥工业大气污染物排放标准》（</w:t>
            </w:r>
            <w:r>
              <w:rPr>
                <w:szCs w:val="24"/>
              </w:rPr>
              <w:t>DB41/1953-2020</w:t>
            </w:r>
            <w:r>
              <w:rPr>
                <w:rFonts w:hint="eastAsia"/>
                <w:szCs w:val="24"/>
              </w:rPr>
              <w:t>）表2的厂界颗粒物排</w:t>
            </w:r>
            <w:r>
              <w:rPr>
                <w:rFonts w:hint="eastAsia"/>
              </w:rPr>
              <w:t>放浓度不高于</w:t>
            </w:r>
            <w:r>
              <w:t>0.5mg/m</w:t>
            </w:r>
            <w:r>
              <w:rPr>
                <w:vertAlign w:val="superscript"/>
              </w:rPr>
              <w:t>3</w:t>
            </w:r>
            <w:r>
              <w:rPr>
                <w:rFonts w:hint="eastAsia"/>
                <w:szCs w:val="24"/>
              </w:rPr>
              <w:t>限值要求。</w:t>
            </w:r>
          </w:p>
          <w:p>
            <w:pPr>
              <w:pStyle w:val="107"/>
              <w:spacing w:line="440" w:lineRule="exact"/>
              <w:ind w:firstLine="480"/>
            </w:pPr>
            <w:r>
              <w:rPr>
                <w:rFonts w:hint="eastAsia"/>
              </w:rPr>
              <w:t>综上，本项目产生的废气污染物经治理后不会对周边大气环境产生大的不利影响。</w:t>
            </w:r>
          </w:p>
          <w:p>
            <w:pPr>
              <w:adjustRightInd w:val="0"/>
              <w:spacing w:line="440" w:lineRule="exact"/>
              <w:rPr>
                <w:b/>
                <w:color w:val="000000"/>
                <w:sz w:val="21"/>
                <w:szCs w:val="21"/>
              </w:rPr>
            </w:pPr>
            <w:r>
              <w:rPr>
                <w:rFonts w:hint="eastAsia" w:hAnsi="宋体"/>
                <w:b/>
                <w:sz w:val="24"/>
              </w:rPr>
              <w:t xml:space="preserve">   6、非正常工况环境影响分析</w:t>
            </w:r>
          </w:p>
          <w:p>
            <w:pPr>
              <w:tabs>
                <w:tab w:val="left" w:pos="3620"/>
              </w:tabs>
              <w:adjustRightInd w:val="0"/>
              <w:snapToGrid w:val="0"/>
              <w:spacing w:line="440" w:lineRule="exact"/>
              <w:rPr>
                <w:rFonts w:hAnsi="宋体"/>
                <w:sz w:val="24"/>
                <w:lang w:val="en-GB"/>
              </w:rPr>
            </w:pPr>
            <w:r>
              <w:rPr>
                <w:rFonts w:hint="eastAsia" w:hAnsi="宋体"/>
                <w:sz w:val="24"/>
                <w:lang w:val="en-GB"/>
              </w:rPr>
              <w:t xml:space="preserve">    非正常工况是指生产运行阶段的开、停车、检修、操作不正常或设备故障等。本项目设备检修时不进行生产作业；工艺过程出现运转异常时可停产、检修，待所有生产设备恢复正常后再投入生产。本项目水泥、粉煤灰及矿粉料仓为间歇式上料，在不工作时，企业可安排人员对物料仓</w:t>
            </w:r>
            <w:r>
              <w:rPr>
                <w:rFonts w:hint="eastAsia" w:hAnsi="宋体"/>
                <w:sz w:val="24"/>
                <w:lang w:val="en-US" w:eastAsia="zh-CN"/>
              </w:rPr>
              <w:t>脉冲</w:t>
            </w:r>
            <w:r>
              <w:rPr>
                <w:rFonts w:hint="eastAsia" w:hAnsi="宋体"/>
                <w:sz w:val="24"/>
                <w:lang w:val="en-GB"/>
              </w:rPr>
              <w:t>袋式除尘器定期检查维护，确保不出现异常。故本项目非正常工况主要为物料进料、各原料仓呼吸孔及搅拌废气处理装置出现故障导致污染物非正常排放。</w:t>
            </w:r>
          </w:p>
          <w:p>
            <w:pPr>
              <w:tabs>
                <w:tab w:val="left" w:pos="3620"/>
              </w:tabs>
              <w:adjustRightInd w:val="0"/>
              <w:snapToGrid w:val="0"/>
              <w:spacing w:line="440" w:lineRule="exact"/>
              <w:ind w:firstLine="480" w:firstLineChars="200"/>
              <w:rPr>
                <w:rFonts w:hAnsi="宋体"/>
                <w:sz w:val="24"/>
              </w:rPr>
            </w:pPr>
            <w:r>
              <w:rPr>
                <w:rFonts w:hint="eastAsia" w:hAnsi="宋体"/>
                <w:sz w:val="24"/>
              </w:rPr>
              <w:t>本项目废气治理装置发生故障时，现场工作人员立即报告公司管理人员，车间立即停止生产进行设备的维护，处理装置出现故障到</w:t>
            </w:r>
            <w:r>
              <w:rPr>
                <w:rFonts w:hint="eastAsia" w:hAnsi="宋体"/>
                <w:sz w:val="24"/>
                <w:lang w:val="en-US" w:eastAsia="zh-CN"/>
              </w:rPr>
              <w:t>解除故障</w:t>
            </w:r>
            <w:r>
              <w:rPr>
                <w:rFonts w:hint="eastAsia" w:hAnsi="宋体"/>
                <w:sz w:val="24"/>
              </w:rPr>
              <w:t>时间约为</w:t>
            </w:r>
            <w:r>
              <w:rPr>
                <w:rFonts w:hint="eastAsia"/>
                <w:sz w:val="24"/>
              </w:rPr>
              <w:t>0.5</w:t>
            </w:r>
            <w:r>
              <w:rPr>
                <w:sz w:val="24"/>
              </w:rPr>
              <w:t>h</w:t>
            </w:r>
            <w:r>
              <w:rPr>
                <w:rFonts w:hint="eastAsia" w:hAnsi="宋体"/>
                <w:sz w:val="24"/>
              </w:rPr>
              <w:t>，根据同类型企业运行经验，故障频次约</w:t>
            </w:r>
            <w:r>
              <w:rPr>
                <w:sz w:val="24"/>
              </w:rPr>
              <w:t>1</w:t>
            </w:r>
            <w:r>
              <w:rPr>
                <w:rFonts w:hint="eastAsia" w:hAnsi="宋体"/>
                <w:sz w:val="24"/>
              </w:rPr>
              <w:t>次</w:t>
            </w:r>
            <w:r>
              <w:rPr>
                <w:sz w:val="24"/>
              </w:rPr>
              <w:t>/a</w:t>
            </w:r>
            <w:r>
              <w:rPr>
                <w:rFonts w:hint="eastAsia" w:hAnsi="宋体"/>
                <w:sz w:val="24"/>
              </w:rPr>
              <w:t>。结合本项目颗粒物排放源强，项目非正常排放量核算结果见下表。</w:t>
            </w:r>
          </w:p>
          <w:p>
            <w:pPr>
              <w:tabs>
                <w:tab w:val="left" w:pos="3620"/>
              </w:tabs>
              <w:adjustRightInd w:val="0"/>
              <w:snapToGrid w:val="0"/>
              <w:spacing w:line="440" w:lineRule="exact"/>
              <w:ind w:firstLine="480" w:firstLineChars="200"/>
              <w:rPr>
                <w:rFonts w:eastAsia="黑体"/>
                <w:sz w:val="24"/>
              </w:rPr>
            </w:pPr>
            <w:r>
              <w:rPr>
                <w:rFonts w:hint="eastAsia" w:hAnsi="黑体" w:eastAsia="黑体"/>
                <w:sz w:val="24"/>
              </w:rPr>
              <w:br w:type="textWrapping"/>
            </w:r>
            <w:r>
              <w:rPr>
                <w:rFonts w:hint="eastAsia" w:hAnsi="黑体" w:eastAsia="黑体"/>
                <w:sz w:val="24"/>
                <w:lang w:val="en-US" w:eastAsia="zh-CN"/>
              </w:rPr>
              <w:t xml:space="preserve">      </w:t>
            </w:r>
            <w:r>
              <w:rPr>
                <w:rFonts w:hint="eastAsia" w:hAnsi="黑体" w:eastAsia="黑体"/>
                <w:sz w:val="24"/>
              </w:rPr>
              <w:t>表</w:t>
            </w:r>
            <w:r>
              <w:rPr>
                <w:rFonts w:hint="eastAsia" w:eastAsia="黑体"/>
                <w:sz w:val="24"/>
                <w:lang w:val="en-US" w:eastAsia="zh-CN"/>
              </w:rPr>
              <w:t>4-11</w:t>
            </w:r>
            <w:r>
              <w:rPr>
                <w:rFonts w:hint="eastAsia" w:eastAsia="黑体"/>
                <w:sz w:val="24"/>
              </w:rPr>
              <w:t xml:space="preserve">             </w:t>
            </w:r>
            <w:r>
              <w:rPr>
                <w:rFonts w:hint="eastAsia" w:eastAsia="黑体"/>
                <w:sz w:val="24"/>
                <w:lang w:val="en-US" w:eastAsia="zh-CN"/>
              </w:rPr>
              <w:t xml:space="preserve">   </w:t>
            </w:r>
            <w:r>
              <w:rPr>
                <w:rFonts w:hint="eastAsia" w:hAnsi="黑体" w:eastAsia="黑体"/>
                <w:sz w:val="24"/>
              </w:rPr>
              <w:t>非正常排放参数表</w:t>
            </w:r>
          </w:p>
          <w:tbl>
            <w:tblPr>
              <w:tblStyle w:val="24"/>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34"/>
              <w:gridCol w:w="1699"/>
              <w:gridCol w:w="1503"/>
              <w:gridCol w:w="1672"/>
              <w:gridCol w:w="1355"/>
              <w:gridCol w:w="1293"/>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4" w:type="dxa"/>
                  <w:tcBorders>
                    <w:top w:val="single" w:color="auto" w:sz="8" w:space="0"/>
                    <w:left w:val="nil"/>
                    <w:bottom w:val="single" w:color="auto" w:sz="6" w:space="0"/>
                    <w:right w:val="single" w:color="auto" w:sz="6" w:space="0"/>
                  </w:tcBorders>
                  <w:shd w:val="clear" w:color="auto" w:fill="auto"/>
                  <w:vAlign w:val="center"/>
                </w:tcPr>
                <w:p>
                  <w:pPr>
                    <w:tabs>
                      <w:tab w:val="left" w:pos="3620"/>
                    </w:tabs>
                    <w:adjustRightInd w:val="0"/>
                    <w:snapToGrid w:val="0"/>
                    <w:jc w:val="center"/>
                    <w:rPr>
                      <w:rFonts w:hint="eastAsia" w:hAnsi="宋体" w:eastAsia="宋体"/>
                      <w:b/>
                      <w:sz w:val="21"/>
                      <w:szCs w:val="21"/>
                      <w:lang w:eastAsia="zh-CN"/>
                    </w:rPr>
                  </w:pPr>
                  <w:r>
                    <w:rPr>
                      <w:rFonts w:hint="eastAsia" w:hAnsi="宋体"/>
                      <w:b/>
                      <w:sz w:val="21"/>
                      <w:szCs w:val="21"/>
                    </w:rPr>
                    <w:t>非正常</w:t>
                  </w:r>
                </w:p>
                <w:p>
                  <w:pPr>
                    <w:tabs>
                      <w:tab w:val="left" w:pos="3620"/>
                    </w:tabs>
                    <w:adjustRightInd w:val="0"/>
                    <w:snapToGrid w:val="0"/>
                    <w:jc w:val="center"/>
                    <w:rPr>
                      <w:b/>
                      <w:sz w:val="21"/>
                      <w:szCs w:val="21"/>
                    </w:rPr>
                  </w:pPr>
                  <w:r>
                    <w:rPr>
                      <w:rFonts w:hint="eastAsia" w:hAnsi="宋体"/>
                      <w:b/>
                      <w:sz w:val="21"/>
                      <w:szCs w:val="21"/>
                    </w:rPr>
                    <w:t>排放源</w:t>
                  </w:r>
                </w:p>
              </w:tc>
              <w:tc>
                <w:tcPr>
                  <w:tcW w:w="1699" w:type="dxa"/>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rFonts w:hint="eastAsia" w:hAnsi="宋体" w:eastAsia="宋体"/>
                      <w:b/>
                      <w:sz w:val="21"/>
                      <w:szCs w:val="21"/>
                      <w:lang w:eastAsia="zh-CN"/>
                    </w:rPr>
                  </w:pPr>
                  <w:r>
                    <w:rPr>
                      <w:rFonts w:hint="eastAsia" w:hAnsi="宋体"/>
                      <w:b/>
                      <w:sz w:val="21"/>
                      <w:szCs w:val="21"/>
                    </w:rPr>
                    <w:t>非正常排放</w:t>
                  </w:r>
                </w:p>
                <w:p>
                  <w:pPr>
                    <w:tabs>
                      <w:tab w:val="left" w:pos="3620"/>
                    </w:tabs>
                    <w:adjustRightInd w:val="0"/>
                    <w:snapToGrid w:val="0"/>
                    <w:jc w:val="center"/>
                    <w:rPr>
                      <w:b/>
                      <w:sz w:val="21"/>
                      <w:szCs w:val="21"/>
                    </w:rPr>
                  </w:pPr>
                  <w:r>
                    <w:rPr>
                      <w:rFonts w:hint="eastAsia" w:hAnsi="宋体"/>
                      <w:b/>
                      <w:sz w:val="21"/>
                      <w:szCs w:val="21"/>
                    </w:rPr>
                    <w:t>原因</w:t>
                  </w:r>
                </w:p>
              </w:tc>
              <w:tc>
                <w:tcPr>
                  <w:tcW w:w="1503" w:type="dxa"/>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污染物</w:t>
                  </w:r>
                </w:p>
              </w:tc>
              <w:tc>
                <w:tcPr>
                  <w:tcW w:w="1672" w:type="dxa"/>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非正常排放速率</w:t>
                  </w:r>
                  <w:r>
                    <w:rPr>
                      <w:b/>
                      <w:sz w:val="21"/>
                      <w:szCs w:val="21"/>
                    </w:rPr>
                    <w:t>/</w:t>
                  </w:r>
                  <w:r>
                    <w:rPr>
                      <w:rFonts w:hint="eastAsia" w:hAnsi="宋体"/>
                      <w:b/>
                      <w:sz w:val="21"/>
                      <w:szCs w:val="21"/>
                    </w:rPr>
                    <w:t>（</w:t>
                  </w:r>
                  <w:r>
                    <w:rPr>
                      <w:b/>
                      <w:sz w:val="21"/>
                      <w:szCs w:val="21"/>
                    </w:rPr>
                    <w:t>kg/h</w:t>
                  </w:r>
                  <w:r>
                    <w:rPr>
                      <w:rFonts w:hint="eastAsia" w:hAnsi="宋体"/>
                      <w:b/>
                      <w:sz w:val="21"/>
                      <w:szCs w:val="21"/>
                    </w:rPr>
                    <w:t>）</w:t>
                  </w:r>
                </w:p>
              </w:tc>
              <w:tc>
                <w:tcPr>
                  <w:tcW w:w="1355" w:type="dxa"/>
                  <w:tcBorders>
                    <w:top w:val="single" w:color="auto" w:sz="8"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单次持续时间</w:t>
                  </w:r>
                  <w:r>
                    <w:rPr>
                      <w:b/>
                      <w:sz w:val="21"/>
                      <w:szCs w:val="21"/>
                    </w:rPr>
                    <w:t>/h</w:t>
                  </w:r>
                </w:p>
              </w:tc>
              <w:tc>
                <w:tcPr>
                  <w:tcW w:w="1293" w:type="dxa"/>
                  <w:tcBorders>
                    <w:top w:val="single" w:color="auto" w:sz="8" w:space="0"/>
                    <w:left w:val="single" w:color="auto" w:sz="6" w:space="0"/>
                    <w:bottom w:val="single" w:color="auto" w:sz="6" w:space="0"/>
                    <w:right w:val="nil"/>
                  </w:tcBorders>
                  <w:shd w:val="clear" w:color="auto" w:fill="auto"/>
                  <w:vAlign w:val="center"/>
                </w:tcPr>
                <w:p>
                  <w:pPr>
                    <w:tabs>
                      <w:tab w:val="left" w:pos="3620"/>
                    </w:tabs>
                    <w:adjustRightInd w:val="0"/>
                    <w:snapToGrid w:val="0"/>
                    <w:jc w:val="center"/>
                    <w:rPr>
                      <w:b/>
                      <w:sz w:val="21"/>
                      <w:szCs w:val="21"/>
                    </w:rPr>
                  </w:pPr>
                  <w:r>
                    <w:rPr>
                      <w:rFonts w:hint="eastAsia" w:hAnsi="宋体"/>
                      <w:b/>
                      <w:sz w:val="21"/>
                      <w:szCs w:val="21"/>
                    </w:rPr>
                    <w:t>年发生频次</w:t>
                  </w:r>
                  <w:r>
                    <w:rPr>
                      <w:b/>
                      <w:sz w:val="21"/>
                      <w:szCs w:val="21"/>
                    </w:rPr>
                    <w:t>/</w:t>
                  </w:r>
                  <w:r>
                    <w:rPr>
                      <w:rFonts w:hint="eastAsia" w:hAnsi="宋体"/>
                      <w:b/>
                      <w:sz w:val="21"/>
                      <w:szCs w:val="21"/>
                    </w:rPr>
                    <w:t>次</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4" w:type="dxa"/>
                  <w:tcBorders>
                    <w:top w:val="single" w:color="auto" w:sz="8" w:space="0"/>
                    <w:left w:val="nil"/>
                    <w:bottom w:val="single" w:color="auto" w:sz="4"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DA00</w:t>
                  </w:r>
                  <w:r>
                    <w:rPr>
                      <w:rFonts w:hint="eastAsia"/>
                      <w:sz w:val="21"/>
                      <w:szCs w:val="21"/>
                    </w:rPr>
                    <w:t>1</w:t>
                  </w:r>
                </w:p>
                <w:p>
                  <w:pPr>
                    <w:tabs>
                      <w:tab w:val="left" w:pos="3620"/>
                    </w:tabs>
                    <w:adjustRightInd w:val="0"/>
                    <w:snapToGrid w:val="0"/>
                    <w:jc w:val="center"/>
                    <w:rPr>
                      <w:sz w:val="21"/>
                      <w:szCs w:val="21"/>
                    </w:rPr>
                  </w:pPr>
                  <w:r>
                    <w:rPr>
                      <w:rFonts w:hint="eastAsia"/>
                      <w:sz w:val="21"/>
                      <w:szCs w:val="21"/>
                    </w:rPr>
                    <w:t>排气筒</w:t>
                  </w:r>
                </w:p>
              </w:tc>
              <w:tc>
                <w:tcPr>
                  <w:tcW w:w="1699" w:type="dxa"/>
                  <w:tcBorders>
                    <w:top w:val="single" w:color="auto" w:sz="8" w:space="0"/>
                    <w:left w:val="single" w:color="auto" w:sz="6" w:space="0"/>
                    <w:bottom w:val="single" w:color="auto" w:sz="4"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设备出现故障</w:t>
                  </w:r>
                </w:p>
              </w:tc>
              <w:tc>
                <w:tcPr>
                  <w:tcW w:w="1503" w:type="dxa"/>
                  <w:tcBorders>
                    <w:top w:val="single" w:color="auto" w:sz="8" w:space="0"/>
                    <w:left w:val="single" w:color="auto" w:sz="6" w:space="0"/>
                    <w:bottom w:val="single" w:color="auto" w:sz="4"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颗粒物</w:t>
                  </w:r>
                </w:p>
              </w:tc>
              <w:tc>
                <w:tcPr>
                  <w:tcW w:w="1672" w:type="dxa"/>
                  <w:tcBorders>
                    <w:top w:val="single" w:color="auto" w:sz="8" w:space="0"/>
                    <w:left w:val="single" w:color="auto" w:sz="6" w:space="0"/>
                    <w:bottom w:val="single" w:color="auto" w:sz="4" w:space="0"/>
                    <w:right w:val="single" w:color="auto" w:sz="6" w:space="0"/>
                  </w:tcBorders>
                  <w:shd w:val="clear" w:color="auto" w:fill="auto"/>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11.2</w:t>
                  </w:r>
                </w:p>
              </w:tc>
              <w:tc>
                <w:tcPr>
                  <w:tcW w:w="1355" w:type="dxa"/>
                  <w:tcBorders>
                    <w:top w:val="single" w:color="auto" w:sz="8" w:space="0"/>
                    <w:left w:val="single" w:color="auto" w:sz="6" w:space="0"/>
                    <w:bottom w:val="single" w:color="auto" w:sz="4"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sz w:val="21"/>
                      <w:szCs w:val="21"/>
                    </w:rPr>
                    <w:t>0.5</w:t>
                  </w:r>
                </w:p>
              </w:tc>
              <w:tc>
                <w:tcPr>
                  <w:tcW w:w="1293" w:type="dxa"/>
                  <w:tcBorders>
                    <w:top w:val="single" w:color="auto" w:sz="8" w:space="0"/>
                    <w:left w:val="single" w:color="auto" w:sz="6" w:space="0"/>
                    <w:bottom w:val="single" w:color="auto" w:sz="4" w:space="0"/>
                    <w:right w:val="nil"/>
                  </w:tcBorders>
                  <w:shd w:val="clear" w:color="auto" w:fill="auto"/>
                  <w:vAlign w:val="center"/>
                </w:tcPr>
                <w:p>
                  <w:pPr>
                    <w:tabs>
                      <w:tab w:val="left" w:pos="3620"/>
                    </w:tabs>
                    <w:adjustRightInd w:val="0"/>
                    <w:snapToGrid w:val="0"/>
                    <w:jc w:val="center"/>
                    <w:rPr>
                      <w:sz w:val="21"/>
                      <w:szCs w:val="21"/>
                    </w:rPr>
                  </w:pPr>
                  <w:r>
                    <w:rPr>
                      <w:sz w:val="21"/>
                      <w:szCs w:val="21"/>
                    </w:rPr>
                    <w:t>1</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4" w:type="dxa"/>
                  <w:tcBorders>
                    <w:top w:val="single" w:color="auto" w:sz="4" w:space="0"/>
                    <w:left w:val="nil"/>
                    <w:bottom w:val="single" w:color="auto" w:sz="4"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DA00</w:t>
                  </w:r>
                  <w:r>
                    <w:rPr>
                      <w:rFonts w:hint="eastAsia"/>
                      <w:sz w:val="21"/>
                      <w:szCs w:val="21"/>
                    </w:rPr>
                    <w:t>2</w:t>
                  </w:r>
                </w:p>
                <w:p>
                  <w:pPr>
                    <w:tabs>
                      <w:tab w:val="left" w:pos="3620"/>
                    </w:tabs>
                    <w:adjustRightInd w:val="0"/>
                    <w:snapToGrid w:val="0"/>
                    <w:jc w:val="center"/>
                    <w:rPr>
                      <w:sz w:val="21"/>
                      <w:szCs w:val="21"/>
                    </w:rPr>
                  </w:pPr>
                  <w:r>
                    <w:rPr>
                      <w:rFonts w:hint="eastAsia"/>
                      <w:sz w:val="21"/>
                      <w:szCs w:val="21"/>
                    </w:rPr>
                    <w:t>排气筒</w:t>
                  </w:r>
                </w:p>
              </w:tc>
              <w:tc>
                <w:tcPr>
                  <w:tcW w:w="1699" w:type="dxa"/>
                  <w:tcBorders>
                    <w:top w:val="single" w:color="auto" w:sz="4" w:space="0"/>
                    <w:left w:val="single" w:color="auto" w:sz="6" w:space="0"/>
                    <w:bottom w:val="single" w:color="auto" w:sz="4"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设备出现故障</w:t>
                  </w:r>
                </w:p>
              </w:tc>
              <w:tc>
                <w:tcPr>
                  <w:tcW w:w="1503" w:type="dxa"/>
                  <w:tcBorders>
                    <w:top w:val="single" w:color="auto" w:sz="4" w:space="0"/>
                    <w:left w:val="single" w:color="auto" w:sz="6" w:space="0"/>
                    <w:bottom w:val="single" w:color="auto" w:sz="4"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颗粒物</w:t>
                  </w:r>
                </w:p>
              </w:tc>
              <w:tc>
                <w:tcPr>
                  <w:tcW w:w="1672" w:type="dxa"/>
                  <w:tcBorders>
                    <w:top w:val="single" w:color="auto" w:sz="4" w:space="0"/>
                    <w:left w:val="single" w:color="auto" w:sz="6" w:space="0"/>
                    <w:bottom w:val="single" w:color="auto" w:sz="4" w:space="0"/>
                    <w:right w:val="single" w:color="auto" w:sz="6" w:space="0"/>
                  </w:tcBorders>
                  <w:shd w:val="clear" w:color="auto" w:fill="auto"/>
                  <w:vAlign w:val="center"/>
                </w:tcPr>
                <w:p>
                  <w:pPr>
                    <w:jc w:val="center"/>
                    <w:rPr>
                      <w:rFonts w:hint="default" w:eastAsia="宋体"/>
                      <w:sz w:val="21"/>
                      <w:szCs w:val="21"/>
                      <w:lang w:val="en-US" w:eastAsia="zh-CN"/>
                    </w:rPr>
                  </w:pPr>
                  <w:r>
                    <w:rPr>
                      <w:rFonts w:hint="eastAsia"/>
                      <w:sz w:val="21"/>
                      <w:szCs w:val="21"/>
                      <w:lang w:val="en-US" w:eastAsia="zh-CN"/>
                    </w:rPr>
                    <w:t>4.6</w:t>
                  </w:r>
                </w:p>
              </w:tc>
              <w:tc>
                <w:tcPr>
                  <w:tcW w:w="1355" w:type="dxa"/>
                  <w:tcBorders>
                    <w:top w:val="single" w:color="auto" w:sz="4" w:space="0"/>
                    <w:left w:val="single" w:color="auto" w:sz="6" w:space="0"/>
                    <w:bottom w:val="single" w:color="auto" w:sz="4"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sz w:val="21"/>
                      <w:szCs w:val="21"/>
                    </w:rPr>
                    <w:t>0.5</w:t>
                  </w:r>
                </w:p>
              </w:tc>
              <w:tc>
                <w:tcPr>
                  <w:tcW w:w="1293" w:type="dxa"/>
                  <w:tcBorders>
                    <w:top w:val="single" w:color="auto" w:sz="4" w:space="0"/>
                    <w:left w:val="single" w:color="auto" w:sz="6" w:space="0"/>
                    <w:bottom w:val="single" w:color="auto" w:sz="4" w:space="0"/>
                    <w:right w:val="nil"/>
                  </w:tcBorders>
                  <w:shd w:val="clear" w:color="auto" w:fill="auto"/>
                  <w:vAlign w:val="center"/>
                </w:tcPr>
                <w:p>
                  <w:pPr>
                    <w:tabs>
                      <w:tab w:val="left" w:pos="3620"/>
                    </w:tabs>
                    <w:adjustRightInd w:val="0"/>
                    <w:snapToGrid w:val="0"/>
                    <w:jc w:val="center"/>
                    <w:rPr>
                      <w:sz w:val="21"/>
                      <w:szCs w:val="21"/>
                    </w:rPr>
                  </w:pPr>
                  <w:r>
                    <w:rPr>
                      <w:sz w:val="21"/>
                      <w:szCs w:val="21"/>
                    </w:rPr>
                    <w:t>1</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34" w:type="dxa"/>
                  <w:tcBorders>
                    <w:top w:val="single" w:color="auto" w:sz="4" w:space="0"/>
                    <w:left w:val="nil"/>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sz w:val="21"/>
                      <w:szCs w:val="21"/>
                    </w:rPr>
                    <w:t>DA00</w:t>
                  </w:r>
                  <w:r>
                    <w:rPr>
                      <w:rFonts w:hint="eastAsia"/>
                      <w:sz w:val="21"/>
                      <w:szCs w:val="21"/>
                    </w:rPr>
                    <w:t>3</w:t>
                  </w:r>
                </w:p>
                <w:p>
                  <w:pPr>
                    <w:tabs>
                      <w:tab w:val="left" w:pos="3620"/>
                    </w:tabs>
                    <w:adjustRightInd w:val="0"/>
                    <w:snapToGrid w:val="0"/>
                    <w:jc w:val="center"/>
                    <w:rPr>
                      <w:sz w:val="21"/>
                      <w:szCs w:val="21"/>
                    </w:rPr>
                  </w:pPr>
                  <w:r>
                    <w:rPr>
                      <w:rFonts w:hint="eastAsia"/>
                      <w:sz w:val="21"/>
                      <w:szCs w:val="21"/>
                    </w:rPr>
                    <w:t>排气筒</w:t>
                  </w:r>
                </w:p>
              </w:tc>
              <w:tc>
                <w:tcPr>
                  <w:tcW w:w="1699" w:type="dxa"/>
                  <w:tcBorders>
                    <w:top w:val="single" w:color="auto" w:sz="4"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设备出现故障</w:t>
                  </w:r>
                </w:p>
              </w:tc>
              <w:tc>
                <w:tcPr>
                  <w:tcW w:w="1503" w:type="dxa"/>
                  <w:tcBorders>
                    <w:top w:val="single" w:color="auto" w:sz="4"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hAnsi="宋体"/>
                      <w:sz w:val="21"/>
                      <w:szCs w:val="21"/>
                    </w:rPr>
                    <w:t>颗粒物</w:t>
                  </w:r>
                </w:p>
              </w:tc>
              <w:tc>
                <w:tcPr>
                  <w:tcW w:w="1672" w:type="dxa"/>
                  <w:tcBorders>
                    <w:top w:val="single" w:color="auto" w:sz="4" w:space="0"/>
                    <w:left w:val="single" w:color="auto" w:sz="6" w:space="0"/>
                    <w:bottom w:val="single" w:color="auto" w:sz="6" w:space="0"/>
                    <w:right w:val="single" w:color="auto" w:sz="6" w:space="0"/>
                  </w:tcBorders>
                  <w:shd w:val="clear" w:color="auto" w:fill="auto"/>
                  <w:vAlign w:val="center"/>
                </w:tcPr>
                <w:p>
                  <w:pPr>
                    <w:pStyle w:val="12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w:t>
                  </w:r>
                </w:p>
              </w:tc>
              <w:tc>
                <w:tcPr>
                  <w:tcW w:w="1355" w:type="dxa"/>
                  <w:tcBorders>
                    <w:top w:val="single" w:color="auto" w:sz="4" w:space="0"/>
                    <w:left w:val="single" w:color="auto" w:sz="6" w:space="0"/>
                    <w:bottom w:val="single" w:color="auto" w:sz="6" w:space="0"/>
                    <w:right w:val="single" w:color="auto" w:sz="6" w:space="0"/>
                  </w:tcBorders>
                  <w:shd w:val="clear" w:color="auto" w:fill="auto"/>
                  <w:vAlign w:val="center"/>
                </w:tcPr>
                <w:p>
                  <w:pPr>
                    <w:tabs>
                      <w:tab w:val="left" w:pos="3620"/>
                    </w:tabs>
                    <w:adjustRightInd w:val="0"/>
                    <w:snapToGrid w:val="0"/>
                    <w:jc w:val="center"/>
                    <w:rPr>
                      <w:sz w:val="21"/>
                      <w:szCs w:val="21"/>
                    </w:rPr>
                  </w:pPr>
                  <w:r>
                    <w:rPr>
                      <w:rFonts w:hint="eastAsia"/>
                      <w:sz w:val="21"/>
                      <w:szCs w:val="21"/>
                    </w:rPr>
                    <w:t>0.5</w:t>
                  </w:r>
                </w:p>
              </w:tc>
              <w:tc>
                <w:tcPr>
                  <w:tcW w:w="1293" w:type="dxa"/>
                  <w:tcBorders>
                    <w:top w:val="single" w:color="auto" w:sz="4" w:space="0"/>
                    <w:left w:val="single" w:color="auto" w:sz="6" w:space="0"/>
                    <w:bottom w:val="single" w:color="auto" w:sz="6" w:space="0"/>
                    <w:right w:val="nil"/>
                  </w:tcBorders>
                  <w:shd w:val="clear" w:color="auto" w:fill="auto"/>
                  <w:vAlign w:val="center"/>
                </w:tcPr>
                <w:p>
                  <w:pPr>
                    <w:tabs>
                      <w:tab w:val="left" w:pos="3620"/>
                    </w:tabs>
                    <w:adjustRightInd w:val="0"/>
                    <w:snapToGrid w:val="0"/>
                    <w:jc w:val="center"/>
                    <w:rPr>
                      <w:sz w:val="21"/>
                      <w:szCs w:val="21"/>
                    </w:rPr>
                  </w:pPr>
                  <w:r>
                    <w:rPr>
                      <w:sz w:val="21"/>
                      <w:szCs w:val="21"/>
                    </w:rPr>
                    <w:t>1</w:t>
                  </w:r>
                </w:p>
              </w:tc>
            </w:tr>
          </w:tbl>
          <w:p>
            <w:pPr>
              <w:tabs>
                <w:tab w:val="left" w:pos="3620"/>
              </w:tabs>
              <w:adjustRightInd w:val="0"/>
              <w:snapToGrid w:val="0"/>
              <w:spacing w:line="440" w:lineRule="exact"/>
              <w:ind w:firstLine="480" w:firstLineChars="200"/>
              <w:rPr>
                <w:sz w:val="24"/>
                <w:szCs w:val="24"/>
              </w:rPr>
            </w:pPr>
            <w:r>
              <w:rPr>
                <w:rFonts w:hint="eastAsia"/>
                <w:sz w:val="24"/>
                <w:szCs w:val="24"/>
              </w:rPr>
              <w:t>根据核算，单次事故状态下，排气筒</w:t>
            </w:r>
            <w:r>
              <w:rPr>
                <w:sz w:val="24"/>
                <w:szCs w:val="24"/>
              </w:rPr>
              <w:t>DA00</w:t>
            </w:r>
            <w:r>
              <w:rPr>
                <w:rFonts w:hint="eastAsia"/>
                <w:sz w:val="24"/>
                <w:szCs w:val="24"/>
              </w:rPr>
              <w:t>1颗粒物排放量为</w:t>
            </w:r>
            <w:r>
              <w:rPr>
                <w:rFonts w:hint="eastAsia"/>
                <w:sz w:val="24"/>
                <w:szCs w:val="24"/>
                <w:lang w:val="en-US" w:eastAsia="zh-CN"/>
              </w:rPr>
              <w:t>11.2</w:t>
            </w:r>
            <w:r>
              <w:rPr>
                <w:sz w:val="24"/>
                <w:szCs w:val="24"/>
              </w:rPr>
              <w:t>kg</w:t>
            </w:r>
            <w:r>
              <w:rPr>
                <w:rFonts w:hint="eastAsia"/>
                <w:sz w:val="24"/>
                <w:szCs w:val="24"/>
                <w:lang w:val="en-US" w:eastAsia="zh-CN"/>
              </w:rPr>
              <w:t>/h</w:t>
            </w:r>
            <w:r>
              <w:rPr>
                <w:rFonts w:hint="eastAsia"/>
                <w:sz w:val="24"/>
                <w:szCs w:val="24"/>
              </w:rPr>
              <w:t>，排气筒</w:t>
            </w:r>
            <w:r>
              <w:rPr>
                <w:sz w:val="24"/>
                <w:szCs w:val="24"/>
              </w:rPr>
              <w:t>DA00</w:t>
            </w:r>
            <w:r>
              <w:rPr>
                <w:rFonts w:hint="eastAsia"/>
                <w:sz w:val="24"/>
                <w:szCs w:val="24"/>
              </w:rPr>
              <w:t>2颗粒物排放量为</w:t>
            </w:r>
            <w:r>
              <w:rPr>
                <w:rFonts w:hint="eastAsia"/>
                <w:sz w:val="24"/>
                <w:szCs w:val="24"/>
                <w:lang w:val="en-US" w:eastAsia="zh-CN"/>
              </w:rPr>
              <w:t>4.6</w:t>
            </w:r>
            <w:r>
              <w:rPr>
                <w:sz w:val="24"/>
                <w:szCs w:val="24"/>
              </w:rPr>
              <w:t>kg</w:t>
            </w:r>
            <w:r>
              <w:rPr>
                <w:rFonts w:hint="eastAsia"/>
                <w:sz w:val="24"/>
                <w:szCs w:val="24"/>
                <w:lang w:val="en-US" w:eastAsia="zh-CN"/>
              </w:rPr>
              <w:t>/h</w:t>
            </w:r>
            <w:r>
              <w:rPr>
                <w:rFonts w:hint="eastAsia"/>
                <w:sz w:val="24"/>
                <w:szCs w:val="24"/>
              </w:rPr>
              <w:t>、</w:t>
            </w:r>
            <w:r>
              <w:rPr>
                <w:sz w:val="24"/>
                <w:szCs w:val="24"/>
              </w:rPr>
              <w:t>DA003</w:t>
            </w:r>
            <w:r>
              <w:rPr>
                <w:rFonts w:hint="eastAsia"/>
                <w:sz w:val="24"/>
                <w:szCs w:val="24"/>
              </w:rPr>
              <w:t>颗粒物排放量均为</w:t>
            </w:r>
            <w:r>
              <w:rPr>
                <w:rFonts w:hint="eastAsia"/>
                <w:sz w:val="24"/>
                <w:szCs w:val="24"/>
                <w:lang w:val="en-US" w:eastAsia="zh-CN"/>
              </w:rPr>
              <w:t>1.2</w:t>
            </w:r>
            <w:r>
              <w:rPr>
                <w:sz w:val="24"/>
                <w:szCs w:val="24"/>
              </w:rPr>
              <w:t>kg</w:t>
            </w:r>
            <w:r>
              <w:rPr>
                <w:rFonts w:hint="eastAsia"/>
                <w:sz w:val="24"/>
                <w:szCs w:val="24"/>
              </w:rPr>
              <w:t>；建设单位通过定期、及时对废气处理装置进行日常检修，可有效降低其出现故障的频率，进而减少污染物的排放量。因此，建设单位在做好设备日常检修、可有效降低非正常工况下的颗粒物对环境空气的影响。</w:t>
            </w:r>
          </w:p>
          <w:p>
            <w:pPr>
              <w:adjustRightInd w:val="0"/>
              <w:spacing w:line="440" w:lineRule="exact"/>
              <w:rPr>
                <w:b/>
                <w:sz w:val="24"/>
              </w:rPr>
            </w:pPr>
            <w:r>
              <w:rPr>
                <w:rFonts w:hint="eastAsia"/>
                <w:b/>
                <w:sz w:val="24"/>
              </w:rPr>
              <w:t xml:space="preserve">   7、废气监测要求</w:t>
            </w:r>
          </w:p>
          <w:p>
            <w:pPr>
              <w:adjustRightInd w:val="0"/>
              <w:spacing w:line="440" w:lineRule="exact"/>
              <w:rPr>
                <w:sz w:val="24"/>
                <w:lang w:val="en-GB"/>
              </w:rPr>
            </w:pPr>
            <w:r>
              <w:rPr>
                <w:rFonts w:hint="eastAsia"/>
                <w:sz w:val="24"/>
                <w:szCs w:val="24"/>
              </w:rPr>
              <w:t xml:space="preserve">    </w:t>
            </w:r>
            <w:r>
              <w:rPr>
                <w:rFonts w:hint="eastAsia" w:hAnsi="宋体"/>
                <w:sz w:val="24"/>
                <w:lang w:val="en-GB"/>
              </w:rPr>
              <w:t>本项目参考执行《排污单位自行监测技术指南 水泥工业》（HJ848-2017）中的自行监测要求，</w:t>
            </w:r>
            <w:r>
              <w:rPr>
                <w:rFonts w:hAnsi="宋体"/>
                <w:sz w:val="24"/>
                <w:lang w:val="en-GB"/>
              </w:rPr>
              <w:t>本项目废气监测要求如下表。</w:t>
            </w:r>
          </w:p>
          <w:p>
            <w:pPr>
              <w:tabs>
                <w:tab w:val="left" w:pos="3620"/>
              </w:tabs>
              <w:adjustRightInd w:val="0"/>
              <w:snapToGrid w:val="0"/>
              <w:spacing w:line="440" w:lineRule="exact"/>
              <w:ind w:firstLine="480" w:firstLineChars="200"/>
              <w:rPr>
                <w:rFonts w:eastAsia="黑体"/>
                <w:sz w:val="24"/>
                <w:lang w:val="en-GB"/>
              </w:rPr>
            </w:pPr>
            <w:r>
              <w:rPr>
                <w:rFonts w:hint="eastAsia" w:eastAsia="黑体"/>
                <w:sz w:val="24"/>
                <w:lang w:val="en-GB"/>
              </w:rPr>
              <w:t>表</w:t>
            </w:r>
            <w:r>
              <w:rPr>
                <w:rFonts w:hint="eastAsia" w:eastAsia="黑体"/>
                <w:sz w:val="24"/>
                <w:lang w:val="en-US" w:eastAsia="zh-CN"/>
              </w:rPr>
              <w:t>4-12</w:t>
            </w:r>
            <w:r>
              <w:rPr>
                <w:rFonts w:hint="eastAsia" w:eastAsia="黑体"/>
                <w:sz w:val="24"/>
              </w:rPr>
              <w:t xml:space="preserve">              </w:t>
            </w:r>
            <w:r>
              <w:rPr>
                <w:rFonts w:hint="eastAsia" w:eastAsia="黑体"/>
                <w:sz w:val="24"/>
                <w:lang w:val="en-GB"/>
              </w:rPr>
              <w:t>项目废气监测要求一览表</w:t>
            </w:r>
          </w:p>
          <w:tbl>
            <w:tblPr>
              <w:tblStyle w:val="25"/>
              <w:tblW w:w="49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3"/>
              <w:gridCol w:w="2893"/>
              <w:gridCol w:w="289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93" w:type="dxa"/>
                  <w:tcBorders>
                    <w:top w:val="single" w:color="auto" w:sz="8" w:space="0"/>
                    <w:left w:val="nil"/>
                    <w:bottom w:val="single" w:color="auto" w:sz="8" w:space="0"/>
                    <w:right w:val="single" w:color="auto" w:sz="4" w:space="0"/>
                  </w:tcBorders>
                  <w:vAlign w:val="center"/>
                </w:tcPr>
                <w:p>
                  <w:pPr>
                    <w:tabs>
                      <w:tab w:val="left" w:pos="3620"/>
                    </w:tabs>
                    <w:adjustRightInd w:val="0"/>
                    <w:snapToGrid w:val="0"/>
                    <w:jc w:val="center"/>
                    <w:rPr>
                      <w:sz w:val="21"/>
                      <w:szCs w:val="21"/>
                    </w:rPr>
                  </w:pPr>
                  <w:r>
                    <w:rPr>
                      <w:rFonts w:hint="eastAsia" w:hAnsi="宋体"/>
                      <w:sz w:val="21"/>
                      <w:szCs w:val="21"/>
                    </w:rPr>
                    <w:t>监测点位</w:t>
                  </w:r>
                </w:p>
              </w:tc>
              <w:tc>
                <w:tcPr>
                  <w:tcW w:w="2893" w:type="dxa"/>
                  <w:tcBorders>
                    <w:top w:val="single" w:color="auto" w:sz="8" w:space="0"/>
                    <w:left w:val="single" w:color="auto" w:sz="4" w:space="0"/>
                    <w:bottom w:val="single" w:color="auto" w:sz="8" w:space="0"/>
                    <w:right w:val="single" w:color="auto" w:sz="4" w:space="0"/>
                  </w:tcBorders>
                  <w:vAlign w:val="center"/>
                </w:tcPr>
                <w:p>
                  <w:pPr>
                    <w:tabs>
                      <w:tab w:val="left" w:pos="3620"/>
                    </w:tabs>
                    <w:adjustRightInd w:val="0"/>
                    <w:snapToGrid w:val="0"/>
                    <w:jc w:val="center"/>
                    <w:rPr>
                      <w:sz w:val="21"/>
                      <w:szCs w:val="21"/>
                    </w:rPr>
                  </w:pPr>
                  <w:r>
                    <w:rPr>
                      <w:rFonts w:hint="eastAsia" w:hAnsi="宋体"/>
                      <w:sz w:val="21"/>
                      <w:szCs w:val="21"/>
                    </w:rPr>
                    <w:t>监测因子</w:t>
                  </w:r>
                </w:p>
              </w:tc>
              <w:tc>
                <w:tcPr>
                  <w:tcW w:w="2893" w:type="dxa"/>
                  <w:tcBorders>
                    <w:top w:val="single" w:color="auto" w:sz="8" w:space="0"/>
                    <w:left w:val="single" w:color="auto" w:sz="4" w:space="0"/>
                    <w:bottom w:val="single" w:color="auto" w:sz="8" w:space="0"/>
                    <w:right w:val="nil"/>
                  </w:tcBorders>
                  <w:vAlign w:val="center"/>
                </w:tcPr>
                <w:p>
                  <w:pPr>
                    <w:tabs>
                      <w:tab w:val="left" w:pos="3620"/>
                    </w:tabs>
                    <w:adjustRightInd w:val="0"/>
                    <w:snapToGrid w:val="0"/>
                    <w:jc w:val="center"/>
                    <w:rPr>
                      <w:sz w:val="21"/>
                      <w:szCs w:val="21"/>
                    </w:rPr>
                  </w:pPr>
                  <w:r>
                    <w:rPr>
                      <w:rFonts w:hint="eastAsia" w:hAnsi="宋体"/>
                      <w:sz w:val="21"/>
                      <w:szCs w:val="21"/>
                    </w:rPr>
                    <w:t>监测频次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93" w:type="dxa"/>
                  <w:tcBorders>
                    <w:top w:val="single" w:color="auto" w:sz="8" w:space="0"/>
                    <w:left w:val="nil"/>
                    <w:bottom w:val="single" w:color="auto" w:sz="4" w:space="0"/>
                    <w:right w:val="single" w:color="auto" w:sz="4" w:space="0"/>
                  </w:tcBorders>
                  <w:vAlign w:val="center"/>
                </w:tcPr>
                <w:p>
                  <w:pPr>
                    <w:tabs>
                      <w:tab w:val="left" w:pos="3620"/>
                    </w:tabs>
                    <w:adjustRightInd w:val="0"/>
                    <w:snapToGrid w:val="0"/>
                    <w:jc w:val="center"/>
                    <w:rPr>
                      <w:sz w:val="21"/>
                      <w:szCs w:val="21"/>
                    </w:rPr>
                  </w:pPr>
                  <w:r>
                    <w:rPr>
                      <w:sz w:val="21"/>
                      <w:szCs w:val="21"/>
                    </w:rPr>
                    <w:t>DA001</w:t>
                  </w:r>
                  <w:r>
                    <w:rPr>
                      <w:rFonts w:hint="eastAsia" w:hAnsi="宋体"/>
                      <w:sz w:val="21"/>
                      <w:szCs w:val="21"/>
                    </w:rPr>
                    <w:t>排气筒</w:t>
                  </w:r>
                </w:p>
              </w:tc>
              <w:tc>
                <w:tcPr>
                  <w:tcW w:w="2893" w:type="dxa"/>
                  <w:tcBorders>
                    <w:top w:val="single" w:color="auto" w:sz="8" w:space="0"/>
                    <w:left w:val="single" w:color="auto" w:sz="4" w:space="0"/>
                    <w:bottom w:val="single" w:color="auto" w:sz="4" w:space="0"/>
                    <w:right w:val="single" w:color="auto" w:sz="4" w:space="0"/>
                  </w:tcBorders>
                  <w:vAlign w:val="center"/>
                </w:tcPr>
                <w:p>
                  <w:pPr>
                    <w:tabs>
                      <w:tab w:val="left" w:pos="3620"/>
                    </w:tabs>
                    <w:adjustRightInd w:val="0"/>
                    <w:snapToGrid w:val="0"/>
                    <w:jc w:val="center"/>
                    <w:rPr>
                      <w:sz w:val="21"/>
                      <w:szCs w:val="21"/>
                    </w:rPr>
                  </w:pPr>
                  <w:r>
                    <w:rPr>
                      <w:rFonts w:hint="eastAsia" w:hAnsi="宋体"/>
                      <w:sz w:val="21"/>
                      <w:szCs w:val="21"/>
                    </w:rPr>
                    <w:t>颗粒物</w:t>
                  </w:r>
                </w:p>
              </w:tc>
              <w:tc>
                <w:tcPr>
                  <w:tcW w:w="2893" w:type="dxa"/>
                  <w:tcBorders>
                    <w:top w:val="single" w:color="auto" w:sz="8" w:space="0"/>
                    <w:left w:val="single" w:color="auto" w:sz="4" w:space="0"/>
                    <w:bottom w:val="single" w:color="auto" w:sz="4" w:space="0"/>
                    <w:right w:val="nil"/>
                  </w:tcBorders>
                  <w:vAlign w:val="center"/>
                </w:tcPr>
                <w:p>
                  <w:pPr>
                    <w:tabs>
                      <w:tab w:val="left" w:pos="3620"/>
                    </w:tabs>
                    <w:adjustRightInd w:val="0"/>
                    <w:snapToGrid w:val="0"/>
                    <w:jc w:val="center"/>
                    <w:rPr>
                      <w:rFonts w:hint="default" w:eastAsia="宋体"/>
                      <w:color w:val="auto"/>
                      <w:sz w:val="21"/>
                      <w:szCs w:val="21"/>
                      <w:lang w:val="en-US" w:eastAsia="zh-CN"/>
                    </w:rPr>
                  </w:pPr>
                  <w:r>
                    <w:rPr>
                      <w:rFonts w:hint="eastAsia" w:hAnsi="宋体"/>
                      <w:color w:val="auto"/>
                      <w:sz w:val="21"/>
                      <w:szCs w:val="21"/>
                      <w:lang w:val="en-US" w:eastAsia="zh-CN"/>
                    </w:rPr>
                    <w:t>1次/两年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93" w:type="dxa"/>
                  <w:tcBorders>
                    <w:top w:val="single" w:color="auto" w:sz="4" w:space="0"/>
                    <w:left w:val="nil"/>
                    <w:bottom w:val="single" w:color="auto" w:sz="4" w:space="0"/>
                    <w:right w:val="single" w:color="auto" w:sz="4" w:space="0"/>
                  </w:tcBorders>
                  <w:vAlign w:val="center"/>
                </w:tcPr>
                <w:p>
                  <w:pPr>
                    <w:jc w:val="center"/>
                  </w:pPr>
                  <w:r>
                    <w:rPr>
                      <w:sz w:val="21"/>
                      <w:szCs w:val="21"/>
                    </w:rPr>
                    <w:t>DA002</w:t>
                  </w:r>
                  <w:r>
                    <w:rPr>
                      <w:rFonts w:hint="eastAsia" w:hAnsi="宋体"/>
                      <w:sz w:val="21"/>
                      <w:szCs w:val="21"/>
                    </w:rPr>
                    <w:t>排气筒</w:t>
                  </w:r>
                </w:p>
              </w:tc>
              <w:tc>
                <w:tcPr>
                  <w:tcW w:w="2893" w:type="dxa"/>
                  <w:tcBorders>
                    <w:top w:val="single" w:color="auto" w:sz="4" w:space="0"/>
                    <w:left w:val="single" w:color="auto" w:sz="4" w:space="0"/>
                    <w:bottom w:val="single" w:color="auto" w:sz="4" w:space="0"/>
                    <w:right w:val="single" w:color="auto" w:sz="4" w:space="0"/>
                  </w:tcBorders>
                  <w:vAlign w:val="center"/>
                </w:tcPr>
                <w:p>
                  <w:pPr>
                    <w:tabs>
                      <w:tab w:val="left" w:pos="3620"/>
                    </w:tabs>
                    <w:adjustRightInd w:val="0"/>
                    <w:snapToGrid w:val="0"/>
                    <w:jc w:val="center"/>
                    <w:rPr>
                      <w:sz w:val="21"/>
                      <w:szCs w:val="21"/>
                    </w:rPr>
                  </w:pPr>
                  <w:r>
                    <w:rPr>
                      <w:rFonts w:hint="eastAsia" w:hAnsi="宋体"/>
                      <w:sz w:val="21"/>
                      <w:szCs w:val="21"/>
                    </w:rPr>
                    <w:t>颗粒物</w:t>
                  </w:r>
                </w:p>
              </w:tc>
              <w:tc>
                <w:tcPr>
                  <w:tcW w:w="2893" w:type="dxa"/>
                  <w:tcBorders>
                    <w:top w:val="single" w:color="auto" w:sz="4" w:space="0"/>
                    <w:left w:val="single" w:color="auto" w:sz="4" w:space="0"/>
                    <w:bottom w:val="single" w:color="auto" w:sz="4" w:space="0"/>
                    <w:right w:val="nil"/>
                  </w:tcBorders>
                  <w:vAlign w:val="center"/>
                </w:tcPr>
                <w:p>
                  <w:pPr>
                    <w:tabs>
                      <w:tab w:val="left" w:pos="3620"/>
                    </w:tabs>
                    <w:adjustRightInd w:val="0"/>
                    <w:snapToGrid w:val="0"/>
                    <w:jc w:val="center"/>
                    <w:rPr>
                      <w:color w:val="auto"/>
                      <w:sz w:val="21"/>
                      <w:szCs w:val="21"/>
                      <w:lang w:val="en-GB"/>
                    </w:rPr>
                  </w:pPr>
                  <w:r>
                    <w:rPr>
                      <w:rFonts w:hint="eastAsia" w:hAnsi="宋体"/>
                      <w:color w:val="auto"/>
                      <w:sz w:val="21"/>
                      <w:szCs w:val="21"/>
                      <w:lang w:val="en-US" w:eastAsia="zh-CN"/>
                    </w:rPr>
                    <w:t>1次/两年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93" w:type="dxa"/>
                  <w:tcBorders>
                    <w:top w:val="single" w:color="auto" w:sz="4" w:space="0"/>
                    <w:left w:val="nil"/>
                    <w:bottom w:val="single" w:color="auto" w:sz="4" w:space="0"/>
                    <w:right w:val="single" w:color="auto" w:sz="4" w:space="0"/>
                  </w:tcBorders>
                  <w:vAlign w:val="center"/>
                </w:tcPr>
                <w:p>
                  <w:pPr>
                    <w:jc w:val="center"/>
                  </w:pPr>
                  <w:r>
                    <w:rPr>
                      <w:sz w:val="21"/>
                      <w:szCs w:val="21"/>
                    </w:rPr>
                    <w:t>DA003</w:t>
                  </w:r>
                  <w:r>
                    <w:rPr>
                      <w:rFonts w:hint="eastAsia" w:hAnsi="宋体"/>
                      <w:sz w:val="21"/>
                      <w:szCs w:val="21"/>
                    </w:rPr>
                    <w:t>排气筒</w:t>
                  </w:r>
                </w:p>
              </w:tc>
              <w:tc>
                <w:tcPr>
                  <w:tcW w:w="2893" w:type="dxa"/>
                  <w:tcBorders>
                    <w:top w:val="single" w:color="auto" w:sz="4" w:space="0"/>
                    <w:left w:val="single" w:color="auto" w:sz="4" w:space="0"/>
                    <w:bottom w:val="single" w:color="auto" w:sz="4" w:space="0"/>
                    <w:right w:val="single" w:color="auto" w:sz="4" w:space="0"/>
                  </w:tcBorders>
                  <w:vAlign w:val="center"/>
                </w:tcPr>
                <w:p>
                  <w:pPr>
                    <w:tabs>
                      <w:tab w:val="left" w:pos="3620"/>
                    </w:tabs>
                    <w:adjustRightInd w:val="0"/>
                    <w:snapToGrid w:val="0"/>
                    <w:jc w:val="center"/>
                    <w:rPr>
                      <w:sz w:val="21"/>
                      <w:szCs w:val="21"/>
                    </w:rPr>
                  </w:pPr>
                  <w:r>
                    <w:rPr>
                      <w:rFonts w:hint="eastAsia" w:hAnsi="宋体"/>
                      <w:sz w:val="21"/>
                      <w:szCs w:val="21"/>
                    </w:rPr>
                    <w:t>颗粒物</w:t>
                  </w:r>
                </w:p>
              </w:tc>
              <w:tc>
                <w:tcPr>
                  <w:tcW w:w="2893" w:type="dxa"/>
                  <w:tcBorders>
                    <w:top w:val="single" w:color="auto" w:sz="4" w:space="0"/>
                    <w:left w:val="single" w:color="auto" w:sz="4" w:space="0"/>
                    <w:bottom w:val="single" w:color="auto" w:sz="4" w:space="0"/>
                    <w:right w:val="nil"/>
                  </w:tcBorders>
                  <w:vAlign w:val="center"/>
                </w:tcPr>
                <w:p>
                  <w:pPr>
                    <w:tabs>
                      <w:tab w:val="left" w:pos="3620"/>
                    </w:tabs>
                    <w:adjustRightInd w:val="0"/>
                    <w:snapToGrid w:val="0"/>
                    <w:jc w:val="center"/>
                    <w:rPr>
                      <w:color w:val="auto"/>
                      <w:sz w:val="21"/>
                      <w:szCs w:val="21"/>
                    </w:rPr>
                  </w:pPr>
                  <w:r>
                    <w:rPr>
                      <w:rFonts w:hint="eastAsia" w:hAnsi="宋体"/>
                      <w:color w:val="auto"/>
                      <w:sz w:val="21"/>
                      <w:szCs w:val="21"/>
                      <w:lang w:val="en-US" w:eastAsia="zh-CN"/>
                    </w:rPr>
                    <w:t>1次/两年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93" w:type="dxa"/>
                  <w:tcBorders>
                    <w:top w:val="single" w:color="auto" w:sz="4" w:space="0"/>
                    <w:left w:val="nil"/>
                    <w:bottom w:val="single" w:color="auto" w:sz="8" w:space="0"/>
                    <w:right w:val="single" w:color="auto" w:sz="4" w:space="0"/>
                  </w:tcBorders>
                  <w:vAlign w:val="center"/>
                </w:tcPr>
                <w:p>
                  <w:pPr>
                    <w:widowControl/>
                    <w:jc w:val="center"/>
                    <w:rPr>
                      <w:rFonts w:hAnsi="宋体"/>
                      <w:sz w:val="21"/>
                      <w:szCs w:val="21"/>
                    </w:rPr>
                  </w:pPr>
                  <w:r>
                    <w:rPr>
                      <w:rFonts w:hint="eastAsia" w:hAnsi="宋体"/>
                      <w:sz w:val="21"/>
                      <w:szCs w:val="21"/>
                    </w:rPr>
                    <w:t>厂 界</w:t>
                  </w:r>
                </w:p>
              </w:tc>
              <w:tc>
                <w:tcPr>
                  <w:tcW w:w="2893" w:type="dxa"/>
                  <w:tcBorders>
                    <w:top w:val="single" w:color="auto" w:sz="4" w:space="0"/>
                    <w:left w:val="single" w:color="auto" w:sz="4" w:space="0"/>
                    <w:bottom w:val="single" w:color="auto" w:sz="8" w:space="0"/>
                    <w:right w:val="single" w:color="auto" w:sz="4" w:space="0"/>
                  </w:tcBorders>
                  <w:vAlign w:val="center"/>
                </w:tcPr>
                <w:p>
                  <w:pPr>
                    <w:tabs>
                      <w:tab w:val="left" w:pos="3620"/>
                    </w:tabs>
                    <w:adjustRightInd w:val="0"/>
                    <w:snapToGrid w:val="0"/>
                    <w:jc w:val="center"/>
                    <w:rPr>
                      <w:sz w:val="21"/>
                      <w:szCs w:val="21"/>
                    </w:rPr>
                  </w:pPr>
                  <w:r>
                    <w:rPr>
                      <w:rFonts w:hint="eastAsia" w:hAnsi="宋体"/>
                      <w:sz w:val="21"/>
                      <w:szCs w:val="21"/>
                    </w:rPr>
                    <w:t>颗粒物</w:t>
                  </w:r>
                </w:p>
              </w:tc>
              <w:tc>
                <w:tcPr>
                  <w:tcW w:w="2893" w:type="dxa"/>
                  <w:tcBorders>
                    <w:top w:val="single" w:color="auto" w:sz="4" w:space="0"/>
                    <w:left w:val="single" w:color="auto" w:sz="4" w:space="0"/>
                    <w:bottom w:val="single" w:color="auto" w:sz="8" w:space="0"/>
                    <w:right w:val="nil"/>
                  </w:tcBorders>
                  <w:vAlign w:val="center"/>
                </w:tcPr>
                <w:p>
                  <w:pPr>
                    <w:tabs>
                      <w:tab w:val="left" w:pos="3620"/>
                    </w:tabs>
                    <w:adjustRightInd w:val="0"/>
                    <w:snapToGrid w:val="0"/>
                    <w:jc w:val="center"/>
                    <w:rPr>
                      <w:sz w:val="21"/>
                      <w:szCs w:val="21"/>
                      <w:lang w:val="en-GB"/>
                    </w:rPr>
                  </w:pPr>
                  <w:r>
                    <w:rPr>
                      <w:rFonts w:hint="eastAsia" w:hAnsi="宋体"/>
                      <w:sz w:val="21"/>
                      <w:szCs w:val="21"/>
                      <w:lang w:val="en-GB"/>
                    </w:rPr>
                    <w:t>季度/次</w:t>
                  </w:r>
                </w:p>
              </w:tc>
            </w:tr>
          </w:tbl>
          <w:p>
            <w:pPr>
              <w:adjustRightInd w:val="0"/>
              <w:spacing w:line="440" w:lineRule="exact"/>
              <w:rPr>
                <w:b/>
                <w:sz w:val="24"/>
              </w:rPr>
            </w:pPr>
            <w:r>
              <w:rPr>
                <w:rFonts w:hint="eastAsia"/>
                <w:b/>
                <w:sz w:val="24"/>
              </w:rPr>
              <w:t xml:space="preserve">    二、废水</w:t>
            </w:r>
          </w:p>
          <w:p>
            <w:pPr>
              <w:spacing w:line="460" w:lineRule="exact"/>
              <w:ind w:firstLine="480" w:firstLineChars="200"/>
              <w:rPr>
                <w:sz w:val="24"/>
              </w:rPr>
            </w:pPr>
            <w:r>
              <w:rPr>
                <w:rFonts w:hint="eastAsia"/>
                <w:sz w:val="24"/>
              </w:rPr>
              <w:t>本项目营运期用排水情况如下：</w:t>
            </w:r>
          </w:p>
          <w:p>
            <w:pPr>
              <w:spacing w:line="460" w:lineRule="exact"/>
              <w:ind w:firstLine="480" w:firstLineChars="200"/>
              <w:rPr>
                <w:sz w:val="24"/>
              </w:rPr>
            </w:pPr>
            <w:r>
              <w:rPr>
                <w:sz w:val="24"/>
              </w:rPr>
              <w:t>1</w:t>
            </w:r>
            <w:r>
              <w:rPr>
                <w:rFonts w:hint="eastAsia"/>
                <w:sz w:val="24"/>
              </w:rPr>
              <w:t>、原料添加用水</w:t>
            </w:r>
          </w:p>
          <w:p>
            <w:pPr>
              <w:spacing w:line="460" w:lineRule="exact"/>
              <w:ind w:firstLine="480" w:firstLineChars="200"/>
              <w:rPr>
                <w:sz w:val="24"/>
              </w:rPr>
            </w:pPr>
            <w:r>
              <w:rPr>
                <w:rFonts w:hint="eastAsia"/>
                <w:sz w:val="24"/>
              </w:rPr>
              <w:t>混凝土搅拌过程需加入拌料水，本项目拌料水加入量约为</w:t>
            </w:r>
            <w:r>
              <w:rPr>
                <w:rFonts w:hint="eastAsia"/>
                <w:sz w:val="24"/>
                <w:lang w:val="en-US" w:eastAsia="zh-CN"/>
              </w:rPr>
              <w:t>7.38</w:t>
            </w:r>
            <w:r>
              <w:rPr>
                <w:rFonts w:hint="eastAsia"/>
                <w:sz w:val="24"/>
              </w:rPr>
              <w:t>万</w:t>
            </w:r>
            <w:r>
              <w:rPr>
                <w:sz w:val="24"/>
              </w:rPr>
              <w:t>t/a</w:t>
            </w:r>
            <w:r>
              <w:rPr>
                <w:rFonts w:hint="eastAsia"/>
                <w:sz w:val="24"/>
              </w:rPr>
              <w:t>（</w:t>
            </w:r>
            <w:r>
              <w:rPr>
                <w:rFonts w:hint="eastAsia"/>
                <w:sz w:val="24"/>
                <w:lang w:val="en-US" w:eastAsia="zh-CN"/>
              </w:rPr>
              <w:t>246</w:t>
            </w:r>
            <w:r>
              <w:rPr>
                <w:rFonts w:hint="eastAsia"/>
                <w:sz w:val="24"/>
              </w:rPr>
              <w:t>t/d），此部分拌料水进入产品，不外排。</w:t>
            </w:r>
          </w:p>
          <w:p>
            <w:pPr>
              <w:spacing w:line="440" w:lineRule="exact"/>
              <w:ind w:firstLine="480" w:firstLineChars="200"/>
              <w:rPr>
                <w:sz w:val="24"/>
              </w:rPr>
            </w:pPr>
            <w:r>
              <w:rPr>
                <w:sz w:val="24"/>
              </w:rPr>
              <w:t>2</w:t>
            </w:r>
            <w:r>
              <w:rPr>
                <w:rFonts w:hint="eastAsia"/>
                <w:sz w:val="24"/>
              </w:rPr>
              <w:t>、设备清洗废水</w:t>
            </w:r>
          </w:p>
          <w:p>
            <w:pPr>
              <w:spacing w:line="420" w:lineRule="exact"/>
              <w:ind w:firstLine="480" w:firstLineChars="200"/>
              <w:jc w:val="left"/>
              <w:rPr>
                <w:bCs/>
                <w:sz w:val="24"/>
              </w:rPr>
            </w:pPr>
            <w:r>
              <w:rPr>
                <w:rFonts w:hint="eastAsia"/>
                <w:sz w:val="24"/>
              </w:rPr>
              <w:t>搅拌机为主要生产设备，在暂停生产时必须冲洗干净，以防止机内混凝土结块。按搅拌机平均每</w:t>
            </w:r>
            <w:r>
              <w:rPr>
                <w:sz w:val="24"/>
              </w:rPr>
              <w:t>1</w:t>
            </w:r>
            <w:r>
              <w:rPr>
                <w:rFonts w:hint="eastAsia"/>
                <w:sz w:val="24"/>
              </w:rPr>
              <w:t>天冲洗</w:t>
            </w:r>
            <w:r>
              <w:rPr>
                <w:sz w:val="24"/>
              </w:rPr>
              <w:t>1</w:t>
            </w:r>
            <w:r>
              <w:rPr>
                <w:rFonts w:hint="eastAsia"/>
                <w:sz w:val="24"/>
              </w:rPr>
              <w:t>次，</w:t>
            </w:r>
            <w:r>
              <w:rPr>
                <w:rFonts w:hint="eastAsia"/>
                <w:bCs/>
                <w:sz w:val="24"/>
              </w:rPr>
              <w:t>单台搅拌机单次冲洗用水量为1m</w:t>
            </w:r>
            <w:r>
              <w:rPr>
                <w:rFonts w:hint="eastAsia"/>
                <w:bCs/>
                <w:sz w:val="24"/>
                <w:vertAlign w:val="superscript"/>
              </w:rPr>
              <w:t>3</w:t>
            </w:r>
            <w:r>
              <w:rPr>
                <w:rFonts w:hint="eastAsia"/>
                <w:bCs/>
                <w:sz w:val="24"/>
              </w:rPr>
              <w:t>，本项目搅拌机共2台，则本项目设备冲洗废水产生量为2t/d（600t/a），该部分废水经砂石分离机分离后排入厂区沉淀池处理，处理后回用于生产不外排。</w:t>
            </w:r>
          </w:p>
          <w:p>
            <w:pPr>
              <w:spacing w:line="420" w:lineRule="exact"/>
              <w:ind w:firstLine="480" w:firstLineChars="200"/>
              <w:jc w:val="left"/>
              <w:rPr>
                <w:bCs/>
                <w:sz w:val="24"/>
              </w:rPr>
            </w:pPr>
            <w:r>
              <w:rPr>
                <w:rFonts w:hint="eastAsia"/>
                <w:bCs/>
                <w:sz w:val="24"/>
              </w:rPr>
              <w:t>3</w:t>
            </w:r>
            <w:r>
              <w:rPr>
                <w:rFonts w:hint="eastAsia"/>
                <w:bCs/>
                <w:sz w:val="24"/>
                <w:lang w:eastAsia="zh-CN"/>
              </w:rPr>
              <w:t>、</w:t>
            </w:r>
            <w:r>
              <w:rPr>
                <w:rFonts w:hint="eastAsia"/>
                <w:bCs/>
                <w:sz w:val="24"/>
              </w:rPr>
              <w:t>车辆冲洗废水</w:t>
            </w:r>
          </w:p>
          <w:p>
            <w:pPr>
              <w:keepNext w:val="0"/>
              <w:keepLines w:val="0"/>
              <w:pageBreakBefore w:val="0"/>
              <w:widowControl w:val="0"/>
              <w:kinsoku/>
              <w:wordWrap/>
              <w:overflowPunct/>
              <w:topLinePunct w:val="0"/>
              <w:autoSpaceDE/>
              <w:autoSpaceDN/>
              <w:bidi w:val="0"/>
              <w:spacing w:line="460" w:lineRule="exact"/>
              <w:ind w:firstLine="480" w:firstLineChars="200"/>
              <w:jc w:val="left"/>
              <w:rPr>
                <w:rFonts w:hint="eastAsia" w:hAnsi="宋体"/>
                <w:color w:val="000000"/>
                <w:sz w:val="24"/>
              </w:rPr>
            </w:pPr>
            <w:r>
              <w:rPr>
                <w:rFonts w:hint="eastAsia"/>
                <w:bCs/>
                <w:sz w:val="24"/>
                <w:lang w:val="en-US" w:eastAsia="zh-CN"/>
              </w:rPr>
              <w:t>项目</w:t>
            </w:r>
            <w:r>
              <w:rPr>
                <w:bCs/>
                <w:sz w:val="24"/>
              </w:rPr>
              <w:t>原材料及成品的运进驶出会使车辆轮胎不同程度的沾染灰尘，为防止运货车辆带尘出厂，评价提出在厂区出</w:t>
            </w:r>
            <w:r>
              <w:rPr>
                <w:rFonts w:hint="eastAsia"/>
                <w:bCs/>
                <w:sz w:val="24"/>
              </w:rPr>
              <w:t>入</w:t>
            </w:r>
            <w:r>
              <w:rPr>
                <w:bCs/>
                <w:sz w:val="24"/>
              </w:rPr>
              <w:t>口处</w:t>
            </w:r>
            <w:r>
              <w:rPr>
                <w:rFonts w:hint="eastAsia"/>
                <w:bCs/>
                <w:sz w:val="24"/>
              </w:rPr>
              <w:t>安装车辆自动冲洗装置</w:t>
            </w:r>
            <w:r>
              <w:rPr>
                <w:bCs/>
                <w:sz w:val="24"/>
              </w:rPr>
              <w:t>对出厂车辆轮胎进行冲洗，项目营运期出厂车辆约为</w:t>
            </w:r>
            <w:r>
              <w:rPr>
                <w:rFonts w:hint="eastAsia"/>
                <w:bCs/>
                <w:sz w:val="24"/>
              </w:rPr>
              <w:t>200</w:t>
            </w:r>
            <w:r>
              <w:rPr>
                <w:bCs/>
                <w:sz w:val="24"/>
              </w:rPr>
              <w:t>辆次/日，消耗量按每驶出一辆车20L水计，</w:t>
            </w:r>
            <w:r>
              <w:rPr>
                <w:rFonts w:hint="eastAsia"/>
                <w:color w:val="000000"/>
                <w:sz w:val="24"/>
              </w:rPr>
              <w:t>运输车辆清洗用水量为</w:t>
            </w:r>
            <w:r>
              <w:rPr>
                <w:rFonts w:hint="eastAsia"/>
                <w:sz w:val="24"/>
                <w:lang w:val="en-US" w:eastAsia="zh-CN"/>
              </w:rPr>
              <w:t>4</w:t>
            </w:r>
            <w:r>
              <w:rPr>
                <w:rFonts w:hint="eastAsia"/>
                <w:sz w:val="24"/>
              </w:rPr>
              <w:t>t/d（</w:t>
            </w:r>
            <w:r>
              <w:rPr>
                <w:rFonts w:hint="eastAsia"/>
                <w:sz w:val="24"/>
                <w:lang w:val="en-US" w:eastAsia="zh-CN"/>
              </w:rPr>
              <w:t>1200</w:t>
            </w:r>
            <w:r>
              <w:rPr>
                <w:rFonts w:hint="eastAsia"/>
                <w:sz w:val="24"/>
              </w:rPr>
              <w:t>t/a）</w:t>
            </w:r>
            <w:r>
              <w:rPr>
                <w:rFonts w:hint="eastAsia"/>
                <w:color w:val="000000"/>
                <w:sz w:val="24"/>
              </w:rPr>
              <w:t>，产污系数按0.9计，则运输车辆清洗废水产生量为</w:t>
            </w:r>
            <w:r>
              <w:rPr>
                <w:rFonts w:hint="eastAsia"/>
                <w:color w:val="000000"/>
                <w:sz w:val="24"/>
                <w:lang w:val="en-US" w:eastAsia="zh-CN"/>
              </w:rPr>
              <w:t>3.6</w:t>
            </w:r>
            <w:r>
              <w:rPr>
                <w:rFonts w:hint="eastAsia"/>
                <w:sz w:val="24"/>
              </w:rPr>
              <w:t>t/d（</w:t>
            </w:r>
            <w:r>
              <w:rPr>
                <w:rFonts w:hint="eastAsia"/>
                <w:sz w:val="24"/>
                <w:lang w:val="en-US" w:eastAsia="zh-CN"/>
              </w:rPr>
              <w:t>1080</w:t>
            </w:r>
            <w:r>
              <w:rPr>
                <w:rFonts w:hint="eastAsia"/>
                <w:sz w:val="24"/>
              </w:rPr>
              <w:t>t/a）</w:t>
            </w:r>
            <w:r>
              <w:rPr>
                <w:rFonts w:hint="eastAsia"/>
                <w:color w:val="000000"/>
                <w:sz w:val="24"/>
              </w:rPr>
              <w:t>，运输车辆清洗废水经沉淀池处理后回用于运输车辆清洗，不外排，定期补充新鲜水，补充量为</w:t>
            </w:r>
            <w:r>
              <w:rPr>
                <w:rFonts w:hint="eastAsia"/>
                <w:sz w:val="24"/>
                <w:lang w:val="en-US" w:eastAsia="zh-CN"/>
              </w:rPr>
              <w:t>0.4</w:t>
            </w:r>
            <w:r>
              <w:rPr>
                <w:rFonts w:hint="eastAsia"/>
                <w:sz w:val="24"/>
              </w:rPr>
              <w:t>t/d（</w:t>
            </w:r>
            <w:r>
              <w:rPr>
                <w:rFonts w:hint="eastAsia"/>
                <w:sz w:val="24"/>
                <w:lang w:val="en-US" w:eastAsia="zh-CN"/>
              </w:rPr>
              <w:t>120</w:t>
            </w:r>
            <w:r>
              <w:rPr>
                <w:rFonts w:hint="eastAsia"/>
                <w:sz w:val="24"/>
              </w:rPr>
              <w:t>t/a）</w:t>
            </w:r>
            <w:r>
              <w:rPr>
                <w:rFonts w:hint="eastAsia"/>
                <w:color w:val="000000"/>
                <w:sz w:val="24"/>
              </w:rPr>
              <w:t>。</w:t>
            </w:r>
          </w:p>
          <w:p>
            <w:pPr>
              <w:keepNext w:val="0"/>
              <w:keepLines w:val="0"/>
              <w:pageBreakBefore w:val="0"/>
              <w:widowControl w:val="0"/>
              <w:kinsoku/>
              <w:wordWrap/>
              <w:overflowPunct/>
              <w:topLinePunct w:val="0"/>
              <w:autoSpaceDE/>
              <w:autoSpaceDN/>
              <w:bidi w:val="0"/>
              <w:spacing w:line="460" w:lineRule="exact"/>
              <w:ind w:firstLine="480" w:firstLineChars="200"/>
              <w:jc w:val="left"/>
              <w:rPr>
                <w:bCs/>
                <w:sz w:val="24"/>
              </w:rPr>
            </w:pPr>
            <w:r>
              <w:rPr>
                <w:rFonts w:hint="eastAsia"/>
                <w:bCs/>
                <w:sz w:val="24"/>
              </w:rPr>
              <w:t>4</w:t>
            </w:r>
            <w:r>
              <w:rPr>
                <w:rFonts w:hint="eastAsia"/>
                <w:bCs/>
                <w:sz w:val="24"/>
                <w:lang w:eastAsia="zh-CN"/>
              </w:rPr>
              <w:t>、</w:t>
            </w:r>
            <w:r>
              <w:rPr>
                <w:bCs/>
                <w:sz w:val="24"/>
              </w:rPr>
              <w:t>喷雾洒水装置用水</w:t>
            </w:r>
          </w:p>
          <w:p>
            <w:pPr>
              <w:keepNext w:val="0"/>
              <w:keepLines w:val="0"/>
              <w:pageBreakBefore w:val="0"/>
              <w:widowControl w:val="0"/>
              <w:kinsoku/>
              <w:wordWrap/>
              <w:overflowPunct/>
              <w:topLinePunct w:val="0"/>
              <w:autoSpaceDE/>
              <w:autoSpaceDN/>
              <w:bidi w:val="0"/>
              <w:spacing w:line="460" w:lineRule="exact"/>
              <w:ind w:firstLine="480" w:firstLineChars="200"/>
              <w:jc w:val="left"/>
              <w:rPr>
                <w:rFonts w:hint="eastAsia" w:eastAsia="宋体"/>
                <w:bCs/>
                <w:sz w:val="24"/>
                <w:lang w:eastAsia="zh-CN"/>
              </w:rPr>
            </w:pPr>
            <w:r>
              <w:rPr>
                <w:bCs/>
                <w:sz w:val="24"/>
              </w:rPr>
              <w:t>本项目</w:t>
            </w:r>
            <w:r>
              <w:rPr>
                <w:rFonts w:hint="eastAsia"/>
                <w:bCs/>
                <w:sz w:val="24"/>
              </w:rPr>
              <w:t>原料储存库内、</w:t>
            </w:r>
            <w:r>
              <w:rPr>
                <w:bCs/>
                <w:sz w:val="24"/>
              </w:rPr>
              <w:t>车间内设置有喷雾洒水装置，该装置用水量为</w:t>
            </w:r>
            <w:r>
              <w:rPr>
                <w:rFonts w:hint="eastAsia"/>
                <w:bCs/>
                <w:sz w:val="24"/>
              </w:rPr>
              <w:t>5</w:t>
            </w:r>
            <w:r>
              <w:rPr>
                <w:bCs/>
                <w:sz w:val="24"/>
              </w:rPr>
              <w:t>t/d</w:t>
            </w:r>
            <w:r>
              <w:rPr>
                <w:rFonts w:hint="eastAsia"/>
                <w:bCs/>
                <w:sz w:val="24"/>
              </w:rPr>
              <w:t>（1500t/a）</w:t>
            </w:r>
            <w:r>
              <w:rPr>
                <w:bCs/>
                <w:sz w:val="24"/>
              </w:rPr>
              <w:t>，该部分水主要以蒸发形态散失，不外排。</w:t>
            </w:r>
          </w:p>
          <w:p>
            <w:pPr>
              <w:keepNext w:val="0"/>
              <w:keepLines w:val="0"/>
              <w:pageBreakBefore w:val="0"/>
              <w:widowControl w:val="0"/>
              <w:kinsoku/>
              <w:wordWrap/>
              <w:overflowPunct/>
              <w:topLinePunct w:val="0"/>
              <w:autoSpaceDE/>
              <w:autoSpaceDN/>
              <w:bidi w:val="0"/>
              <w:spacing w:line="460" w:lineRule="exact"/>
              <w:ind w:firstLine="480" w:firstLineChars="200"/>
              <w:jc w:val="left"/>
              <w:rPr>
                <w:rFonts w:hint="eastAsia"/>
                <w:bCs/>
                <w:sz w:val="24"/>
                <w:lang w:val="en-US" w:eastAsia="zh-CN"/>
              </w:rPr>
            </w:pPr>
            <w:r>
              <w:rPr>
                <w:rFonts w:hint="eastAsia"/>
                <w:bCs/>
                <w:sz w:val="24"/>
                <w:lang w:val="en-US" w:eastAsia="zh-CN"/>
              </w:rPr>
              <w:t>5、生活污水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color w:val="000000" w:themeColor="text1"/>
                <w:sz w:val="24"/>
                <w14:textFill>
                  <w14:solidFill>
                    <w14:schemeClr w14:val="tx1"/>
                  </w14:solidFill>
                </w14:textFill>
              </w:rPr>
            </w:pPr>
            <w:r>
              <w:rPr>
                <w:rFonts w:hint="eastAsia"/>
                <w:bCs/>
                <w:sz w:val="24"/>
              </w:rPr>
              <w:t>本项目职工日常生活会产生生活污水，本项目核定职工20人，厂区内无食堂，职工</w:t>
            </w:r>
            <w:r>
              <w:rPr>
                <w:bCs/>
                <w:sz w:val="24"/>
              </w:rPr>
              <w:t>的人均生活用水量以</w:t>
            </w:r>
            <w:r>
              <w:rPr>
                <w:rFonts w:hint="eastAsia"/>
                <w:bCs/>
                <w:sz w:val="24"/>
              </w:rPr>
              <w:t>3</w:t>
            </w:r>
            <w:r>
              <w:rPr>
                <w:bCs/>
                <w:sz w:val="24"/>
              </w:rPr>
              <w:t>0L/d计</w:t>
            </w:r>
            <w:r>
              <w:rPr>
                <w:rFonts w:hint="eastAsia"/>
                <w:bCs/>
                <w:sz w:val="24"/>
              </w:rPr>
              <w:t>，产污</w:t>
            </w:r>
            <w:r>
              <w:rPr>
                <w:bCs/>
                <w:sz w:val="24"/>
              </w:rPr>
              <w:t>系数以0.8计，项目生活污水量为</w:t>
            </w:r>
            <w:r>
              <w:rPr>
                <w:rFonts w:hint="eastAsia"/>
                <w:bCs/>
                <w:sz w:val="24"/>
              </w:rPr>
              <w:t>0.48</w:t>
            </w:r>
            <w:r>
              <w:rPr>
                <w:bCs/>
                <w:sz w:val="24"/>
              </w:rPr>
              <w:t>t/d（</w:t>
            </w:r>
            <w:r>
              <w:rPr>
                <w:rFonts w:hint="eastAsia"/>
                <w:bCs/>
                <w:sz w:val="24"/>
              </w:rPr>
              <w:t>144</w:t>
            </w:r>
            <w:r>
              <w:rPr>
                <w:bCs/>
                <w:sz w:val="24"/>
              </w:rPr>
              <w:t>t/a）</w:t>
            </w:r>
            <w:r>
              <w:rPr>
                <w:rFonts w:hint="eastAsia"/>
                <w:bCs/>
                <w:sz w:val="24"/>
              </w:rPr>
              <w:t>，生活污水水质为：</w:t>
            </w:r>
            <w:r>
              <w:rPr>
                <w:bCs/>
                <w:sz w:val="24"/>
              </w:rPr>
              <w:t>COD</w:t>
            </w:r>
            <w:r>
              <w:rPr>
                <w:rFonts w:hint="eastAsia"/>
                <w:bCs/>
                <w:sz w:val="24"/>
              </w:rPr>
              <w:t>300</w:t>
            </w:r>
            <w:r>
              <w:rPr>
                <w:bCs/>
                <w:sz w:val="24"/>
              </w:rPr>
              <w:t>mg/L、SS</w:t>
            </w:r>
            <w:r>
              <w:rPr>
                <w:rFonts w:hint="eastAsia"/>
                <w:bCs/>
                <w:sz w:val="24"/>
              </w:rPr>
              <w:t>25</w:t>
            </w:r>
            <w:r>
              <w:rPr>
                <w:bCs/>
                <w:sz w:val="24"/>
              </w:rPr>
              <w:t>0mg/L、</w:t>
            </w:r>
            <w:r>
              <w:rPr>
                <w:rFonts w:hint="eastAsia"/>
                <w:bCs/>
                <w:sz w:val="24"/>
              </w:rPr>
              <w:t>NH</w:t>
            </w:r>
            <w:r>
              <w:rPr>
                <w:rFonts w:hint="eastAsia"/>
                <w:bCs/>
                <w:sz w:val="24"/>
                <w:vertAlign w:val="subscript"/>
              </w:rPr>
              <w:t>3</w:t>
            </w:r>
            <w:r>
              <w:rPr>
                <w:rFonts w:hint="eastAsia"/>
                <w:bCs/>
                <w:sz w:val="24"/>
              </w:rPr>
              <w:t>-N</w:t>
            </w:r>
            <w:r>
              <w:rPr>
                <w:bCs/>
                <w:sz w:val="24"/>
              </w:rPr>
              <w:t>2</w:t>
            </w:r>
            <w:r>
              <w:rPr>
                <w:rFonts w:hint="eastAsia"/>
                <w:bCs/>
                <w:sz w:val="24"/>
              </w:rPr>
              <w:t>5</w:t>
            </w:r>
            <w:r>
              <w:rPr>
                <w:bCs/>
                <w:sz w:val="24"/>
              </w:rPr>
              <w:t>mg/L</w:t>
            </w:r>
            <w:r>
              <w:rPr>
                <w:rFonts w:hint="eastAsia"/>
                <w:bCs/>
                <w:sz w:val="24"/>
              </w:rPr>
              <w:t>、TP2</w:t>
            </w:r>
            <w:r>
              <w:rPr>
                <w:bCs/>
                <w:sz w:val="24"/>
              </w:rPr>
              <w:t>mg/L</w:t>
            </w:r>
            <w:r>
              <w:rPr>
                <w:rFonts w:hint="eastAsia"/>
                <w:bCs/>
                <w:sz w:val="24"/>
              </w:rPr>
              <w:t>、TN35</w:t>
            </w:r>
            <w:r>
              <w:rPr>
                <w:bCs/>
                <w:sz w:val="24"/>
              </w:rPr>
              <w:t>mg/L</w:t>
            </w:r>
            <w:r>
              <w:rPr>
                <w:rFonts w:hint="eastAsia"/>
                <w:bCs/>
                <w:sz w:val="24"/>
              </w:rPr>
              <w:t>，</w:t>
            </w:r>
            <w:r>
              <w:rPr>
                <w:rFonts w:hint="eastAsia"/>
                <w:color w:val="000000" w:themeColor="text1"/>
                <w:sz w:val="24"/>
                <w14:textFill>
                  <w14:solidFill>
                    <w14:schemeClr w14:val="tx1"/>
                  </w14:solidFill>
                </w14:textFill>
              </w:rPr>
              <w:t>经化粪池处理后废水水质为</w:t>
            </w:r>
            <w:r>
              <w:rPr>
                <w:color w:val="000000" w:themeColor="text1"/>
                <w:sz w:val="24"/>
                <w14:textFill>
                  <w14:solidFill>
                    <w14:schemeClr w14:val="tx1"/>
                  </w14:solidFill>
                </w14:textFill>
              </w:rPr>
              <w:t>COD</w:t>
            </w:r>
            <w:r>
              <w:rPr>
                <w:rFonts w:hint="eastAsia"/>
                <w:color w:val="000000" w:themeColor="text1"/>
                <w:sz w:val="24"/>
                <w14:textFill>
                  <w14:solidFill>
                    <w14:schemeClr w14:val="tx1"/>
                  </w14:solidFill>
                </w14:textFill>
              </w:rPr>
              <w:t>200</w:t>
            </w:r>
            <w:r>
              <w:rPr>
                <w:color w:val="000000" w:themeColor="text1"/>
                <w:sz w:val="24"/>
                <w14:textFill>
                  <w14:solidFill>
                    <w14:schemeClr w14:val="tx1"/>
                  </w14:solidFill>
                </w14:textFill>
              </w:rPr>
              <w:t>mg/L、SS</w:t>
            </w:r>
            <w:r>
              <w:rPr>
                <w:rFonts w:hint="eastAsia"/>
                <w:color w:val="000000" w:themeColor="text1"/>
                <w:sz w:val="24"/>
                <w14:textFill>
                  <w14:solidFill>
                    <w14:schemeClr w14:val="tx1"/>
                  </w14:solidFill>
                </w14:textFill>
              </w:rPr>
              <w:t>14</w:t>
            </w:r>
            <w:r>
              <w:rPr>
                <w:color w:val="000000" w:themeColor="text1"/>
                <w:sz w:val="24"/>
                <w14:textFill>
                  <w14:solidFill>
                    <w14:schemeClr w14:val="tx1"/>
                  </w14:solidFill>
                </w14:textFill>
              </w:rPr>
              <w:t>0mg/L、</w:t>
            </w:r>
            <w:r>
              <w:rPr>
                <w:rFonts w:hint="eastAsia"/>
                <w:color w:val="000000" w:themeColor="text1"/>
                <w:sz w:val="24"/>
                <w14:textFill>
                  <w14:solidFill>
                    <w14:schemeClr w14:val="tx1"/>
                  </w14:solidFill>
                </w14:textFill>
              </w:rPr>
              <w:t>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、TP2</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、TN35</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。评价提出：生活污水经化粪池处理后定期清运，不外排。</w:t>
            </w:r>
          </w:p>
          <w:p>
            <w:pPr>
              <w:keepNext w:val="0"/>
              <w:keepLines w:val="0"/>
              <w:pageBreakBefore w:val="0"/>
              <w:widowControl w:val="0"/>
              <w:kinsoku/>
              <w:wordWrap/>
              <w:overflowPunct/>
              <w:topLinePunct w:val="0"/>
              <w:autoSpaceDE/>
              <w:autoSpaceDN/>
              <w:bidi w:val="0"/>
              <w:spacing w:line="460" w:lineRule="exact"/>
              <w:ind w:firstLine="482" w:firstLineChars="200"/>
              <w:jc w:val="left"/>
              <w:rPr>
                <w:b/>
                <w:sz w:val="24"/>
              </w:rPr>
            </w:pPr>
            <w:r>
              <w:rPr>
                <w:rFonts w:hint="eastAsia"/>
                <w:b/>
                <w:sz w:val="24"/>
              </w:rPr>
              <w:t>三、噪声</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left"/>
              <w:textAlignment w:val="baseline"/>
              <w:rPr>
                <w:sz w:val="24"/>
              </w:rPr>
            </w:pPr>
            <w:r>
              <w:rPr>
                <w:sz w:val="24"/>
                <w:szCs w:val="24"/>
              </w:rPr>
              <w:t>项目高噪声源主要为</w:t>
            </w:r>
            <w:r>
              <w:rPr>
                <w:rFonts w:hint="eastAsia"/>
                <w:sz w:val="24"/>
                <w:szCs w:val="24"/>
                <w:lang w:val="en-US" w:eastAsia="zh-CN"/>
              </w:rPr>
              <w:t>拌合机（搅拌机）</w:t>
            </w:r>
            <w:r>
              <w:rPr>
                <w:rFonts w:hint="eastAsia"/>
                <w:sz w:val="24"/>
                <w:szCs w:val="24"/>
                <w:lang w:eastAsia="zh-CN"/>
              </w:rPr>
              <w:t>、</w:t>
            </w:r>
            <w:r>
              <w:rPr>
                <w:rFonts w:hint="eastAsia"/>
                <w:sz w:val="24"/>
                <w:szCs w:val="24"/>
                <w:lang w:val="en-US" w:eastAsia="zh-CN"/>
              </w:rPr>
              <w:t>配料机及各类风机</w:t>
            </w:r>
            <w:r>
              <w:rPr>
                <w:sz w:val="24"/>
                <w:szCs w:val="24"/>
              </w:rPr>
              <w:t>等</w:t>
            </w:r>
            <w:r>
              <w:rPr>
                <w:rFonts w:hint="eastAsia"/>
                <w:sz w:val="24"/>
                <w:szCs w:val="24"/>
              </w:rPr>
              <w:t>设备</w:t>
            </w:r>
            <w:r>
              <w:rPr>
                <w:sz w:val="24"/>
                <w:szCs w:val="24"/>
              </w:rPr>
              <w:t>，经类比《环境噪声与振动控制工程技术导则》（HJ2034-2013）附录A常见噪声源及其声功率级，本项目主要生产设备声功率级在</w:t>
            </w:r>
            <w:r>
              <w:rPr>
                <w:rFonts w:hint="eastAsia"/>
                <w:sz w:val="24"/>
                <w:szCs w:val="24"/>
              </w:rPr>
              <w:t>90</w:t>
            </w:r>
            <w:r>
              <w:rPr>
                <w:sz w:val="24"/>
                <w:szCs w:val="24"/>
              </w:rPr>
              <w:t>～</w:t>
            </w:r>
            <w:r>
              <w:rPr>
                <w:rFonts w:hint="eastAsia"/>
                <w:sz w:val="24"/>
                <w:szCs w:val="24"/>
              </w:rPr>
              <w:t>100</w:t>
            </w:r>
            <w:r>
              <w:rPr>
                <w:sz w:val="24"/>
                <w:szCs w:val="24"/>
              </w:rPr>
              <w:t>dB（A）之间，其噪声源强采取</w:t>
            </w:r>
            <w:r>
              <w:rPr>
                <w:rFonts w:hint="eastAsia"/>
                <w:sz w:val="24"/>
                <w:szCs w:val="24"/>
              </w:rPr>
              <w:t>设备减振、</w:t>
            </w:r>
            <w:r>
              <w:rPr>
                <w:sz w:val="24"/>
                <w:szCs w:val="24"/>
              </w:rPr>
              <w:t>隔声、</w:t>
            </w:r>
            <w:r>
              <w:rPr>
                <w:rFonts w:hint="eastAsia"/>
                <w:sz w:val="24"/>
                <w:szCs w:val="24"/>
              </w:rPr>
              <w:t>距离衰减</w:t>
            </w:r>
            <w:r>
              <w:rPr>
                <w:sz w:val="24"/>
                <w:szCs w:val="24"/>
              </w:rPr>
              <w:t>等降噪措施。根据《环境影响评价技术导则声环境》（HJ2.4-2021），工业声源应按照室内声源计算。</w:t>
            </w:r>
          </w:p>
          <w:p>
            <w:pPr>
              <w:keepNext w:val="0"/>
              <w:keepLines w:val="0"/>
              <w:pageBreakBefore w:val="0"/>
              <w:widowControl w:val="0"/>
              <w:kinsoku/>
              <w:wordWrap/>
              <w:overflowPunct/>
              <w:topLinePunct w:val="0"/>
              <w:autoSpaceDE/>
              <w:autoSpaceDN/>
              <w:bidi w:val="0"/>
              <w:spacing w:line="460" w:lineRule="exact"/>
              <w:ind w:firstLine="480"/>
              <w:jc w:val="left"/>
              <w:rPr>
                <w:sz w:val="24"/>
              </w:rPr>
            </w:pPr>
            <w:r>
              <w:rPr>
                <w:sz w:val="24"/>
                <w:szCs w:val="24"/>
              </w:rPr>
              <w:t>声源位于室内，室内声源可采用等效室外声源声功率级法进行计算。设靠近开口处（或窗户）室内、室外某倍频带的声压级或A声级分别为Lp1和Lp2。</w:t>
            </w:r>
          </w:p>
          <w:p>
            <w:pPr>
              <w:keepNext w:val="0"/>
              <w:keepLines w:val="0"/>
              <w:pageBreakBefore w:val="0"/>
              <w:widowControl w:val="0"/>
              <w:kinsoku/>
              <w:wordWrap/>
              <w:overflowPunct/>
              <w:topLinePunct w:val="0"/>
              <w:autoSpaceDE/>
              <w:autoSpaceDN/>
              <w:bidi w:val="0"/>
              <w:spacing w:line="460" w:lineRule="exact"/>
              <w:ind w:firstLine="480"/>
              <w:jc w:val="left"/>
              <w:rPr>
                <w:sz w:val="24"/>
              </w:rPr>
            </w:pPr>
            <w:r>
              <w:rPr>
                <w:sz w:val="24"/>
                <w:szCs w:val="24"/>
              </w:rPr>
              <w:t>计算某一室内声源靠近围护结构处产生的倍频带声压级或A声级公式如下：</w:t>
            </w:r>
          </w:p>
          <w:p>
            <w:pPr>
              <w:jc w:val="center"/>
              <w:rPr>
                <w:sz w:val="24"/>
              </w:rPr>
            </w:pPr>
            <w:r>
              <w:rPr>
                <w:sz w:val="24"/>
              </w:rPr>
              <w:drawing>
                <wp:inline distT="0" distB="0" distL="114300" distR="114300">
                  <wp:extent cx="2054225" cy="422275"/>
                  <wp:effectExtent l="0" t="0" r="0" b="1651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2"/>
                          <a:stretch>
                            <a:fillRect/>
                          </a:stretch>
                        </pic:blipFill>
                        <pic:spPr>
                          <a:xfrm>
                            <a:off x="0" y="0"/>
                            <a:ext cx="2054225" cy="4222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460" w:lineRule="exact"/>
              <w:ind w:firstLine="480"/>
              <w:jc w:val="left"/>
              <w:rPr>
                <w:sz w:val="24"/>
              </w:rPr>
            </w:pPr>
            <w:r>
              <w:rPr>
                <w:sz w:val="24"/>
                <w:szCs w:val="24"/>
              </w:rPr>
              <w:t>式中：Lp1——靠近开口处（或窗户）室内某倍频带的声压级或A声级，dB；</w:t>
            </w:r>
          </w:p>
          <w:p>
            <w:pPr>
              <w:keepNext w:val="0"/>
              <w:keepLines w:val="0"/>
              <w:pageBreakBefore w:val="0"/>
              <w:widowControl w:val="0"/>
              <w:kinsoku/>
              <w:wordWrap/>
              <w:overflowPunct/>
              <w:topLinePunct w:val="0"/>
              <w:autoSpaceDE/>
              <w:autoSpaceDN/>
              <w:bidi w:val="0"/>
              <w:adjustRightInd w:val="0"/>
              <w:snapToGrid w:val="0"/>
              <w:spacing w:line="460" w:lineRule="exact"/>
              <w:ind w:firstLine="1200" w:firstLineChars="500"/>
              <w:jc w:val="left"/>
              <w:textAlignment w:val="baseline"/>
              <w:rPr>
                <w:sz w:val="24"/>
              </w:rPr>
            </w:pPr>
            <w:r>
              <w:rPr>
                <w:sz w:val="24"/>
                <w:szCs w:val="24"/>
              </w:rPr>
              <w:t>Lw1—点声源声功率级（A计权或倍频带），dB；</w:t>
            </w:r>
          </w:p>
          <w:p>
            <w:pPr>
              <w:keepNext w:val="0"/>
              <w:keepLines w:val="0"/>
              <w:pageBreakBefore w:val="0"/>
              <w:widowControl w:val="0"/>
              <w:kinsoku/>
              <w:wordWrap/>
              <w:overflowPunct/>
              <w:topLinePunct w:val="0"/>
              <w:autoSpaceDE/>
              <w:autoSpaceDN/>
              <w:bidi w:val="0"/>
              <w:adjustRightInd w:val="0"/>
              <w:snapToGrid w:val="0"/>
              <w:spacing w:line="460" w:lineRule="exact"/>
              <w:ind w:firstLine="960" w:firstLineChars="400"/>
              <w:jc w:val="left"/>
              <w:textAlignment w:val="baseline"/>
              <w:rPr>
                <w:sz w:val="24"/>
              </w:rPr>
            </w:pPr>
            <w:r>
              <w:rPr>
                <w:rFonts w:hint="eastAsia"/>
                <w:sz w:val="24"/>
                <w:szCs w:val="24"/>
              </w:rPr>
              <w:t xml:space="preserve"> </w:t>
            </w:r>
            <w:r>
              <w:rPr>
                <w:sz w:val="24"/>
                <w:szCs w:val="24"/>
              </w:rPr>
              <w:t>Q—指向性因数；通常对无指向性声源，当声源放在房间中心时，Q=1；当放在一面墙的中心时，Q=2；当放在两面墙夹角处时，Q=4；当放在三面墙夹角处时，Q=8；本项目</w:t>
            </w:r>
            <w:r>
              <w:rPr>
                <w:rFonts w:hint="eastAsia"/>
                <w:sz w:val="24"/>
                <w:szCs w:val="24"/>
              </w:rPr>
              <w:t>Q值取8。</w:t>
            </w:r>
          </w:p>
          <w:p>
            <w:pPr>
              <w:keepNext w:val="0"/>
              <w:keepLines w:val="0"/>
              <w:pageBreakBefore w:val="0"/>
              <w:widowControl w:val="0"/>
              <w:kinsoku/>
              <w:wordWrap/>
              <w:overflowPunct/>
              <w:topLinePunct w:val="0"/>
              <w:autoSpaceDE/>
              <w:autoSpaceDN/>
              <w:bidi w:val="0"/>
              <w:adjustRightInd w:val="0"/>
              <w:snapToGrid w:val="0"/>
              <w:spacing w:line="460" w:lineRule="exact"/>
              <w:ind w:firstLine="1200" w:firstLineChars="500"/>
              <w:jc w:val="left"/>
              <w:textAlignment w:val="baseline"/>
              <w:rPr>
                <w:sz w:val="24"/>
              </w:rPr>
            </w:pPr>
            <w:r>
              <w:rPr>
                <w:sz w:val="24"/>
                <w:szCs w:val="24"/>
              </w:rPr>
              <w:t>R——房间常数；R=Sα/（1-α），S为房间内表面面积，m</w:t>
            </w:r>
            <w:r>
              <w:rPr>
                <w:sz w:val="24"/>
                <w:szCs w:val="24"/>
                <w:vertAlign w:val="superscript"/>
              </w:rPr>
              <w:t>2</w:t>
            </w:r>
            <w:r>
              <w:rPr>
                <w:sz w:val="24"/>
                <w:szCs w:val="24"/>
              </w:rPr>
              <w:t>；α为平均吸声系数，取平均吸声系数0.</w:t>
            </w:r>
            <w:r>
              <w:rPr>
                <w:rFonts w:hint="eastAsia"/>
                <w:sz w:val="24"/>
                <w:szCs w:val="24"/>
              </w:rPr>
              <w:t>4</w:t>
            </w:r>
            <w:r>
              <w:rPr>
                <w:sz w:val="24"/>
                <w:szCs w:val="24"/>
              </w:rPr>
              <w:t>；</w:t>
            </w:r>
            <w:r>
              <w:rPr>
                <w:rFonts w:hint="eastAsia"/>
                <w:sz w:val="24"/>
                <w:szCs w:val="24"/>
              </w:rPr>
              <w:t>综合生产</w:t>
            </w:r>
            <w:r>
              <w:rPr>
                <w:sz w:val="24"/>
                <w:szCs w:val="24"/>
              </w:rPr>
              <w:t>车间内表面面积</w:t>
            </w:r>
            <w:r>
              <w:rPr>
                <w:rFonts w:hint="eastAsia"/>
                <w:sz w:val="24"/>
                <w:szCs w:val="24"/>
              </w:rPr>
              <w:t>约为</w:t>
            </w:r>
            <w:r>
              <w:rPr>
                <w:rFonts w:hint="eastAsia"/>
                <w:sz w:val="24"/>
                <w:szCs w:val="24"/>
                <w:lang w:val="en-US" w:eastAsia="zh-CN"/>
              </w:rPr>
              <w:t>11664</w:t>
            </w:r>
            <w:r>
              <w:rPr>
                <w:sz w:val="24"/>
                <w:szCs w:val="24"/>
              </w:rPr>
              <w:t>m</w:t>
            </w:r>
            <w:r>
              <w:rPr>
                <w:sz w:val="24"/>
                <w:szCs w:val="24"/>
                <w:vertAlign w:val="superscript"/>
              </w:rPr>
              <w:t>2</w:t>
            </w:r>
            <w:r>
              <w:rPr>
                <w:sz w:val="24"/>
                <w:szCs w:val="24"/>
              </w:rPr>
              <w:t>，则R=</w:t>
            </w:r>
            <w:r>
              <w:rPr>
                <w:rFonts w:hint="eastAsia"/>
                <w:sz w:val="24"/>
                <w:szCs w:val="24"/>
                <w:lang w:val="en-US" w:eastAsia="zh-CN"/>
              </w:rPr>
              <w:t>7776</w:t>
            </w:r>
            <w:r>
              <w:rPr>
                <w:rFonts w:hint="eastAsia"/>
                <w:sz w:val="24"/>
                <w:szCs w:val="24"/>
              </w:rPr>
              <w:t>。</w:t>
            </w:r>
          </w:p>
          <w:p>
            <w:pPr>
              <w:keepNext w:val="0"/>
              <w:keepLines w:val="0"/>
              <w:pageBreakBefore w:val="0"/>
              <w:widowControl w:val="0"/>
              <w:kinsoku/>
              <w:wordWrap/>
              <w:overflowPunct/>
              <w:topLinePunct w:val="0"/>
              <w:autoSpaceDE/>
              <w:autoSpaceDN/>
              <w:bidi w:val="0"/>
              <w:spacing w:line="460" w:lineRule="exact"/>
              <w:ind w:firstLine="1200" w:firstLineChars="500"/>
              <w:jc w:val="left"/>
              <w:rPr>
                <w:sz w:val="24"/>
              </w:rPr>
            </w:pPr>
            <w:r>
              <w:rPr>
                <w:sz w:val="24"/>
                <w:szCs w:val="24"/>
              </w:rPr>
              <w:t>r——声源到靠近围护结构某点处的距离，m</w:t>
            </w:r>
          </w:p>
          <w:p>
            <w:pPr>
              <w:keepNext w:val="0"/>
              <w:keepLines w:val="0"/>
              <w:pageBreakBefore w:val="0"/>
              <w:widowControl w:val="0"/>
              <w:kinsoku/>
              <w:wordWrap/>
              <w:overflowPunct/>
              <w:topLinePunct w:val="0"/>
              <w:autoSpaceDE/>
              <w:autoSpaceDN/>
              <w:bidi w:val="0"/>
              <w:spacing w:line="460" w:lineRule="exact"/>
              <w:ind w:firstLine="480"/>
              <w:jc w:val="left"/>
              <w:rPr>
                <w:sz w:val="24"/>
                <w:szCs w:val="24"/>
              </w:rPr>
            </w:pPr>
            <w:r>
              <w:rPr>
                <w:sz w:val="24"/>
                <w:szCs w:val="24"/>
              </w:rPr>
              <w:t>然后按下式计算出所有室内声源在围护结构处产生的i倍频带叠加声压级：</w:t>
            </w:r>
          </w:p>
          <w:p>
            <w:pPr>
              <w:keepNext w:val="0"/>
              <w:keepLines w:val="0"/>
              <w:pageBreakBefore w:val="0"/>
              <w:widowControl w:val="0"/>
              <w:kinsoku/>
              <w:wordWrap/>
              <w:overflowPunct/>
              <w:topLinePunct w:val="0"/>
              <w:autoSpaceDE/>
              <w:autoSpaceDN/>
              <w:bidi w:val="0"/>
              <w:spacing w:line="460" w:lineRule="exact"/>
              <w:jc w:val="center"/>
              <w:rPr>
                <w:sz w:val="24"/>
              </w:rPr>
            </w:pPr>
            <w:r>
              <w:rPr>
                <w:sz w:val="24"/>
              </w:rPr>
              <w:drawing>
                <wp:inline distT="0" distB="0" distL="114300" distR="114300">
                  <wp:extent cx="2169795" cy="416560"/>
                  <wp:effectExtent l="0" t="0" r="1905" b="2540"/>
                  <wp:docPr id="112" name="图片 2"/>
                  <wp:cNvGraphicFramePr/>
                  <a:graphic xmlns:a="http://schemas.openxmlformats.org/drawingml/2006/main">
                    <a:graphicData uri="http://schemas.openxmlformats.org/drawingml/2006/picture">
                      <pic:pic xmlns:pic="http://schemas.openxmlformats.org/drawingml/2006/picture">
                        <pic:nvPicPr>
                          <pic:cNvPr id="112" name="图片 2"/>
                          <pic:cNvPicPr/>
                        </pic:nvPicPr>
                        <pic:blipFill>
                          <a:blip r:embed="rId13"/>
                          <a:stretch>
                            <a:fillRect/>
                          </a:stretch>
                        </pic:blipFill>
                        <pic:spPr>
                          <a:xfrm>
                            <a:off x="0" y="0"/>
                            <a:ext cx="2185735" cy="420013"/>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460" w:lineRule="exact"/>
              <w:ind w:firstLine="360" w:firstLineChars="150"/>
              <w:jc w:val="left"/>
              <w:rPr>
                <w:sz w:val="24"/>
                <w:szCs w:val="24"/>
              </w:rPr>
            </w:pPr>
            <w:r>
              <w:rPr>
                <w:sz w:val="24"/>
                <w:szCs w:val="24"/>
              </w:rPr>
              <w:t>式中：Lp1i（T）——靠近围护结构处室内N个声源i倍频带的叠加声压级，dB；</w:t>
            </w:r>
          </w:p>
          <w:p>
            <w:pPr>
              <w:keepNext w:val="0"/>
              <w:keepLines w:val="0"/>
              <w:pageBreakBefore w:val="0"/>
              <w:widowControl w:val="0"/>
              <w:kinsoku/>
              <w:wordWrap/>
              <w:overflowPunct/>
              <w:topLinePunct w:val="0"/>
              <w:autoSpaceDE/>
              <w:autoSpaceDN/>
              <w:bidi w:val="0"/>
              <w:spacing w:line="460" w:lineRule="exact"/>
              <w:ind w:left="420" w:firstLine="480"/>
              <w:jc w:val="left"/>
              <w:rPr>
                <w:sz w:val="24"/>
              </w:rPr>
            </w:pPr>
            <w:r>
              <w:rPr>
                <w:sz w:val="24"/>
                <w:szCs w:val="24"/>
              </w:rPr>
              <w:t xml:space="preserve"> Lp1ij——室内j声源i倍频带的声压级，dB；</w:t>
            </w:r>
          </w:p>
          <w:p>
            <w:pPr>
              <w:keepNext w:val="0"/>
              <w:keepLines w:val="0"/>
              <w:pageBreakBefore w:val="0"/>
              <w:widowControl w:val="0"/>
              <w:kinsoku/>
              <w:wordWrap/>
              <w:overflowPunct/>
              <w:topLinePunct w:val="0"/>
              <w:autoSpaceDE/>
              <w:autoSpaceDN/>
              <w:bidi w:val="0"/>
              <w:spacing w:line="460" w:lineRule="exact"/>
              <w:ind w:left="420" w:firstLine="480"/>
              <w:jc w:val="left"/>
              <w:rPr>
                <w:sz w:val="24"/>
              </w:rPr>
            </w:pPr>
            <w:r>
              <w:rPr>
                <w:sz w:val="24"/>
                <w:szCs w:val="24"/>
              </w:rPr>
              <w:t xml:space="preserve"> N——室内声源总数。</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left"/>
              <w:textAlignment w:val="baseline"/>
              <w:rPr>
                <w:sz w:val="24"/>
              </w:rPr>
            </w:pPr>
            <w:r>
              <w:rPr>
                <w:sz w:val="24"/>
                <w:szCs w:val="24"/>
              </w:rPr>
              <w:t>在室内近似为扩散声场时，按下式计算出靠近室外围护结构处的声压级：</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left"/>
              <w:textAlignment w:val="baseline"/>
              <w:rPr>
                <w:sz w:val="24"/>
              </w:rPr>
            </w:pPr>
            <w:r>
              <w:rPr>
                <w:sz w:val="24"/>
                <w:szCs w:val="24"/>
              </w:rPr>
              <w:t xml:space="preserve">         </w:t>
            </w:r>
            <w:r>
              <w:rPr>
                <w:rFonts w:hint="eastAsia"/>
                <w:sz w:val="24"/>
                <w:szCs w:val="24"/>
              </w:rPr>
              <w:t xml:space="preserve">        </w:t>
            </w:r>
            <w:r>
              <w:rPr>
                <w:sz w:val="24"/>
                <w:szCs w:val="24"/>
              </w:rPr>
              <w:t>Lp2i（T）=Lp1i（T）-（TLi+6）</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baseline"/>
              <w:rPr>
                <w:sz w:val="24"/>
              </w:rPr>
            </w:pPr>
            <w:r>
              <w:rPr>
                <w:sz w:val="24"/>
                <w:szCs w:val="24"/>
              </w:rPr>
              <w:t>式中：Lp2i（T）——靠近围护结构处室外N个声源i倍频带的叠加声压级，dB；</w:t>
            </w:r>
          </w:p>
          <w:p>
            <w:pPr>
              <w:keepNext w:val="0"/>
              <w:keepLines w:val="0"/>
              <w:pageBreakBefore w:val="0"/>
              <w:widowControl w:val="0"/>
              <w:kinsoku/>
              <w:wordWrap/>
              <w:overflowPunct/>
              <w:topLinePunct w:val="0"/>
              <w:autoSpaceDE/>
              <w:autoSpaceDN/>
              <w:bidi w:val="0"/>
              <w:adjustRightInd w:val="0"/>
              <w:snapToGrid w:val="0"/>
              <w:spacing w:line="460" w:lineRule="exact"/>
              <w:ind w:firstLine="1080" w:firstLineChars="450"/>
              <w:jc w:val="left"/>
              <w:textAlignment w:val="baseline"/>
              <w:rPr>
                <w:sz w:val="24"/>
              </w:rPr>
            </w:pPr>
            <w:r>
              <w:rPr>
                <w:sz w:val="24"/>
                <w:szCs w:val="24"/>
              </w:rPr>
              <w:t>Lp1i（T）——靠近围护结构处室内N个声源i倍频带的叠加声压级，dB；</w:t>
            </w:r>
          </w:p>
          <w:p>
            <w:pPr>
              <w:keepNext w:val="0"/>
              <w:keepLines w:val="0"/>
              <w:pageBreakBefore w:val="0"/>
              <w:widowControl w:val="0"/>
              <w:kinsoku/>
              <w:wordWrap/>
              <w:overflowPunct/>
              <w:topLinePunct w:val="0"/>
              <w:autoSpaceDE/>
              <w:autoSpaceDN/>
              <w:bidi w:val="0"/>
              <w:adjustRightInd w:val="0"/>
              <w:snapToGrid w:val="0"/>
              <w:spacing w:line="460" w:lineRule="exact"/>
              <w:ind w:firstLine="960" w:firstLineChars="400"/>
              <w:jc w:val="left"/>
              <w:textAlignment w:val="baseline"/>
              <w:rPr>
                <w:sz w:val="24"/>
              </w:rPr>
            </w:pPr>
            <w:r>
              <w:rPr>
                <w:rFonts w:hint="eastAsia"/>
                <w:sz w:val="24"/>
                <w:szCs w:val="24"/>
              </w:rPr>
              <w:t xml:space="preserve"> </w:t>
            </w:r>
            <w:r>
              <w:rPr>
                <w:sz w:val="24"/>
                <w:szCs w:val="24"/>
              </w:rPr>
              <w:t>TLi——围护结构i倍频带的隔声量，dB；</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left"/>
              <w:textAlignment w:val="baseline"/>
              <w:rPr>
                <w:sz w:val="24"/>
              </w:rPr>
            </w:pPr>
            <w:r>
              <w:rPr>
                <w:sz w:val="24"/>
                <w:szCs w:val="24"/>
              </w:rPr>
              <w:t>然后按下式将室外声源的声压级和透过面积换算成等效的室外声源，计算出中心位置位于透声面积（S）处的等效声源的倍频带声功率级：</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center"/>
              <w:textAlignment w:val="baseline"/>
              <w:rPr>
                <w:sz w:val="24"/>
              </w:rPr>
            </w:pPr>
            <w:r>
              <w:rPr>
                <w:rFonts w:hint="eastAsia"/>
                <w:sz w:val="24"/>
                <w:szCs w:val="24"/>
              </w:rPr>
              <w:t>Lw2</w:t>
            </w:r>
            <w:r>
              <w:rPr>
                <w:sz w:val="24"/>
                <w:szCs w:val="24"/>
              </w:rPr>
              <w:t>=Lp2（T）+10lgS</w:t>
            </w:r>
          </w:p>
          <w:p>
            <w:pPr>
              <w:keepNext w:val="0"/>
              <w:keepLines w:val="0"/>
              <w:pageBreakBefore w:val="0"/>
              <w:widowControl w:val="0"/>
              <w:kinsoku/>
              <w:wordWrap/>
              <w:overflowPunct/>
              <w:topLinePunct w:val="0"/>
              <w:autoSpaceDE/>
              <w:autoSpaceDN/>
              <w:bidi w:val="0"/>
              <w:adjustRightInd w:val="0"/>
              <w:snapToGrid w:val="0"/>
              <w:spacing w:line="460" w:lineRule="exact"/>
              <w:ind w:firstLine="120" w:firstLineChars="50"/>
              <w:jc w:val="left"/>
              <w:textAlignment w:val="baseline"/>
              <w:rPr>
                <w:sz w:val="24"/>
              </w:rPr>
            </w:pPr>
            <w:r>
              <w:rPr>
                <w:sz w:val="24"/>
                <w:szCs w:val="24"/>
              </w:rPr>
              <w:t>式中：Lw2——中心位置位于透声面积（S）处的等效声源的倍频带声功率级，dB；</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left"/>
              <w:textAlignment w:val="baseline"/>
              <w:rPr>
                <w:sz w:val="24"/>
              </w:rPr>
            </w:pPr>
            <w:r>
              <w:rPr>
                <w:sz w:val="24"/>
                <w:szCs w:val="24"/>
              </w:rPr>
              <w:t xml:space="preserve">   Lp2（T）——靠近围护结构处室外声源的声压级，dB；</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left"/>
              <w:textAlignment w:val="baseline"/>
              <w:rPr>
                <w:sz w:val="24"/>
              </w:rPr>
            </w:pPr>
            <w:r>
              <w:rPr>
                <w:sz w:val="24"/>
                <w:szCs w:val="24"/>
              </w:rPr>
              <w:t xml:space="preserve">   S——透声面积，m</w:t>
            </w:r>
            <w:r>
              <w:rPr>
                <w:sz w:val="24"/>
                <w:szCs w:val="24"/>
                <w:vertAlign w:val="superscript"/>
              </w:rPr>
              <w:t>2</w:t>
            </w:r>
            <w:r>
              <w:rPr>
                <w:sz w:val="24"/>
                <w:szCs w:val="24"/>
              </w:rPr>
              <w:t>。</w:t>
            </w:r>
            <w:r>
              <w:rPr>
                <w:rFonts w:hint="eastAsia"/>
                <w:sz w:val="24"/>
                <w:szCs w:val="24"/>
              </w:rPr>
              <w:t>（</w:t>
            </w:r>
            <w:r>
              <w:rPr>
                <w:sz w:val="24"/>
                <w:szCs w:val="24"/>
              </w:rPr>
              <w:t>车间</w:t>
            </w:r>
            <w:r>
              <w:rPr>
                <w:rFonts w:hint="eastAsia"/>
                <w:sz w:val="24"/>
                <w:szCs w:val="24"/>
              </w:rPr>
              <w:t>S=50）</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left"/>
              <w:textAlignment w:val="baseline"/>
              <w:rPr>
                <w:sz w:val="24"/>
              </w:rPr>
            </w:pPr>
            <w:r>
              <w:rPr>
                <w:sz w:val="24"/>
                <w:szCs w:val="24"/>
              </w:rPr>
              <w:t>如果声源处于半自由声场，则预测点处声压级计算公式如下：</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left"/>
              <w:textAlignment w:val="baseline"/>
              <w:rPr>
                <w:sz w:val="24"/>
              </w:rPr>
            </w:pPr>
            <w:r>
              <w:rPr>
                <w:sz w:val="24"/>
                <w:szCs w:val="24"/>
              </w:rPr>
              <w:t xml:space="preserve">  </w:t>
            </w:r>
            <w:r>
              <w:rPr>
                <w:rFonts w:hint="eastAsia"/>
                <w:sz w:val="24"/>
                <w:szCs w:val="24"/>
                <w:lang w:val="en-US" w:eastAsia="zh-CN"/>
              </w:rPr>
              <w:t xml:space="preserve">                       </w:t>
            </w:r>
            <w:r>
              <w:rPr>
                <w:sz w:val="24"/>
                <w:szCs w:val="24"/>
              </w:rPr>
              <w:t xml:space="preserve"> Lp（r）=Lw-20lgr-8</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left"/>
              <w:textAlignment w:val="baseline"/>
              <w:rPr>
                <w:sz w:val="24"/>
              </w:rPr>
            </w:pPr>
            <w:r>
              <w:rPr>
                <w:sz w:val="24"/>
                <w:szCs w:val="24"/>
              </w:rPr>
              <w:t>式中：Lp（r）——预测点处声压级，dB；</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left"/>
              <w:textAlignment w:val="baseline"/>
              <w:rPr>
                <w:sz w:val="24"/>
              </w:rPr>
            </w:pPr>
            <w:r>
              <w:rPr>
                <w:sz w:val="24"/>
                <w:szCs w:val="24"/>
              </w:rPr>
              <w:t xml:space="preserve">  </w:t>
            </w:r>
            <w:r>
              <w:rPr>
                <w:rFonts w:hint="eastAsia"/>
                <w:sz w:val="24"/>
                <w:szCs w:val="24"/>
                <w:lang w:val="en-US" w:eastAsia="zh-CN"/>
              </w:rPr>
              <w:t xml:space="preserve">   </w:t>
            </w:r>
            <w:r>
              <w:rPr>
                <w:sz w:val="24"/>
                <w:szCs w:val="24"/>
              </w:rPr>
              <w:t xml:space="preserve"> Lw——由点声源产生的倍频带声功率级，dB；</w:t>
            </w:r>
          </w:p>
          <w:p>
            <w:pPr>
              <w:keepNext w:val="0"/>
              <w:keepLines w:val="0"/>
              <w:pageBreakBefore w:val="0"/>
              <w:widowControl w:val="0"/>
              <w:kinsoku/>
              <w:wordWrap/>
              <w:overflowPunct/>
              <w:topLinePunct w:val="0"/>
              <w:autoSpaceDE/>
              <w:autoSpaceDN/>
              <w:bidi w:val="0"/>
              <w:adjustRightInd w:val="0"/>
              <w:snapToGrid w:val="0"/>
              <w:spacing w:line="460" w:lineRule="exact"/>
              <w:ind w:firstLine="480"/>
              <w:jc w:val="left"/>
              <w:textAlignment w:val="baseline"/>
              <w:rPr>
                <w:sz w:val="24"/>
              </w:rPr>
            </w:pPr>
            <w:r>
              <w:rPr>
                <w:sz w:val="24"/>
                <w:szCs w:val="24"/>
              </w:rPr>
              <w:t xml:space="preserve">  </w:t>
            </w:r>
            <w:r>
              <w:rPr>
                <w:rFonts w:hint="eastAsia"/>
                <w:sz w:val="24"/>
                <w:szCs w:val="24"/>
                <w:lang w:val="en-US" w:eastAsia="zh-CN"/>
              </w:rPr>
              <w:t xml:space="preserve">    </w:t>
            </w:r>
            <w:r>
              <w:rPr>
                <w:sz w:val="24"/>
                <w:szCs w:val="24"/>
              </w:rPr>
              <w:t xml:space="preserve"> r——预测点距声源的距离，m。</w:t>
            </w:r>
          </w:p>
          <w:p>
            <w:pPr>
              <w:tabs>
                <w:tab w:val="left" w:pos="3620"/>
              </w:tabs>
              <w:adjustRightInd w:val="0"/>
              <w:snapToGrid w:val="0"/>
              <w:spacing w:line="440" w:lineRule="exact"/>
              <w:ind w:firstLine="480" w:firstLineChars="200"/>
              <w:rPr>
                <w:rFonts w:hint="eastAsia" w:hAnsi="黑体" w:eastAsia="黑体"/>
                <w:sz w:val="24"/>
              </w:rPr>
            </w:pPr>
            <w:r>
              <w:rPr>
                <w:rFonts w:hint="eastAsia" w:hAnsi="黑体" w:eastAsia="黑体"/>
                <w:sz w:val="24"/>
                <w:lang w:val="en-US" w:eastAsia="zh-CN"/>
              </w:rPr>
              <w:br w:type="textWrapping"/>
            </w:r>
            <w:r>
              <w:rPr>
                <w:rFonts w:hint="eastAsia" w:hAnsi="黑体" w:eastAsia="黑体"/>
                <w:sz w:val="24"/>
                <w:lang w:val="en-US" w:eastAsia="zh-CN"/>
              </w:rPr>
              <w:br w:type="textWrapping"/>
            </w:r>
            <w:r>
              <w:rPr>
                <w:rFonts w:hint="eastAsia" w:hAnsi="黑体" w:eastAsia="黑体"/>
                <w:sz w:val="24"/>
                <w:lang w:val="en-US" w:eastAsia="zh-CN"/>
              </w:rPr>
              <w:br w:type="textWrapping"/>
            </w:r>
            <w:r>
              <w:rPr>
                <w:rFonts w:hint="eastAsia" w:hAnsi="黑体" w:eastAsia="黑体"/>
                <w:sz w:val="24"/>
                <w:lang w:val="en-US" w:eastAsia="zh-CN"/>
              </w:rPr>
              <w:br w:type="textWrapping"/>
            </w:r>
            <w:r>
              <w:rPr>
                <w:rFonts w:hint="eastAsia" w:hAnsi="黑体" w:eastAsia="黑体"/>
                <w:sz w:val="24"/>
                <w:lang w:val="en-US" w:eastAsia="zh-CN"/>
              </w:rPr>
              <w:br w:type="textWrapping"/>
            </w:r>
            <w:r>
              <w:rPr>
                <w:rFonts w:hint="eastAsia" w:hAnsi="黑体" w:eastAsia="黑体"/>
                <w:sz w:val="24"/>
                <w:lang w:val="en-US" w:eastAsia="zh-CN"/>
              </w:rPr>
              <w:t xml:space="preserve">     </w:t>
            </w:r>
            <w:r>
              <w:rPr>
                <w:rFonts w:hint="eastAsia" w:hAnsi="黑体" w:eastAsia="黑体"/>
                <w:sz w:val="24"/>
              </w:rPr>
              <w:t>表</w:t>
            </w:r>
            <w:r>
              <w:rPr>
                <w:rFonts w:hint="eastAsia" w:hAnsi="黑体" w:eastAsia="黑体"/>
                <w:sz w:val="24"/>
                <w:lang w:val="en-US" w:eastAsia="zh-CN"/>
              </w:rPr>
              <w:t>4-13</w:t>
            </w:r>
            <w:r>
              <w:rPr>
                <w:rFonts w:hint="eastAsia" w:hAnsi="黑体" w:eastAsia="黑体"/>
                <w:sz w:val="24"/>
              </w:rPr>
              <w:t xml:space="preserve">        本项目室内噪声源强调查清单</w:t>
            </w:r>
          </w:p>
          <w:tbl>
            <w:tblPr>
              <w:tblStyle w:val="24"/>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40"/>
              <w:gridCol w:w="501"/>
              <w:gridCol w:w="864"/>
              <w:gridCol w:w="652"/>
              <w:gridCol w:w="635"/>
              <w:gridCol w:w="571"/>
              <w:gridCol w:w="608"/>
              <w:gridCol w:w="485"/>
              <w:gridCol w:w="540"/>
              <w:gridCol w:w="564"/>
              <w:gridCol w:w="787"/>
              <w:gridCol w:w="787"/>
              <w:gridCol w:w="599"/>
              <w:gridCol w:w="560"/>
              <w:gridCol w:w="3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0" w:type="dxa"/>
                  <w:vMerge w:val="restart"/>
                  <w:tcBorders>
                    <w:top w:val="single" w:color="auto" w:sz="8" w:space="0"/>
                  </w:tcBorders>
                  <w:noWrap/>
                  <w:vAlign w:val="center"/>
                </w:tcPr>
                <w:p>
                  <w:pPr>
                    <w:jc w:val="center"/>
                    <w:rPr>
                      <w:b/>
                      <w:sz w:val="21"/>
                      <w:szCs w:val="21"/>
                    </w:rPr>
                  </w:pPr>
                  <w:r>
                    <w:rPr>
                      <w:b/>
                      <w:sz w:val="21"/>
                      <w:szCs w:val="21"/>
                    </w:rPr>
                    <w:t>序号</w:t>
                  </w:r>
                </w:p>
              </w:tc>
              <w:tc>
                <w:tcPr>
                  <w:tcW w:w="501" w:type="dxa"/>
                  <w:vMerge w:val="restart"/>
                  <w:tcBorders>
                    <w:top w:val="single" w:color="auto" w:sz="8" w:space="0"/>
                  </w:tcBorders>
                  <w:noWrap/>
                  <w:vAlign w:val="center"/>
                </w:tcPr>
                <w:p>
                  <w:pPr>
                    <w:jc w:val="center"/>
                    <w:rPr>
                      <w:b/>
                      <w:sz w:val="21"/>
                      <w:szCs w:val="21"/>
                    </w:rPr>
                  </w:pPr>
                  <w:r>
                    <w:rPr>
                      <w:b/>
                      <w:sz w:val="21"/>
                      <w:szCs w:val="21"/>
                    </w:rPr>
                    <w:t>建筑物</w:t>
                  </w:r>
                </w:p>
                <w:p>
                  <w:pPr>
                    <w:jc w:val="center"/>
                    <w:rPr>
                      <w:b/>
                      <w:sz w:val="21"/>
                      <w:szCs w:val="21"/>
                    </w:rPr>
                  </w:pPr>
                  <w:r>
                    <w:rPr>
                      <w:b/>
                      <w:sz w:val="21"/>
                      <w:szCs w:val="21"/>
                    </w:rPr>
                    <w:t>名称</w:t>
                  </w:r>
                </w:p>
              </w:tc>
              <w:tc>
                <w:tcPr>
                  <w:tcW w:w="864" w:type="dxa"/>
                  <w:vMerge w:val="restart"/>
                  <w:tcBorders>
                    <w:top w:val="single" w:color="auto" w:sz="8" w:space="0"/>
                  </w:tcBorders>
                  <w:noWrap/>
                  <w:vAlign w:val="center"/>
                </w:tcPr>
                <w:p>
                  <w:pPr>
                    <w:jc w:val="center"/>
                    <w:rPr>
                      <w:b/>
                      <w:sz w:val="21"/>
                      <w:szCs w:val="21"/>
                    </w:rPr>
                  </w:pPr>
                  <w:r>
                    <w:rPr>
                      <w:b/>
                      <w:sz w:val="21"/>
                      <w:szCs w:val="21"/>
                    </w:rPr>
                    <w:t>声源名称</w:t>
                  </w:r>
                </w:p>
              </w:tc>
              <w:tc>
                <w:tcPr>
                  <w:tcW w:w="652" w:type="dxa"/>
                  <w:vMerge w:val="restart"/>
                  <w:tcBorders>
                    <w:top w:val="single" w:color="auto" w:sz="8" w:space="0"/>
                  </w:tcBorders>
                  <w:noWrap/>
                  <w:vAlign w:val="center"/>
                </w:tcPr>
                <w:p>
                  <w:pPr>
                    <w:jc w:val="center"/>
                    <w:rPr>
                      <w:b/>
                      <w:sz w:val="21"/>
                      <w:szCs w:val="21"/>
                    </w:rPr>
                  </w:pPr>
                  <w:r>
                    <w:rPr>
                      <w:b/>
                      <w:sz w:val="21"/>
                      <w:szCs w:val="21"/>
                    </w:rPr>
                    <w:t>声功率级/dB（A）</w:t>
                  </w:r>
                </w:p>
              </w:tc>
              <w:tc>
                <w:tcPr>
                  <w:tcW w:w="635" w:type="dxa"/>
                  <w:vMerge w:val="restart"/>
                  <w:tcBorders>
                    <w:top w:val="single" w:color="auto" w:sz="8" w:space="0"/>
                  </w:tcBorders>
                  <w:noWrap/>
                  <w:vAlign w:val="center"/>
                </w:tcPr>
                <w:p>
                  <w:pPr>
                    <w:jc w:val="center"/>
                    <w:rPr>
                      <w:b/>
                      <w:sz w:val="21"/>
                      <w:szCs w:val="21"/>
                    </w:rPr>
                  </w:pPr>
                  <w:r>
                    <w:rPr>
                      <w:b/>
                      <w:sz w:val="21"/>
                      <w:szCs w:val="21"/>
                    </w:rPr>
                    <w:t>声源控制措施</w:t>
                  </w:r>
                </w:p>
              </w:tc>
              <w:tc>
                <w:tcPr>
                  <w:tcW w:w="1664" w:type="dxa"/>
                  <w:gridSpan w:val="3"/>
                  <w:tcBorders>
                    <w:top w:val="single" w:color="auto" w:sz="8" w:space="0"/>
                  </w:tcBorders>
                  <w:noWrap/>
                  <w:vAlign w:val="center"/>
                </w:tcPr>
                <w:p>
                  <w:pPr>
                    <w:jc w:val="center"/>
                    <w:rPr>
                      <w:b/>
                      <w:sz w:val="21"/>
                      <w:szCs w:val="21"/>
                    </w:rPr>
                  </w:pPr>
                  <w:r>
                    <w:rPr>
                      <w:b/>
                      <w:sz w:val="21"/>
                      <w:szCs w:val="21"/>
                    </w:rPr>
                    <w:t>空间相对位置/m</w:t>
                  </w:r>
                </w:p>
              </w:tc>
              <w:tc>
                <w:tcPr>
                  <w:tcW w:w="540" w:type="dxa"/>
                  <w:vMerge w:val="restart"/>
                  <w:tcBorders>
                    <w:top w:val="single" w:color="auto" w:sz="8" w:space="0"/>
                  </w:tcBorders>
                  <w:noWrap/>
                  <w:vAlign w:val="center"/>
                </w:tcPr>
                <w:p>
                  <w:pPr>
                    <w:jc w:val="center"/>
                    <w:rPr>
                      <w:b/>
                      <w:sz w:val="21"/>
                      <w:szCs w:val="21"/>
                    </w:rPr>
                  </w:pPr>
                  <w:r>
                    <w:rPr>
                      <w:b/>
                      <w:sz w:val="21"/>
                      <w:szCs w:val="21"/>
                    </w:rPr>
                    <w:t>距室内边界距离/m</w:t>
                  </w:r>
                </w:p>
              </w:tc>
              <w:tc>
                <w:tcPr>
                  <w:tcW w:w="564" w:type="dxa"/>
                  <w:vMerge w:val="restart"/>
                  <w:tcBorders>
                    <w:top w:val="single" w:color="auto" w:sz="8" w:space="0"/>
                  </w:tcBorders>
                  <w:noWrap/>
                  <w:vAlign w:val="center"/>
                </w:tcPr>
                <w:p>
                  <w:pPr>
                    <w:jc w:val="center"/>
                    <w:rPr>
                      <w:b/>
                      <w:sz w:val="21"/>
                      <w:szCs w:val="21"/>
                    </w:rPr>
                  </w:pPr>
                  <w:r>
                    <w:rPr>
                      <w:b/>
                      <w:sz w:val="21"/>
                      <w:szCs w:val="21"/>
                    </w:rPr>
                    <w:t>室内边界声级/dB（A）</w:t>
                  </w:r>
                </w:p>
              </w:tc>
              <w:tc>
                <w:tcPr>
                  <w:tcW w:w="787" w:type="dxa"/>
                  <w:vMerge w:val="restart"/>
                  <w:tcBorders>
                    <w:top w:val="single" w:color="auto" w:sz="8" w:space="0"/>
                  </w:tcBorders>
                  <w:vAlign w:val="center"/>
                </w:tcPr>
                <w:p>
                  <w:pPr>
                    <w:jc w:val="center"/>
                    <w:rPr>
                      <w:b/>
                      <w:sz w:val="21"/>
                      <w:szCs w:val="21"/>
                    </w:rPr>
                  </w:pPr>
                  <w:r>
                    <w:rPr>
                      <w:b/>
                      <w:sz w:val="21"/>
                      <w:szCs w:val="21"/>
                    </w:rPr>
                    <w:t>室内边界</w:t>
                  </w:r>
                  <w:r>
                    <w:rPr>
                      <w:rFonts w:hint="eastAsia"/>
                      <w:b/>
                      <w:sz w:val="21"/>
                      <w:szCs w:val="21"/>
                    </w:rPr>
                    <w:t>叠加</w:t>
                  </w:r>
                  <w:r>
                    <w:rPr>
                      <w:b/>
                      <w:sz w:val="21"/>
                      <w:szCs w:val="21"/>
                    </w:rPr>
                    <w:t>声级/dB（A）</w:t>
                  </w:r>
                </w:p>
              </w:tc>
              <w:tc>
                <w:tcPr>
                  <w:tcW w:w="787" w:type="dxa"/>
                  <w:vMerge w:val="restart"/>
                  <w:tcBorders>
                    <w:top w:val="single" w:color="auto" w:sz="8" w:space="0"/>
                  </w:tcBorders>
                  <w:noWrap/>
                  <w:vAlign w:val="center"/>
                </w:tcPr>
                <w:p>
                  <w:pPr>
                    <w:jc w:val="center"/>
                    <w:rPr>
                      <w:b/>
                      <w:sz w:val="21"/>
                      <w:szCs w:val="21"/>
                    </w:rPr>
                  </w:pPr>
                  <w:r>
                    <w:rPr>
                      <w:b/>
                      <w:sz w:val="21"/>
                      <w:szCs w:val="21"/>
                    </w:rPr>
                    <w:t>运行时段</w:t>
                  </w:r>
                </w:p>
              </w:tc>
              <w:tc>
                <w:tcPr>
                  <w:tcW w:w="599" w:type="dxa"/>
                  <w:vMerge w:val="restart"/>
                  <w:tcBorders>
                    <w:top w:val="single" w:color="auto" w:sz="8" w:space="0"/>
                  </w:tcBorders>
                  <w:noWrap/>
                  <w:vAlign w:val="center"/>
                </w:tcPr>
                <w:p>
                  <w:pPr>
                    <w:jc w:val="center"/>
                    <w:rPr>
                      <w:b/>
                      <w:sz w:val="21"/>
                      <w:szCs w:val="21"/>
                    </w:rPr>
                  </w:pPr>
                  <w:r>
                    <w:rPr>
                      <w:b/>
                      <w:sz w:val="21"/>
                      <w:szCs w:val="21"/>
                    </w:rPr>
                    <w:t>建筑物插入损失/dB（A）</w:t>
                  </w:r>
                </w:p>
              </w:tc>
              <w:tc>
                <w:tcPr>
                  <w:tcW w:w="922" w:type="dxa"/>
                  <w:gridSpan w:val="2"/>
                  <w:tcBorders>
                    <w:top w:val="single" w:color="auto" w:sz="8" w:space="0"/>
                  </w:tcBorders>
                  <w:noWrap/>
                  <w:vAlign w:val="center"/>
                </w:tcPr>
                <w:p>
                  <w:pPr>
                    <w:jc w:val="center"/>
                    <w:rPr>
                      <w:b/>
                      <w:sz w:val="21"/>
                      <w:szCs w:val="21"/>
                    </w:rPr>
                  </w:pPr>
                  <w:r>
                    <w:rPr>
                      <w:b/>
                      <w:sz w:val="21"/>
                      <w:szCs w:val="21"/>
                    </w:rPr>
                    <w:t>建筑物外噪声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0" w:type="dxa"/>
                  <w:vMerge w:val="continue"/>
                  <w:tcBorders>
                    <w:bottom w:val="single" w:color="auto" w:sz="8" w:space="0"/>
                  </w:tcBorders>
                  <w:noWrap/>
                  <w:vAlign w:val="center"/>
                </w:tcPr>
                <w:p>
                  <w:pPr>
                    <w:jc w:val="center"/>
                    <w:rPr>
                      <w:b/>
                      <w:sz w:val="21"/>
                      <w:szCs w:val="21"/>
                    </w:rPr>
                  </w:pPr>
                </w:p>
              </w:tc>
              <w:tc>
                <w:tcPr>
                  <w:tcW w:w="501" w:type="dxa"/>
                  <w:vMerge w:val="continue"/>
                  <w:tcBorders>
                    <w:bottom w:val="single" w:color="auto" w:sz="8" w:space="0"/>
                  </w:tcBorders>
                  <w:noWrap/>
                  <w:vAlign w:val="center"/>
                </w:tcPr>
                <w:p>
                  <w:pPr>
                    <w:jc w:val="center"/>
                    <w:rPr>
                      <w:b/>
                      <w:sz w:val="21"/>
                      <w:szCs w:val="21"/>
                    </w:rPr>
                  </w:pPr>
                </w:p>
              </w:tc>
              <w:tc>
                <w:tcPr>
                  <w:tcW w:w="864" w:type="dxa"/>
                  <w:vMerge w:val="continue"/>
                  <w:tcBorders>
                    <w:bottom w:val="single" w:color="auto" w:sz="8" w:space="0"/>
                  </w:tcBorders>
                  <w:noWrap/>
                  <w:vAlign w:val="center"/>
                </w:tcPr>
                <w:p>
                  <w:pPr>
                    <w:jc w:val="center"/>
                    <w:rPr>
                      <w:b/>
                      <w:sz w:val="21"/>
                      <w:szCs w:val="21"/>
                    </w:rPr>
                  </w:pPr>
                </w:p>
              </w:tc>
              <w:tc>
                <w:tcPr>
                  <w:tcW w:w="652" w:type="dxa"/>
                  <w:vMerge w:val="continue"/>
                  <w:tcBorders>
                    <w:bottom w:val="single" w:color="auto" w:sz="8" w:space="0"/>
                  </w:tcBorders>
                  <w:noWrap/>
                  <w:vAlign w:val="center"/>
                </w:tcPr>
                <w:p>
                  <w:pPr>
                    <w:jc w:val="center"/>
                    <w:rPr>
                      <w:b/>
                      <w:sz w:val="21"/>
                      <w:szCs w:val="21"/>
                    </w:rPr>
                  </w:pPr>
                </w:p>
              </w:tc>
              <w:tc>
                <w:tcPr>
                  <w:tcW w:w="635" w:type="dxa"/>
                  <w:vMerge w:val="continue"/>
                  <w:tcBorders>
                    <w:bottom w:val="single" w:color="auto" w:sz="8" w:space="0"/>
                  </w:tcBorders>
                  <w:noWrap/>
                  <w:vAlign w:val="center"/>
                </w:tcPr>
                <w:p>
                  <w:pPr>
                    <w:jc w:val="center"/>
                    <w:rPr>
                      <w:b/>
                      <w:sz w:val="21"/>
                      <w:szCs w:val="21"/>
                    </w:rPr>
                  </w:pPr>
                </w:p>
              </w:tc>
              <w:tc>
                <w:tcPr>
                  <w:tcW w:w="571" w:type="dxa"/>
                  <w:tcBorders>
                    <w:bottom w:val="single" w:color="auto" w:sz="8" w:space="0"/>
                  </w:tcBorders>
                  <w:noWrap/>
                  <w:vAlign w:val="center"/>
                </w:tcPr>
                <w:p>
                  <w:pPr>
                    <w:jc w:val="center"/>
                    <w:rPr>
                      <w:b/>
                      <w:sz w:val="21"/>
                      <w:szCs w:val="21"/>
                    </w:rPr>
                  </w:pPr>
                  <w:r>
                    <w:rPr>
                      <w:b/>
                      <w:sz w:val="21"/>
                      <w:szCs w:val="21"/>
                    </w:rPr>
                    <w:t>X</w:t>
                  </w:r>
                </w:p>
              </w:tc>
              <w:tc>
                <w:tcPr>
                  <w:tcW w:w="608" w:type="dxa"/>
                  <w:tcBorders>
                    <w:bottom w:val="single" w:color="auto" w:sz="8" w:space="0"/>
                  </w:tcBorders>
                  <w:noWrap/>
                  <w:vAlign w:val="center"/>
                </w:tcPr>
                <w:p>
                  <w:pPr>
                    <w:jc w:val="center"/>
                    <w:rPr>
                      <w:b/>
                      <w:sz w:val="21"/>
                      <w:szCs w:val="21"/>
                    </w:rPr>
                  </w:pPr>
                  <w:r>
                    <w:rPr>
                      <w:rFonts w:hint="eastAsia"/>
                      <w:b/>
                      <w:sz w:val="21"/>
                      <w:szCs w:val="21"/>
                    </w:rPr>
                    <w:t>Y</w:t>
                  </w:r>
                </w:p>
              </w:tc>
              <w:tc>
                <w:tcPr>
                  <w:tcW w:w="485" w:type="dxa"/>
                  <w:tcBorders>
                    <w:bottom w:val="single" w:color="auto" w:sz="8" w:space="0"/>
                  </w:tcBorders>
                  <w:noWrap/>
                  <w:vAlign w:val="center"/>
                </w:tcPr>
                <w:p>
                  <w:pPr>
                    <w:jc w:val="center"/>
                    <w:rPr>
                      <w:b/>
                      <w:sz w:val="21"/>
                      <w:szCs w:val="21"/>
                    </w:rPr>
                  </w:pPr>
                  <w:r>
                    <w:rPr>
                      <w:b/>
                      <w:sz w:val="21"/>
                      <w:szCs w:val="21"/>
                    </w:rPr>
                    <w:t>Z</w:t>
                  </w:r>
                </w:p>
              </w:tc>
              <w:tc>
                <w:tcPr>
                  <w:tcW w:w="540" w:type="dxa"/>
                  <w:vMerge w:val="continue"/>
                  <w:tcBorders>
                    <w:bottom w:val="single" w:color="auto" w:sz="8" w:space="0"/>
                  </w:tcBorders>
                  <w:noWrap/>
                  <w:vAlign w:val="center"/>
                </w:tcPr>
                <w:p>
                  <w:pPr>
                    <w:jc w:val="center"/>
                    <w:rPr>
                      <w:b/>
                      <w:sz w:val="21"/>
                      <w:szCs w:val="21"/>
                    </w:rPr>
                  </w:pPr>
                </w:p>
              </w:tc>
              <w:tc>
                <w:tcPr>
                  <w:tcW w:w="564" w:type="dxa"/>
                  <w:vMerge w:val="continue"/>
                  <w:tcBorders>
                    <w:bottom w:val="single" w:color="auto" w:sz="8" w:space="0"/>
                  </w:tcBorders>
                  <w:noWrap/>
                  <w:vAlign w:val="center"/>
                </w:tcPr>
                <w:p>
                  <w:pPr>
                    <w:jc w:val="center"/>
                    <w:rPr>
                      <w:b/>
                      <w:sz w:val="21"/>
                      <w:szCs w:val="21"/>
                    </w:rPr>
                  </w:pPr>
                </w:p>
              </w:tc>
              <w:tc>
                <w:tcPr>
                  <w:tcW w:w="787" w:type="dxa"/>
                  <w:vMerge w:val="continue"/>
                  <w:tcBorders>
                    <w:bottom w:val="single" w:color="auto" w:sz="8" w:space="0"/>
                  </w:tcBorders>
                </w:tcPr>
                <w:p>
                  <w:pPr>
                    <w:jc w:val="center"/>
                    <w:rPr>
                      <w:b/>
                      <w:sz w:val="21"/>
                      <w:szCs w:val="21"/>
                    </w:rPr>
                  </w:pPr>
                </w:p>
              </w:tc>
              <w:tc>
                <w:tcPr>
                  <w:tcW w:w="787" w:type="dxa"/>
                  <w:vMerge w:val="continue"/>
                  <w:tcBorders>
                    <w:bottom w:val="single" w:color="auto" w:sz="8" w:space="0"/>
                  </w:tcBorders>
                  <w:noWrap/>
                  <w:vAlign w:val="center"/>
                </w:tcPr>
                <w:p>
                  <w:pPr>
                    <w:jc w:val="center"/>
                    <w:rPr>
                      <w:b/>
                      <w:sz w:val="21"/>
                      <w:szCs w:val="21"/>
                    </w:rPr>
                  </w:pPr>
                </w:p>
              </w:tc>
              <w:tc>
                <w:tcPr>
                  <w:tcW w:w="599" w:type="dxa"/>
                  <w:vMerge w:val="continue"/>
                  <w:tcBorders>
                    <w:bottom w:val="single" w:color="auto" w:sz="8" w:space="0"/>
                  </w:tcBorders>
                  <w:noWrap/>
                  <w:vAlign w:val="center"/>
                </w:tcPr>
                <w:p>
                  <w:pPr>
                    <w:jc w:val="center"/>
                    <w:rPr>
                      <w:b/>
                      <w:sz w:val="21"/>
                      <w:szCs w:val="21"/>
                    </w:rPr>
                  </w:pPr>
                </w:p>
              </w:tc>
              <w:tc>
                <w:tcPr>
                  <w:tcW w:w="560" w:type="dxa"/>
                  <w:tcBorders>
                    <w:bottom w:val="single" w:color="auto" w:sz="8" w:space="0"/>
                  </w:tcBorders>
                  <w:noWrap/>
                  <w:vAlign w:val="center"/>
                </w:tcPr>
                <w:p>
                  <w:pPr>
                    <w:jc w:val="center"/>
                    <w:rPr>
                      <w:b/>
                      <w:sz w:val="21"/>
                      <w:szCs w:val="21"/>
                    </w:rPr>
                  </w:pPr>
                  <w:r>
                    <w:rPr>
                      <w:b/>
                      <w:sz w:val="21"/>
                      <w:szCs w:val="21"/>
                    </w:rPr>
                    <w:t>声</w:t>
                  </w:r>
                  <w:r>
                    <w:rPr>
                      <w:rFonts w:hint="eastAsia"/>
                      <w:b/>
                      <w:sz w:val="21"/>
                      <w:szCs w:val="21"/>
                    </w:rPr>
                    <w:t>功率</w:t>
                  </w:r>
                  <w:r>
                    <w:rPr>
                      <w:b/>
                      <w:sz w:val="21"/>
                      <w:szCs w:val="21"/>
                    </w:rPr>
                    <w:t>级/dB</w:t>
                  </w:r>
                </w:p>
              </w:tc>
              <w:tc>
                <w:tcPr>
                  <w:tcW w:w="362" w:type="dxa"/>
                  <w:tcBorders>
                    <w:bottom w:val="single" w:color="auto" w:sz="8" w:space="0"/>
                  </w:tcBorders>
                  <w:noWrap/>
                  <w:vAlign w:val="center"/>
                </w:tcPr>
                <w:p>
                  <w:pPr>
                    <w:jc w:val="center"/>
                    <w:rPr>
                      <w:b/>
                      <w:sz w:val="21"/>
                      <w:szCs w:val="21"/>
                    </w:rPr>
                  </w:pPr>
                  <w:r>
                    <w:rPr>
                      <w:b/>
                      <w:sz w:val="21"/>
                      <w:szCs w:val="21"/>
                    </w:rPr>
                    <w:t>建筑物外距离/m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0" w:type="dxa"/>
                  <w:tcBorders>
                    <w:top w:val="single" w:color="auto" w:sz="8" w:space="0"/>
                  </w:tcBorders>
                  <w:noWrap/>
                  <w:vAlign w:val="center"/>
                </w:tcPr>
                <w:p>
                  <w:pPr>
                    <w:jc w:val="center"/>
                    <w:rPr>
                      <w:sz w:val="21"/>
                      <w:szCs w:val="21"/>
                    </w:rPr>
                  </w:pPr>
                  <w:r>
                    <w:rPr>
                      <w:sz w:val="21"/>
                      <w:szCs w:val="21"/>
                    </w:rPr>
                    <w:t>1</w:t>
                  </w:r>
                </w:p>
              </w:tc>
              <w:tc>
                <w:tcPr>
                  <w:tcW w:w="501" w:type="dxa"/>
                  <w:vMerge w:val="restart"/>
                  <w:tcBorders>
                    <w:top w:val="single" w:color="auto" w:sz="8" w:space="0"/>
                  </w:tcBorders>
                  <w:noWrap/>
                  <w:vAlign w:val="center"/>
                </w:tcPr>
                <w:p>
                  <w:pPr>
                    <w:jc w:val="center"/>
                    <w:rPr>
                      <w:sz w:val="21"/>
                      <w:szCs w:val="21"/>
                    </w:rPr>
                  </w:pPr>
                  <w:r>
                    <w:rPr>
                      <w:sz w:val="21"/>
                      <w:szCs w:val="21"/>
                    </w:rPr>
                    <w:t>生产厂间</w:t>
                  </w:r>
                </w:p>
              </w:tc>
              <w:tc>
                <w:tcPr>
                  <w:tcW w:w="864" w:type="dxa"/>
                  <w:tcBorders>
                    <w:top w:val="single" w:color="auto" w:sz="8" w:space="0"/>
                  </w:tcBorders>
                  <w:noWrap/>
                  <w:vAlign w:val="center"/>
                </w:tcPr>
                <w:p>
                  <w:pPr>
                    <w:pStyle w:val="125"/>
                    <w:rPr>
                      <w:rFonts w:hint="eastAsia" w:eastAsia="宋体"/>
                      <w:lang w:val="en-US" w:eastAsia="zh-CN"/>
                    </w:rPr>
                  </w:pPr>
                  <w:r>
                    <w:rPr>
                      <w:rFonts w:hint="eastAsia"/>
                      <w:lang w:val="en-US" w:eastAsia="zh-CN"/>
                    </w:rPr>
                    <w:t>拌合机</w:t>
                  </w:r>
                </w:p>
              </w:tc>
              <w:tc>
                <w:tcPr>
                  <w:tcW w:w="652" w:type="dxa"/>
                  <w:tcBorders>
                    <w:top w:val="single" w:color="auto" w:sz="8" w:space="0"/>
                  </w:tcBorders>
                  <w:noWrap/>
                  <w:vAlign w:val="center"/>
                </w:tcPr>
                <w:p>
                  <w:pPr>
                    <w:jc w:val="center"/>
                    <w:rPr>
                      <w:sz w:val="21"/>
                      <w:szCs w:val="21"/>
                    </w:rPr>
                  </w:pPr>
                  <w:r>
                    <w:rPr>
                      <w:rFonts w:hint="eastAsia"/>
                      <w:sz w:val="21"/>
                      <w:szCs w:val="21"/>
                    </w:rPr>
                    <w:t>90</w:t>
                  </w:r>
                </w:p>
              </w:tc>
              <w:tc>
                <w:tcPr>
                  <w:tcW w:w="635" w:type="dxa"/>
                  <w:vMerge w:val="restart"/>
                  <w:tcBorders>
                    <w:top w:val="single" w:color="auto" w:sz="8" w:space="0"/>
                  </w:tcBorders>
                  <w:noWrap/>
                  <w:vAlign w:val="center"/>
                </w:tcPr>
                <w:p>
                  <w:pPr>
                    <w:jc w:val="center"/>
                    <w:rPr>
                      <w:sz w:val="21"/>
                      <w:szCs w:val="21"/>
                    </w:rPr>
                  </w:pPr>
                  <w:r>
                    <w:rPr>
                      <w:rFonts w:hint="eastAsia"/>
                      <w:sz w:val="21"/>
                      <w:szCs w:val="21"/>
                    </w:rPr>
                    <w:t>设备减振、厂房隔声、距离衰减</w:t>
                  </w:r>
                </w:p>
              </w:tc>
              <w:tc>
                <w:tcPr>
                  <w:tcW w:w="571" w:type="dxa"/>
                  <w:tcBorders>
                    <w:top w:val="single" w:color="auto" w:sz="8" w:space="0"/>
                  </w:tcBorders>
                  <w:noWrap/>
                  <w:vAlign w:val="center"/>
                </w:tcPr>
                <w:p>
                  <w:pPr>
                    <w:jc w:val="center"/>
                    <w:rPr>
                      <w:rFonts w:hint="eastAsia" w:eastAsia="宋体"/>
                      <w:sz w:val="21"/>
                      <w:szCs w:val="21"/>
                      <w:lang w:val="en-US" w:eastAsia="zh-CN"/>
                    </w:rPr>
                  </w:pPr>
                  <w:r>
                    <w:rPr>
                      <w:rFonts w:hint="eastAsia"/>
                      <w:sz w:val="21"/>
                      <w:szCs w:val="21"/>
                      <w:lang w:val="en-US" w:eastAsia="zh-CN"/>
                    </w:rPr>
                    <w:t>4</w:t>
                  </w:r>
                </w:p>
              </w:tc>
              <w:tc>
                <w:tcPr>
                  <w:tcW w:w="608" w:type="dxa"/>
                  <w:tcBorders>
                    <w:top w:val="single" w:color="auto" w:sz="8" w:space="0"/>
                  </w:tcBorders>
                  <w:noWrap/>
                  <w:vAlign w:val="center"/>
                </w:tcPr>
                <w:p>
                  <w:pPr>
                    <w:jc w:val="center"/>
                    <w:rPr>
                      <w:rFonts w:hint="eastAsia" w:eastAsia="宋体"/>
                      <w:sz w:val="21"/>
                      <w:szCs w:val="21"/>
                      <w:lang w:val="en-US" w:eastAsia="zh-CN"/>
                    </w:rPr>
                  </w:pPr>
                  <w:r>
                    <w:rPr>
                      <w:rFonts w:hint="eastAsia"/>
                      <w:sz w:val="21"/>
                      <w:szCs w:val="21"/>
                      <w:lang w:val="en-US" w:eastAsia="zh-CN"/>
                    </w:rPr>
                    <w:t>9</w:t>
                  </w:r>
                </w:p>
              </w:tc>
              <w:tc>
                <w:tcPr>
                  <w:tcW w:w="485" w:type="dxa"/>
                  <w:tcBorders>
                    <w:top w:val="single" w:color="auto" w:sz="8" w:space="0"/>
                  </w:tcBorders>
                  <w:noWrap/>
                  <w:vAlign w:val="center"/>
                </w:tcPr>
                <w:p>
                  <w:pPr>
                    <w:jc w:val="center"/>
                    <w:rPr>
                      <w:rFonts w:hint="default" w:eastAsia="宋体"/>
                      <w:sz w:val="21"/>
                      <w:szCs w:val="21"/>
                      <w:lang w:val="en-US" w:eastAsia="zh-CN"/>
                    </w:rPr>
                  </w:pPr>
                  <w:r>
                    <w:rPr>
                      <w:rFonts w:hint="eastAsia"/>
                      <w:sz w:val="21"/>
                      <w:szCs w:val="21"/>
                      <w:lang w:val="en-US" w:eastAsia="zh-CN"/>
                    </w:rPr>
                    <w:t>3.6</w:t>
                  </w:r>
                </w:p>
              </w:tc>
              <w:tc>
                <w:tcPr>
                  <w:tcW w:w="540" w:type="dxa"/>
                  <w:tcBorders>
                    <w:top w:val="single" w:color="auto" w:sz="8" w:space="0"/>
                  </w:tcBorders>
                  <w:noWrap/>
                  <w:vAlign w:val="center"/>
                </w:tcPr>
                <w:p>
                  <w:pPr>
                    <w:jc w:val="center"/>
                    <w:rPr>
                      <w:rFonts w:hint="default" w:eastAsia="宋体"/>
                      <w:sz w:val="21"/>
                      <w:szCs w:val="21"/>
                      <w:lang w:val="en-US" w:eastAsia="zh-CN"/>
                    </w:rPr>
                  </w:pPr>
                  <w:r>
                    <w:rPr>
                      <w:rFonts w:hint="eastAsia"/>
                      <w:sz w:val="21"/>
                      <w:szCs w:val="21"/>
                      <w:lang w:val="en-US" w:eastAsia="zh-CN"/>
                    </w:rPr>
                    <w:t>23</w:t>
                  </w:r>
                </w:p>
              </w:tc>
              <w:tc>
                <w:tcPr>
                  <w:tcW w:w="564" w:type="dxa"/>
                  <w:tcBorders>
                    <w:top w:val="single" w:color="auto" w:sz="8" w:space="0"/>
                  </w:tcBorders>
                  <w:noWrap/>
                  <w:vAlign w:val="center"/>
                </w:tcPr>
                <w:p>
                  <w:pPr>
                    <w:jc w:val="center"/>
                    <w:rPr>
                      <w:rFonts w:hint="default" w:eastAsia="宋体"/>
                      <w:sz w:val="21"/>
                      <w:szCs w:val="21"/>
                      <w:lang w:val="en-US" w:eastAsia="zh-CN"/>
                    </w:rPr>
                  </w:pPr>
                  <w:r>
                    <w:rPr>
                      <w:rFonts w:hint="eastAsia"/>
                      <w:sz w:val="21"/>
                      <w:szCs w:val="21"/>
                      <w:lang w:val="en-US" w:eastAsia="zh-CN"/>
                    </w:rPr>
                    <w:t>62.7</w:t>
                  </w:r>
                </w:p>
              </w:tc>
              <w:tc>
                <w:tcPr>
                  <w:tcW w:w="787" w:type="dxa"/>
                  <w:vMerge w:val="restart"/>
                  <w:tcBorders>
                    <w:top w:val="single" w:color="auto" w:sz="8" w:space="0"/>
                  </w:tcBorders>
                  <w:vAlign w:val="center"/>
                </w:tcPr>
                <w:p>
                  <w:pPr>
                    <w:jc w:val="center"/>
                    <w:rPr>
                      <w:rFonts w:hint="default" w:eastAsia="宋体"/>
                      <w:sz w:val="21"/>
                      <w:szCs w:val="21"/>
                      <w:lang w:val="en-US" w:eastAsia="zh-CN"/>
                    </w:rPr>
                  </w:pPr>
                  <w:r>
                    <w:rPr>
                      <w:rFonts w:hint="eastAsia"/>
                      <w:sz w:val="21"/>
                      <w:szCs w:val="21"/>
                      <w:lang w:val="en-US" w:eastAsia="zh-CN"/>
                    </w:rPr>
                    <w:t>68.5</w:t>
                  </w:r>
                </w:p>
              </w:tc>
              <w:tc>
                <w:tcPr>
                  <w:tcW w:w="787" w:type="dxa"/>
                  <w:tcBorders>
                    <w:top w:val="single" w:color="auto" w:sz="8" w:space="0"/>
                  </w:tcBorders>
                  <w:noWrap/>
                  <w:vAlign w:val="center"/>
                </w:tcPr>
                <w:p>
                  <w:pPr>
                    <w:jc w:val="center"/>
                    <w:rPr>
                      <w:sz w:val="21"/>
                      <w:szCs w:val="21"/>
                    </w:rPr>
                  </w:pPr>
                  <w:r>
                    <w:rPr>
                      <w:rFonts w:hint="eastAsia"/>
                      <w:sz w:val="21"/>
                      <w:szCs w:val="21"/>
                    </w:rPr>
                    <w:t>8</w:t>
                  </w:r>
                  <w:r>
                    <w:rPr>
                      <w:sz w:val="21"/>
                      <w:szCs w:val="21"/>
                    </w:rPr>
                    <w:t>:00-</w:t>
                  </w:r>
                  <w:r>
                    <w:rPr>
                      <w:rFonts w:hint="eastAsia"/>
                      <w:sz w:val="21"/>
                      <w:szCs w:val="21"/>
                    </w:rPr>
                    <w:t>18</w:t>
                  </w:r>
                  <w:r>
                    <w:rPr>
                      <w:sz w:val="21"/>
                      <w:szCs w:val="21"/>
                    </w:rPr>
                    <w:t>:00</w:t>
                  </w:r>
                </w:p>
              </w:tc>
              <w:tc>
                <w:tcPr>
                  <w:tcW w:w="599" w:type="dxa"/>
                  <w:vMerge w:val="restart"/>
                  <w:tcBorders>
                    <w:top w:val="single" w:color="auto" w:sz="8" w:space="0"/>
                  </w:tcBorders>
                  <w:noWrap/>
                  <w:vAlign w:val="center"/>
                </w:tcPr>
                <w:p>
                  <w:pPr>
                    <w:jc w:val="center"/>
                    <w:rPr>
                      <w:rFonts w:hint="default" w:eastAsia="宋体"/>
                      <w:sz w:val="21"/>
                      <w:szCs w:val="21"/>
                      <w:lang w:val="en-US" w:eastAsia="zh-CN"/>
                    </w:rPr>
                  </w:pPr>
                  <w:r>
                    <w:rPr>
                      <w:rFonts w:hint="eastAsia"/>
                      <w:sz w:val="21"/>
                      <w:szCs w:val="21"/>
                      <w:lang w:val="en-US" w:eastAsia="zh-CN"/>
                    </w:rPr>
                    <w:t>20</w:t>
                  </w:r>
                </w:p>
              </w:tc>
              <w:tc>
                <w:tcPr>
                  <w:tcW w:w="560" w:type="dxa"/>
                  <w:vMerge w:val="restart"/>
                  <w:tcBorders>
                    <w:top w:val="single" w:color="auto" w:sz="8" w:space="0"/>
                  </w:tcBorders>
                  <w:noWrap/>
                  <w:vAlign w:val="center"/>
                </w:tcPr>
                <w:p>
                  <w:pPr>
                    <w:jc w:val="center"/>
                    <w:rPr>
                      <w:rFonts w:hint="default" w:eastAsia="宋体"/>
                      <w:sz w:val="21"/>
                      <w:szCs w:val="21"/>
                      <w:lang w:val="en-US" w:eastAsia="zh-CN"/>
                    </w:rPr>
                  </w:pPr>
                  <w:r>
                    <w:rPr>
                      <w:rFonts w:hint="eastAsia"/>
                      <w:sz w:val="21"/>
                      <w:szCs w:val="21"/>
                      <w:lang w:val="en-US" w:eastAsia="zh-CN"/>
                    </w:rPr>
                    <w:t>48.5</w:t>
                  </w:r>
                </w:p>
              </w:tc>
              <w:tc>
                <w:tcPr>
                  <w:tcW w:w="362" w:type="dxa"/>
                  <w:vMerge w:val="restart"/>
                  <w:tcBorders>
                    <w:top w:val="single" w:color="auto" w:sz="8" w:space="0"/>
                  </w:tcBorders>
                  <w:noWrap/>
                  <w:vAlign w:val="center"/>
                </w:tcPr>
                <w:p>
                  <w:pPr>
                    <w:jc w:val="center"/>
                    <w:rPr>
                      <w:sz w:val="21"/>
                      <w:szCs w:val="21"/>
                    </w:rPr>
                  </w:pPr>
                  <w:r>
                    <w:rPr>
                      <w:sz w:val="21"/>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0" w:type="dxa"/>
                  <w:noWrap/>
                  <w:vAlign w:val="center"/>
                </w:tcPr>
                <w:p>
                  <w:pPr>
                    <w:jc w:val="center"/>
                    <w:rPr>
                      <w:sz w:val="21"/>
                      <w:szCs w:val="21"/>
                    </w:rPr>
                  </w:pPr>
                  <w:r>
                    <w:rPr>
                      <w:rFonts w:hint="eastAsia"/>
                      <w:sz w:val="21"/>
                      <w:szCs w:val="21"/>
                    </w:rPr>
                    <w:t>2</w:t>
                  </w:r>
                </w:p>
              </w:tc>
              <w:tc>
                <w:tcPr>
                  <w:tcW w:w="501" w:type="dxa"/>
                  <w:vMerge w:val="continue"/>
                  <w:noWrap/>
                  <w:vAlign w:val="center"/>
                </w:tcPr>
                <w:p>
                  <w:pPr>
                    <w:jc w:val="center"/>
                    <w:rPr>
                      <w:sz w:val="21"/>
                      <w:szCs w:val="21"/>
                    </w:rPr>
                  </w:pPr>
                </w:p>
              </w:tc>
              <w:tc>
                <w:tcPr>
                  <w:tcW w:w="864" w:type="dxa"/>
                  <w:noWrap/>
                  <w:vAlign w:val="center"/>
                </w:tcPr>
                <w:p>
                  <w:pPr>
                    <w:pStyle w:val="125"/>
                  </w:pPr>
                  <w:r>
                    <w:rPr>
                      <w:rFonts w:hint="eastAsia"/>
                      <w:lang w:val="en-US" w:eastAsia="zh-CN"/>
                    </w:rPr>
                    <w:t>拌合机</w:t>
                  </w:r>
                </w:p>
              </w:tc>
              <w:tc>
                <w:tcPr>
                  <w:tcW w:w="652" w:type="dxa"/>
                  <w:noWrap/>
                  <w:vAlign w:val="center"/>
                </w:tcPr>
                <w:p>
                  <w:pPr>
                    <w:jc w:val="center"/>
                    <w:rPr>
                      <w:sz w:val="21"/>
                      <w:szCs w:val="21"/>
                    </w:rPr>
                  </w:pPr>
                  <w:r>
                    <w:rPr>
                      <w:rFonts w:hint="eastAsia"/>
                      <w:sz w:val="21"/>
                      <w:szCs w:val="21"/>
                    </w:rPr>
                    <w:t>90</w:t>
                  </w:r>
                </w:p>
              </w:tc>
              <w:tc>
                <w:tcPr>
                  <w:tcW w:w="635" w:type="dxa"/>
                  <w:vMerge w:val="continue"/>
                  <w:noWrap/>
                  <w:vAlign w:val="center"/>
                </w:tcPr>
                <w:p>
                  <w:pPr>
                    <w:jc w:val="center"/>
                    <w:rPr>
                      <w:sz w:val="21"/>
                      <w:szCs w:val="21"/>
                    </w:rPr>
                  </w:pPr>
                </w:p>
              </w:tc>
              <w:tc>
                <w:tcPr>
                  <w:tcW w:w="571" w:type="dxa"/>
                  <w:noWrap/>
                  <w:vAlign w:val="center"/>
                </w:tcPr>
                <w:p>
                  <w:pPr>
                    <w:jc w:val="center"/>
                    <w:rPr>
                      <w:rFonts w:hint="default" w:eastAsia="宋体"/>
                      <w:sz w:val="21"/>
                      <w:szCs w:val="21"/>
                      <w:lang w:val="en-US" w:eastAsia="zh-CN"/>
                    </w:rPr>
                  </w:pPr>
                  <w:r>
                    <w:rPr>
                      <w:rFonts w:hint="eastAsia"/>
                      <w:sz w:val="21"/>
                      <w:szCs w:val="21"/>
                      <w:lang w:val="en-US" w:eastAsia="zh-CN"/>
                    </w:rPr>
                    <w:t>6</w:t>
                  </w:r>
                </w:p>
              </w:tc>
              <w:tc>
                <w:tcPr>
                  <w:tcW w:w="608" w:type="dxa"/>
                  <w:noWrap/>
                  <w:vAlign w:val="center"/>
                </w:tcPr>
                <w:p>
                  <w:pPr>
                    <w:jc w:val="center"/>
                    <w:rPr>
                      <w:rFonts w:hint="eastAsia" w:eastAsia="宋体"/>
                      <w:sz w:val="21"/>
                      <w:szCs w:val="21"/>
                      <w:lang w:val="en-US" w:eastAsia="zh-CN"/>
                    </w:rPr>
                  </w:pPr>
                  <w:r>
                    <w:rPr>
                      <w:rFonts w:hint="eastAsia"/>
                      <w:sz w:val="21"/>
                      <w:szCs w:val="21"/>
                      <w:lang w:val="en-US" w:eastAsia="zh-CN"/>
                    </w:rPr>
                    <w:t>9</w:t>
                  </w:r>
                </w:p>
              </w:tc>
              <w:tc>
                <w:tcPr>
                  <w:tcW w:w="485" w:type="dxa"/>
                  <w:noWrap/>
                  <w:vAlign w:val="center"/>
                </w:tcPr>
                <w:p>
                  <w:pPr>
                    <w:jc w:val="center"/>
                    <w:rPr>
                      <w:rFonts w:hint="default" w:eastAsia="宋体"/>
                      <w:sz w:val="21"/>
                      <w:szCs w:val="21"/>
                      <w:lang w:val="en-US" w:eastAsia="zh-CN"/>
                    </w:rPr>
                  </w:pPr>
                  <w:r>
                    <w:rPr>
                      <w:rFonts w:hint="eastAsia"/>
                      <w:sz w:val="21"/>
                      <w:szCs w:val="21"/>
                      <w:lang w:val="en-US" w:eastAsia="zh-CN"/>
                    </w:rPr>
                    <w:t>3.6</w:t>
                  </w:r>
                </w:p>
              </w:tc>
              <w:tc>
                <w:tcPr>
                  <w:tcW w:w="540" w:type="dxa"/>
                  <w:noWrap/>
                  <w:vAlign w:val="center"/>
                </w:tcPr>
                <w:p>
                  <w:pPr>
                    <w:jc w:val="center"/>
                    <w:rPr>
                      <w:rFonts w:hint="default" w:eastAsia="宋体"/>
                      <w:sz w:val="21"/>
                      <w:szCs w:val="21"/>
                      <w:lang w:val="en-US" w:eastAsia="zh-CN"/>
                    </w:rPr>
                  </w:pPr>
                  <w:r>
                    <w:rPr>
                      <w:rFonts w:hint="eastAsia"/>
                      <w:sz w:val="21"/>
                      <w:szCs w:val="21"/>
                      <w:lang w:val="en-US" w:eastAsia="zh-CN"/>
                    </w:rPr>
                    <w:t>23</w:t>
                  </w:r>
                </w:p>
              </w:tc>
              <w:tc>
                <w:tcPr>
                  <w:tcW w:w="564" w:type="dxa"/>
                  <w:noWrap/>
                  <w:vAlign w:val="center"/>
                </w:tcPr>
                <w:p>
                  <w:pPr>
                    <w:jc w:val="center"/>
                    <w:rPr>
                      <w:rFonts w:hint="default" w:eastAsia="宋体"/>
                      <w:sz w:val="21"/>
                      <w:szCs w:val="21"/>
                      <w:lang w:val="en-US" w:eastAsia="zh-CN"/>
                    </w:rPr>
                  </w:pPr>
                  <w:r>
                    <w:rPr>
                      <w:rFonts w:hint="eastAsia"/>
                      <w:sz w:val="21"/>
                      <w:szCs w:val="21"/>
                    </w:rPr>
                    <w:t>6</w:t>
                  </w:r>
                  <w:r>
                    <w:rPr>
                      <w:rFonts w:hint="eastAsia"/>
                      <w:sz w:val="21"/>
                      <w:szCs w:val="21"/>
                      <w:lang w:val="en-US" w:eastAsia="zh-CN"/>
                    </w:rPr>
                    <w:t>2.7</w:t>
                  </w:r>
                </w:p>
              </w:tc>
              <w:tc>
                <w:tcPr>
                  <w:tcW w:w="787" w:type="dxa"/>
                  <w:vMerge w:val="continue"/>
                </w:tcPr>
                <w:p>
                  <w:pPr>
                    <w:jc w:val="center"/>
                    <w:rPr>
                      <w:sz w:val="21"/>
                      <w:szCs w:val="21"/>
                    </w:rPr>
                  </w:pPr>
                </w:p>
              </w:tc>
              <w:tc>
                <w:tcPr>
                  <w:tcW w:w="787" w:type="dxa"/>
                  <w:noWrap/>
                  <w:vAlign w:val="center"/>
                </w:tcPr>
                <w:p>
                  <w:pPr>
                    <w:jc w:val="center"/>
                    <w:rPr>
                      <w:sz w:val="21"/>
                      <w:szCs w:val="21"/>
                    </w:rPr>
                  </w:pPr>
                  <w:r>
                    <w:rPr>
                      <w:rFonts w:hint="eastAsia"/>
                      <w:sz w:val="21"/>
                      <w:szCs w:val="21"/>
                    </w:rPr>
                    <w:t>8</w:t>
                  </w:r>
                  <w:r>
                    <w:rPr>
                      <w:sz w:val="21"/>
                      <w:szCs w:val="21"/>
                    </w:rPr>
                    <w:t>:00-</w:t>
                  </w:r>
                  <w:r>
                    <w:rPr>
                      <w:rFonts w:hint="eastAsia"/>
                      <w:sz w:val="21"/>
                      <w:szCs w:val="21"/>
                    </w:rPr>
                    <w:t>18</w:t>
                  </w:r>
                  <w:r>
                    <w:rPr>
                      <w:sz w:val="21"/>
                      <w:szCs w:val="21"/>
                    </w:rPr>
                    <w:t>:00</w:t>
                  </w:r>
                </w:p>
              </w:tc>
              <w:tc>
                <w:tcPr>
                  <w:tcW w:w="599" w:type="dxa"/>
                  <w:vMerge w:val="continue"/>
                  <w:noWrap/>
                  <w:vAlign w:val="center"/>
                </w:tcPr>
                <w:p>
                  <w:pPr>
                    <w:jc w:val="center"/>
                    <w:rPr>
                      <w:sz w:val="21"/>
                      <w:szCs w:val="21"/>
                    </w:rPr>
                  </w:pPr>
                </w:p>
              </w:tc>
              <w:tc>
                <w:tcPr>
                  <w:tcW w:w="560" w:type="dxa"/>
                  <w:vMerge w:val="continue"/>
                  <w:noWrap/>
                  <w:vAlign w:val="center"/>
                </w:tcPr>
                <w:p>
                  <w:pPr>
                    <w:jc w:val="center"/>
                    <w:rPr>
                      <w:sz w:val="21"/>
                      <w:szCs w:val="21"/>
                    </w:rPr>
                  </w:pPr>
                </w:p>
              </w:tc>
              <w:tc>
                <w:tcPr>
                  <w:tcW w:w="362" w:type="dxa"/>
                  <w:vMerge w:val="continue"/>
                  <w:noWrap/>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0" w:type="dxa"/>
                  <w:noWrap/>
                  <w:vAlign w:val="center"/>
                </w:tcPr>
                <w:p>
                  <w:pPr>
                    <w:jc w:val="center"/>
                    <w:rPr>
                      <w:sz w:val="21"/>
                      <w:szCs w:val="21"/>
                    </w:rPr>
                  </w:pPr>
                  <w:r>
                    <w:rPr>
                      <w:rFonts w:hint="eastAsia"/>
                      <w:sz w:val="21"/>
                      <w:szCs w:val="21"/>
                    </w:rPr>
                    <w:t>3</w:t>
                  </w:r>
                </w:p>
              </w:tc>
              <w:tc>
                <w:tcPr>
                  <w:tcW w:w="501" w:type="dxa"/>
                  <w:vMerge w:val="continue"/>
                  <w:noWrap/>
                  <w:vAlign w:val="center"/>
                </w:tcPr>
                <w:p>
                  <w:pPr>
                    <w:jc w:val="center"/>
                    <w:rPr>
                      <w:sz w:val="21"/>
                      <w:szCs w:val="21"/>
                    </w:rPr>
                  </w:pPr>
                </w:p>
              </w:tc>
              <w:tc>
                <w:tcPr>
                  <w:tcW w:w="864" w:type="dxa"/>
                  <w:noWrap/>
                  <w:vAlign w:val="center"/>
                </w:tcPr>
                <w:p>
                  <w:pPr>
                    <w:pStyle w:val="125"/>
                    <w:rPr>
                      <w:rFonts w:hint="eastAsia" w:eastAsia="宋体"/>
                      <w:lang w:val="en-US" w:eastAsia="zh-CN"/>
                    </w:rPr>
                  </w:pPr>
                  <w:r>
                    <w:rPr>
                      <w:rFonts w:hint="eastAsia"/>
                      <w:lang w:val="en-US" w:eastAsia="zh-CN"/>
                    </w:rPr>
                    <w:t>配料机</w:t>
                  </w:r>
                </w:p>
              </w:tc>
              <w:tc>
                <w:tcPr>
                  <w:tcW w:w="652" w:type="dxa"/>
                  <w:noWrap/>
                  <w:vAlign w:val="center"/>
                </w:tcPr>
                <w:p>
                  <w:pPr>
                    <w:jc w:val="center"/>
                    <w:rPr>
                      <w:rFonts w:hint="default" w:eastAsia="宋体"/>
                      <w:sz w:val="21"/>
                      <w:szCs w:val="21"/>
                      <w:lang w:val="en-US" w:eastAsia="zh-CN"/>
                    </w:rPr>
                  </w:pPr>
                  <w:r>
                    <w:rPr>
                      <w:rFonts w:hint="eastAsia"/>
                      <w:sz w:val="21"/>
                      <w:szCs w:val="21"/>
                      <w:lang w:val="en-US" w:eastAsia="zh-CN"/>
                    </w:rPr>
                    <w:t>90</w:t>
                  </w:r>
                </w:p>
              </w:tc>
              <w:tc>
                <w:tcPr>
                  <w:tcW w:w="635" w:type="dxa"/>
                  <w:vMerge w:val="continue"/>
                  <w:noWrap/>
                  <w:vAlign w:val="center"/>
                </w:tcPr>
                <w:p>
                  <w:pPr>
                    <w:jc w:val="center"/>
                    <w:rPr>
                      <w:sz w:val="21"/>
                      <w:szCs w:val="21"/>
                    </w:rPr>
                  </w:pPr>
                </w:p>
              </w:tc>
              <w:tc>
                <w:tcPr>
                  <w:tcW w:w="571" w:type="dxa"/>
                  <w:noWrap/>
                  <w:vAlign w:val="center"/>
                </w:tcPr>
                <w:p>
                  <w:pPr>
                    <w:jc w:val="center"/>
                    <w:rPr>
                      <w:rFonts w:hint="default" w:eastAsia="宋体"/>
                      <w:sz w:val="21"/>
                      <w:szCs w:val="21"/>
                      <w:lang w:val="en-US" w:eastAsia="zh-CN"/>
                    </w:rPr>
                  </w:pPr>
                  <w:r>
                    <w:rPr>
                      <w:rFonts w:hint="eastAsia"/>
                      <w:sz w:val="21"/>
                      <w:szCs w:val="21"/>
                      <w:lang w:val="en-US" w:eastAsia="zh-CN"/>
                    </w:rPr>
                    <w:t>10</w:t>
                  </w:r>
                </w:p>
              </w:tc>
              <w:tc>
                <w:tcPr>
                  <w:tcW w:w="608" w:type="dxa"/>
                  <w:noWrap/>
                  <w:vAlign w:val="center"/>
                </w:tcPr>
                <w:p>
                  <w:pPr>
                    <w:jc w:val="center"/>
                    <w:rPr>
                      <w:rFonts w:hint="eastAsia" w:eastAsia="宋体"/>
                      <w:sz w:val="21"/>
                      <w:szCs w:val="21"/>
                      <w:lang w:val="en-US" w:eastAsia="zh-CN"/>
                    </w:rPr>
                  </w:pPr>
                  <w:r>
                    <w:rPr>
                      <w:rFonts w:hint="eastAsia"/>
                      <w:sz w:val="21"/>
                      <w:szCs w:val="21"/>
                      <w:lang w:val="en-US" w:eastAsia="zh-CN"/>
                    </w:rPr>
                    <w:t>3</w:t>
                  </w:r>
                </w:p>
              </w:tc>
              <w:tc>
                <w:tcPr>
                  <w:tcW w:w="485" w:type="dxa"/>
                  <w:noWrap/>
                  <w:vAlign w:val="center"/>
                </w:tcPr>
                <w:p>
                  <w:pPr>
                    <w:jc w:val="center"/>
                    <w:rPr>
                      <w:sz w:val="21"/>
                      <w:szCs w:val="21"/>
                    </w:rPr>
                  </w:pPr>
                  <w:r>
                    <w:rPr>
                      <w:rFonts w:hint="eastAsia"/>
                      <w:sz w:val="21"/>
                      <w:szCs w:val="21"/>
                      <w:lang w:val="en-US" w:eastAsia="zh-CN"/>
                    </w:rPr>
                    <w:t>1.2</w:t>
                  </w:r>
                </w:p>
              </w:tc>
              <w:tc>
                <w:tcPr>
                  <w:tcW w:w="540" w:type="dxa"/>
                  <w:noWrap/>
                  <w:vAlign w:val="center"/>
                </w:tcPr>
                <w:p>
                  <w:pPr>
                    <w:jc w:val="center"/>
                    <w:rPr>
                      <w:rFonts w:hint="default" w:eastAsia="宋体"/>
                      <w:sz w:val="21"/>
                      <w:szCs w:val="21"/>
                      <w:lang w:val="en-US" w:eastAsia="zh-CN"/>
                    </w:rPr>
                  </w:pPr>
                  <w:r>
                    <w:rPr>
                      <w:rFonts w:hint="eastAsia"/>
                      <w:sz w:val="21"/>
                      <w:szCs w:val="21"/>
                      <w:lang w:val="en-US" w:eastAsia="zh-CN"/>
                    </w:rPr>
                    <w:t>43</w:t>
                  </w:r>
                </w:p>
              </w:tc>
              <w:tc>
                <w:tcPr>
                  <w:tcW w:w="564" w:type="dxa"/>
                  <w:noWrap/>
                  <w:vAlign w:val="center"/>
                </w:tcPr>
                <w:p>
                  <w:pPr>
                    <w:jc w:val="center"/>
                    <w:rPr>
                      <w:rFonts w:hint="default" w:eastAsia="宋体"/>
                      <w:sz w:val="21"/>
                      <w:szCs w:val="21"/>
                      <w:lang w:val="en-US" w:eastAsia="zh-CN"/>
                    </w:rPr>
                  </w:pPr>
                  <w:r>
                    <w:rPr>
                      <w:rFonts w:hint="eastAsia"/>
                      <w:sz w:val="21"/>
                      <w:szCs w:val="21"/>
                      <w:lang w:val="en-US" w:eastAsia="zh-CN"/>
                    </w:rPr>
                    <w:t>57.3</w:t>
                  </w:r>
                </w:p>
              </w:tc>
              <w:tc>
                <w:tcPr>
                  <w:tcW w:w="787" w:type="dxa"/>
                  <w:vMerge w:val="continue"/>
                </w:tcPr>
                <w:p>
                  <w:pPr>
                    <w:jc w:val="center"/>
                    <w:rPr>
                      <w:sz w:val="21"/>
                      <w:szCs w:val="21"/>
                    </w:rPr>
                  </w:pPr>
                </w:p>
              </w:tc>
              <w:tc>
                <w:tcPr>
                  <w:tcW w:w="787" w:type="dxa"/>
                  <w:noWrap/>
                  <w:vAlign w:val="center"/>
                </w:tcPr>
                <w:p>
                  <w:pPr>
                    <w:jc w:val="center"/>
                    <w:rPr>
                      <w:sz w:val="21"/>
                      <w:szCs w:val="21"/>
                    </w:rPr>
                  </w:pPr>
                  <w:r>
                    <w:rPr>
                      <w:rFonts w:hint="eastAsia"/>
                      <w:sz w:val="21"/>
                      <w:szCs w:val="21"/>
                    </w:rPr>
                    <w:t>8</w:t>
                  </w:r>
                  <w:r>
                    <w:rPr>
                      <w:sz w:val="21"/>
                      <w:szCs w:val="21"/>
                    </w:rPr>
                    <w:t>:00-</w:t>
                  </w:r>
                  <w:r>
                    <w:rPr>
                      <w:rFonts w:hint="eastAsia"/>
                      <w:sz w:val="21"/>
                      <w:szCs w:val="21"/>
                    </w:rPr>
                    <w:t>18</w:t>
                  </w:r>
                  <w:r>
                    <w:rPr>
                      <w:sz w:val="21"/>
                      <w:szCs w:val="21"/>
                    </w:rPr>
                    <w:t>:00</w:t>
                  </w:r>
                </w:p>
              </w:tc>
              <w:tc>
                <w:tcPr>
                  <w:tcW w:w="599" w:type="dxa"/>
                  <w:vMerge w:val="continue"/>
                  <w:noWrap/>
                  <w:vAlign w:val="center"/>
                </w:tcPr>
                <w:p>
                  <w:pPr>
                    <w:jc w:val="center"/>
                    <w:rPr>
                      <w:sz w:val="21"/>
                      <w:szCs w:val="21"/>
                    </w:rPr>
                  </w:pPr>
                </w:p>
              </w:tc>
              <w:tc>
                <w:tcPr>
                  <w:tcW w:w="560" w:type="dxa"/>
                  <w:vMerge w:val="continue"/>
                  <w:noWrap/>
                  <w:vAlign w:val="center"/>
                </w:tcPr>
                <w:p>
                  <w:pPr>
                    <w:jc w:val="center"/>
                    <w:rPr>
                      <w:sz w:val="21"/>
                      <w:szCs w:val="21"/>
                    </w:rPr>
                  </w:pPr>
                </w:p>
              </w:tc>
              <w:tc>
                <w:tcPr>
                  <w:tcW w:w="362" w:type="dxa"/>
                  <w:vMerge w:val="continue"/>
                  <w:noWrap/>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0" w:type="dxa"/>
                  <w:noWrap/>
                  <w:vAlign w:val="center"/>
                </w:tcPr>
                <w:p>
                  <w:pPr>
                    <w:jc w:val="center"/>
                    <w:rPr>
                      <w:sz w:val="21"/>
                      <w:szCs w:val="21"/>
                    </w:rPr>
                  </w:pPr>
                  <w:r>
                    <w:rPr>
                      <w:rFonts w:hint="eastAsia"/>
                      <w:sz w:val="21"/>
                      <w:szCs w:val="21"/>
                    </w:rPr>
                    <w:t>4</w:t>
                  </w:r>
                </w:p>
              </w:tc>
              <w:tc>
                <w:tcPr>
                  <w:tcW w:w="501" w:type="dxa"/>
                  <w:vMerge w:val="continue"/>
                  <w:noWrap/>
                  <w:vAlign w:val="center"/>
                </w:tcPr>
                <w:p>
                  <w:pPr>
                    <w:jc w:val="center"/>
                    <w:rPr>
                      <w:sz w:val="21"/>
                      <w:szCs w:val="21"/>
                    </w:rPr>
                  </w:pPr>
                </w:p>
              </w:tc>
              <w:tc>
                <w:tcPr>
                  <w:tcW w:w="864" w:type="dxa"/>
                  <w:noWrap/>
                  <w:vAlign w:val="center"/>
                </w:tcPr>
                <w:p>
                  <w:pPr>
                    <w:pStyle w:val="125"/>
                    <w:rPr>
                      <w:rFonts w:hint="eastAsia" w:eastAsia="宋体"/>
                      <w:lang w:val="en-US" w:eastAsia="zh-CN"/>
                    </w:rPr>
                  </w:pPr>
                  <w:r>
                    <w:rPr>
                      <w:rFonts w:hint="eastAsia"/>
                      <w:lang w:val="en-US" w:eastAsia="zh-CN"/>
                    </w:rPr>
                    <w:t>配料机</w:t>
                  </w:r>
                </w:p>
              </w:tc>
              <w:tc>
                <w:tcPr>
                  <w:tcW w:w="652" w:type="dxa"/>
                  <w:noWrap/>
                  <w:vAlign w:val="center"/>
                </w:tcPr>
                <w:p>
                  <w:pPr>
                    <w:jc w:val="center"/>
                    <w:rPr>
                      <w:rFonts w:hint="default" w:eastAsia="宋体"/>
                      <w:sz w:val="21"/>
                      <w:szCs w:val="21"/>
                      <w:lang w:val="en-US" w:eastAsia="zh-CN"/>
                    </w:rPr>
                  </w:pPr>
                  <w:r>
                    <w:rPr>
                      <w:rFonts w:hint="eastAsia"/>
                      <w:sz w:val="21"/>
                      <w:szCs w:val="21"/>
                      <w:lang w:val="en-US" w:eastAsia="zh-CN"/>
                    </w:rPr>
                    <w:t>90</w:t>
                  </w:r>
                </w:p>
              </w:tc>
              <w:tc>
                <w:tcPr>
                  <w:tcW w:w="635" w:type="dxa"/>
                  <w:vMerge w:val="continue"/>
                  <w:noWrap/>
                  <w:vAlign w:val="center"/>
                </w:tcPr>
                <w:p>
                  <w:pPr>
                    <w:jc w:val="center"/>
                    <w:rPr>
                      <w:sz w:val="21"/>
                      <w:szCs w:val="21"/>
                    </w:rPr>
                  </w:pPr>
                </w:p>
              </w:tc>
              <w:tc>
                <w:tcPr>
                  <w:tcW w:w="571" w:type="dxa"/>
                  <w:noWrap/>
                  <w:vAlign w:val="center"/>
                </w:tcPr>
                <w:p>
                  <w:pPr>
                    <w:jc w:val="center"/>
                    <w:rPr>
                      <w:rFonts w:hint="default" w:eastAsia="宋体"/>
                      <w:sz w:val="21"/>
                      <w:szCs w:val="21"/>
                      <w:lang w:val="en-US" w:eastAsia="zh-CN"/>
                    </w:rPr>
                  </w:pPr>
                  <w:r>
                    <w:rPr>
                      <w:rFonts w:hint="eastAsia"/>
                      <w:sz w:val="21"/>
                      <w:szCs w:val="21"/>
                      <w:lang w:val="en-US" w:eastAsia="zh-CN"/>
                    </w:rPr>
                    <w:t>10</w:t>
                  </w:r>
                </w:p>
              </w:tc>
              <w:tc>
                <w:tcPr>
                  <w:tcW w:w="608" w:type="dxa"/>
                  <w:noWrap/>
                  <w:vAlign w:val="center"/>
                </w:tcPr>
                <w:p>
                  <w:pPr>
                    <w:jc w:val="center"/>
                    <w:rPr>
                      <w:rFonts w:hint="eastAsia" w:eastAsia="宋体"/>
                      <w:sz w:val="21"/>
                      <w:szCs w:val="21"/>
                      <w:lang w:val="en-US" w:eastAsia="zh-CN"/>
                    </w:rPr>
                  </w:pPr>
                  <w:r>
                    <w:rPr>
                      <w:rFonts w:hint="eastAsia"/>
                      <w:sz w:val="21"/>
                      <w:szCs w:val="21"/>
                      <w:lang w:val="en-US" w:eastAsia="zh-CN"/>
                    </w:rPr>
                    <w:t>4</w:t>
                  </w:r>
                </w:p>
              </w:tc>
              <w:tc>
                <w:tcPr>
                  <w:tcW w:w="485" w:type="dxa"/>
                  <w:noWrap/>
                  <w:vAlign w:val="center"/>
                </w:tcPr>
                <w:p>
                  <w:pPr>
                    <w:jc w:val="center"/>
                    <w:rPr>
                      <w:sz w:val="21"/>
                      <w:szCs w:val="21"/>
                    </w:rPr>
                  </w:pPr>
                  <w:r>
                    <w:rPr>
                      <w:rFonts w:hint="eastAsia"/>
                      <w:sz w:val="21"/>
                      <w:szCs w:val="21"/>
                      <w:lang w:val="en-US" w:eastAsia="zh-CN"/>
                    </w:rPr>
                    <w:t>1.2</w:t>
                  </w:r>
                </w:p>
              </w:tc>
              <w:tc>
                <w:tcPr>
                  <w:tcW w:w="540" w:type="dxa"/>
                  <w:noWrap/>
                  <w:vAlign w:val="center"/>
                </w:tcPr>
                <w:p>
                  <w:pPr>
                    <w:jc w:val="center"/>
                    <w:rPr>
                      <w:rFonts w:hint="default" w:eastAsia="宋体"/>
                      <w:sz w:val="21"/>
                      <w:szCs w:val="21"/>
                      <w:lang w:val="en-US" w:eastAsia="zh-CN"/>
                    </w:rPr>
                  </w:pPr>
                  <w:r>
                    <w:rPr>
                      <w:rFonts w:hint="eastAsia"/>
                      <w:sz w:val="21"/>
                      <w:szCs w:val="21"/>
                      <w:lang w:val="en-US" w:eastAsia="zh-CN"/>
                    </w:rPr>
                    <w:t>43</w:t>
                  </w:r>
                </w:p>
              </w:tc>
              <w:tc>
                <w:tcPr>
                  <w:tcW w:w="564" w:type="dxa"/>
                  <w:noWrap/>
                  <w:vAlign w:val="center"/>
                </w:tcPr>
                <w:p>
                  <w:pPr>
                    <w:jc w:val="center"/>
                    <w:rPr>
                      <w:rFonts w:hint="default" w:eastAsia="宋体"/>
                      <w:sz w:val="21"/>
                      <w:szCs w:val="21"/>
                      <w:lang w:val="en-US" w:eastAsia="zh-CN"/>
                    </w:rPr>
                  </w:pPr>
                  <w:r>
                    <w:rPr>
                      <w:rFonts w:hint="eastAsia"/>
                      <w:sz w:val="21"/>
                      <w:szCs w:val="21"/>
                      <w:lang w:val="en-US" w:eastAsia="zh-CN"/>
                    </w:rPr>
                    <w:t>57.3</w:t>
                  </w:r>
                </w:p>
              </w:tc>
              <w:tc>
                <w:tcPr>
                  <w:tcW w:w="787" w:type="dxa"/>
                  <w:vMerge w:val="continue"/>
                </w:tcPr>
                <w:p>
                  <w:pPr>
                    <w:jc w:val="center"/>
                    <w:rPr>
                      <w:sz w:val="21"/>
                      <w:szCs w:val="21"/>
                    </w:rPr>
                  </w:pPr>
                </w:p>
              </w:tc>
              <w:tc>
                <w:tcPr>
                  <w:tcW w:w="787" w:type="dxa"/>
                  <w:noWrap/>
                  <w:vAlign w:val="center"/>
                </w:tcPr>
                <w:p>
                  <w:pPr>
                    <w:jc w:val="center"/>
                    <w:rPr>
                      <w:sz w:val="21"/>
                      <w:szCs w:val="21"/>
                    </w:rPr>
                  </w:pPr>
                  <w:r>
                    <w:rPr>
                      <w:rFonts w:hint="eastAsia"/>
                      <w:sz w:val="21"/>
                      <w:szCs w:val="21"/>
                    </w:rPr>
                    <w:t>8</w:t>
                  </w:r>
                  <w:r>
                    <w:rPr>
                      <w:sz w:val="21"/>
                      <w:szCs w:val="21"/>
                    </w:rPr>
                    <w:t>:00-</w:t>
                  </w:r>
                  <w:r>
                    <w:rPr>
                      <w:rFonts w:hint="eastAsia"/>
                      <w:sz w:val="21"/>
                      <w:szCs w:val="21"/>
                    </w:rPr>
                    <w:t>18</w:t>
                  </w:r>
                  <w:r>
                    <w:rPr>
                      <w:sz w:val="21"/>
                      <w:szCs w:val="21"/>
                    </w:rPr>
                    <w:t>:00</w:t>
                  </w:r>
                </w:p>
              </w:tc>
              <w:tc>
                <w:tcPr>
                  <w:tcW w:w="599" w:type="dxa"/>
                  <w:vMerge w:val="continue"/>
                  <w:noWrap/>
                  <w:vAlign w:val="center"/>
                </w:tcPr>
                <w:p>
                  <w:pPr>
                    <w:jc w:val="center"/>
                    <w:rPr>
                      <w:sz w:val="21"/>
                      <w:szCs w:val="21"/>
                    </w:rPr>
                  </w:pPr>
                </w:p>
              </w:tc>
              <w:tc>
                <w:tcPr>
                  <w:tcW w:w="560" w:type="dxa"/>
                  <w:vMerge w:val="continue"/>
                  <w:noWrap/>
                  <w:vAlign w:val="center"/>
                </w:tcPr>
                <w:p>
                  <w:pPr>
                    <w:jc w:val="center"/>
                    <w:rPr>
                      <w:sz w:val="21"/>
                      <w:szCs w:val="21"/>
                    </w:rPr>
                  </w:pPr>
                </w:p>
              </w:tc>
              <w:tc>
                <w:tcPr>
                  <w:tcW w:w="362" w:type="dxa"/>
                  <w:vMerge w:val="continue"/>
                  <w:noWrap/>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0" w:type="dxa"/>
                  <w:noWrap/>
                  <w:vAlign w:val="center"/>
                </w:tcPr>
                <w:p>
                  <w:pPr>
                    <w:jc w:val="center"/>
                    <w:rPr>
                      <w:sz w:val="21"/>
                      <w:szCs w:val="21"/>
                    </w:rPr>
                  </w:pPr>
                  <w:r>
                    <w:rPr>
                      <w:rFonts w:hint="eastAsia"/>
                      <w:sz w:val="21"/>
                      <w:szCs w:val="21"/>
                    </w:rPr>
                    <w:t>5</w:t>
                  </w:r>
                </w:p>
              </w:tc>
              <w:tc>
                <w:tcPr>
                  <w:tcW w:w="501" w:type="dxa"/>
                  <w:vMerge w:val="continue"/>
                  <w:noWrap/>
                  <w:vAlign w:val="center"/>
                </w:tcPr>
                <w:p>
                  <w:pPr>
                    <w:jc w:val="center"/>
                    <w:rPr>
                      <w:sz w:val="21"/>
                      <w:szCs w:val="21"/>
                    </w:rPr>
                  </w:pPr>
                </w:p>
              </w:tc>
              <w:tc>
                <w:tcPr>
                  <w:tcW w:w="864" w:type="dxa"/>
                  <w:noWrap/>
                  <w:vAlign w:val="center"/>
                </w:tcPr>
                <w:p>
                  <w:pPr>
                    <w:pStyle w:val="125"/>
                    <w:rPr>
                      <w:rFonts w:hint="default" w:eastAsia="宋体"/>
                      <w:lang w:val="en-US" w:eastAsia="zh-CN"/>
                    </w:rPr>
                  </w:pPr>
                  <w:r>
                    <w:rPr>
                      <w:rFonts w:hint="eastAsia"/>
                      <w:lang w:val="en-US" w:eastAsia="zh-CN"/>
                    </w:rPr>
                    <w:t>风机1</w:t>
                  </w:r>
                </w:p>
              </w:tc>
              <w:tc>
                <w:tcPr>
                  <w:tcW w:w="652" w:type="dxa"/>
                  <w:noWrap/>
                  <w:vAlign w:val="center"/>
                </w:tcPr>
                <w:p>
                  <w:pPr>
                    <w:jc w:val="center"/>
                    <w:rPr>
                      <w:rFonts w:hint="default" w:eastAsia="宋体"/>
                      <w:sz w:val="21"/>
                      <w:szCs w:val="21"/>
                      <w:lang w:val="en-US" w:eastAsia="zh-CN"/>
                    </w:rPr>
                  </w:pPr>
                  <w:r>
                    <w:rPr>
                      <w:rFonts w:hint="eastAsia"/>
                      <w:sz w:val="21"/>
                      <w:szCs w:val="21"/>
                      <w:lang w:val="en-US" w:eastAsia="zh-CN"/>
                    </w:rPr>
                    <w:t>87</w:t>
                  </w:r>
                </w:p>
              </w:tc>
              <w:tc>
                <w:tcPr>
                  <w:tcW w:w="635" w:type="dxa"/>
                  <w:vMerge w:val="continue"/>
                  <w:noWrap/>
                  <w:vAlign w:val="center"/>
                </w:tcPr>
                <w:p>
                  <w:pPr>
                    <w:jc w:val="center"/>
                    <w:rPr>
                      <w:sz w:val="21"/>
                      <w:szCs w:val="21"/>
                    </w:rPr>
                  </w:pPr>
                </w:p>
              </w:tc>
              <w:tc>
                <w:tcPr>
                  <w:tcW w:w="571" w:type="dxa"/>
                  <w:noWrap/>
                  <w:vAlign w:val="center"/>
                </w:tcPr>
                <w:p>
                  <w:pPr>
                    <w:jc w:val="center"/>
                    <w:rPr>
                      <w:rFonts w:hint="eastAsia" w:eastAsia="宋体"/>
                      <w:sz w:val="21"/>
                      <w:szCs w:val="21"/>
                      <w:lang w:val="en-US" w:eastAsia="zh-CN"/>
                    </w:rPr>
                  </w:pPr>
                  <w:r>
                    <w:rPr>
                      <w:rFonts w:hint="eastAsia"/>
                      <w:sz w:val="21"/>
                      <w:szCs w:val="21"/>
                      <w:lang w:val="en-US" w:eastAsia="zh-CN"/>
                    </w:rPr>
                    <w:t>5</w:t>
                  </w:r>
                </w:p>
              </w:tc>
              <w:tc>
                <w:tcPr>
                  <w:tcW w:w="608" w:type="dxa"/>
                  <w:noWrap/>
                  <w:vAlign w:val="center"/>
                </w:tcPr>
                <w:p>
                  <w:pPr>
                    <w:jc w:val="center"/>
                    <w:rPr>
                      <w:rFonts w:hint="default" w:eastAsia="宋体"/>
                      <w:sz w:val="21"/>
                      <w:szCs w:val="21"/>
                      <w:lang w:val="en-US" w:eastAsia="zh-CN"/>
                    </w:rPr>
                  </w:pPr>
                  <w:r>
                    <w:rPr>
                      <w:rFonts w:hint="eastAsia"/>
                      <w:sz w:val="21"/>
                      <w:szCs w:val="21"/>
                      <w:lang w:val="en-US" w:eastAsia="zh-CN"/>
                    </w:rPr>
                    <w:t>10</w:t>
                  </w:r>
                </w:p>
              </w:tc>
              <w:tc>
                <w:tcPr>
                  <w:tcW w:w="485" w:type="dxa"/>
                  <w:noWrap/>
                  <w:vAlign w:val="center"/>
                </w:tcPr>
                <w:p>
                  <w:pPr>
                    <w:jc w:val="center"/>
                    <w:rPr>
                      <w:rFonts w:hint="default"/>
                      <w:sz w:val="21"/>
                      <w:szCs w:val="21"/>
                      <w:lang w:val="en-US"/>
                    </w:rPr>
                  </w:pPr>
                  <w:r>
                    <w:rPr>
                      <w:rFonts w:hint="eastAsia"/>
                      <w:sz w:val="21"/>
                      <w:szCs w:val="21"/>
                      <w:lang w:val="en-US" w:eastAsia="zh-CN"/>
                    </w:rPr>
                    <w:t>0.6</w:t>
                  </w:r>
                </w:p>
              </w:tc>
              <w:tc>
                <w:tcPr>
                  <w:tcW w:w="540" w:type="dxa"/>
                  <w:noWrap/>
                  <w:vAlign w:val="center"/>
                </w:tcPr>
                <w:p>
                  <w:pPr>
                    <w:jc w:val="center"/>
                    <w:rPr>
                      <w:rFonts w:hint="default" w:eastAsia="宋体"/>
                      <w:sz w:val="21"/>
                      <w:szCs w:val="21"/>
                      <w:lang w:val="en-US" w:eastAsia="zh-CN"/>
                    </w:rPr>
                  </w:pPr>
                  <w:r>
                    <w:rPr>
                      <w:rFonts w:hint="eastAsia"/>
                      <w:sz w:val="21"/>
                      <w:szCs w:val="21"/>
                      <w:lang w:val="en-US" w:eastAsia="zh-CN"/>
                    </w:rPr>
                    <w:t>22</w:t>
                  </w:r>
                </w:p>
              </w:tc>
              <w:tc>
                <w:tcPr>
                  <w:tcW w:w="564" w:type="dxa"/>
                  <w:noWrap/>
                  <w:vAlign w:val="center"/>
                </w:tcPr>
                <w:p>
                  <w:pPr>
                    <w:jc w:val="center"/>
                    <w:rPr>
                      <w:rFonts w:hint="default" w:eastAsia="宋体"/>
                      <w:sz w:val="21"/>
                      <w:szCs w:val="21"/>
                      <w:lang w:val="en-US" w:eastAsia="zh-CN"/>
                    </w:rPr>
                  </w:pPr>
                  <w:r>
                    <w:rPr>
                      <w:rFonts w:hint="eastAsia"/>
                      <w:sz w:val="21"/>
                      <w:szCs w:val="21"/>
                      <w:lang w:val="en-US" w:eastAsia="zh-CN"/>
                    </w:rPr>
                    <w:t>60.2</w:t>
                  </w:r>
                </w:p>
              </w:tc>
              <w:tc>
                <w:tcPr>
                  <w:tcW w:w="787" w:type="dxa"/>
                  <w:vMerge w:val="continue"/>
                </w:tcPr>
                <w:p>
                  <w:pPr>
                    <w:jc w:val="center"/>
                    <w:rPr>
                      <w:sz w:val="21"/>
                      <w:szCs w:val="21"/>
                    </w:rPr>
                  </w:pPr>
                </w:p>
              </w:tc>
              <w:tc>
                <w:tcPr>
                  <w:tcW w:w="787" w:type="dxa"/>
                  <w:noWrap/>
                  <w:vAlign w:val="center"/>
                </w:tcPr>
                <w:p>
                  <w:pPr>
                    <w:jc w:val="center"/>
                    <w:rPr>
                      <w:sz w:val="21"/>
                      <w:szCs w:val="21"/>
                    </w:rPr>
                  </w:pPr>
                  <w:r>
                    <w:rPr>
                      <w:rFonts w:hint="eastAsia"/>
                      <w:sz w:val="21"/>
                      <w:szCs w:val="21"/>
                    </w:rPr>
                    <w:t>8</w:t>
                  </w:r>
                  <w:r>
                    <w:rPr>
                      <w:sz w:val="21"/>
                      <w:szCs w:val="21"/>
                    </w:rPr>
                    <w:t>:00-</w:t>
                  </w:r>
                  <w:r>
                    <w:rPr>
                      <w:rFonts w:hint="eastAsia"/>
                      <w:sz w:val="21"/>
                      <w:szCs w:val="21"/>
                    </w:rPr>
                    <w:t>18</w:t>
                  </w:r>
                  <w:r>
                    <w:rPr>
                      <w:sz w:val="21"/>
                      <w:szCs w:val="21"/>
                    </w:rPr>
                    <w:t>:00</w:t>
                  </w:r>
                </w:p>
              </w:tc>
              <w:tc>
                <w:tcPr>
                  <w:tcW w:w="599" w:type="dxa"/>
                  <w:vMerge w:val="continue"/>
                  <w:noWrap/>
                  <w:vAlign w:val="center"/>
                </w:tcPr>
                <w:p>
                  <w:pPr>
                    <w:jc w:val="center"/>
                    <w:rPr>
                      <w:sz w:val="21"/>
                      <w:szCs w:val="21"/>
                    </w:rPr>
                  </w:pPr>
                </w:p>
              </w:tc>
              <w:tc>
                <w:tcPr>
                  <w:tcW w:w="560" w:type="dxa"/>
                  <w:vMerge w:val="continue"/>
                  <w:noWrap/>
                  <w:vAlign w:val="center"/>
                </w:tcPr>
                <w:p>
                  <w:pPr>
                    <w:jc w:val="center"/>
                    <w:rPr>
                      <w:sz w:val="21"/>
                      <w:szCs w:val="21"/>
                    </w:rPr>
                  </w:pPr>
                </w:p>
              </w:tc>
              <w:tc>
                <w:tcPr>
                  <w:tcW w:w="362" w:type="dxa"/>
                  <w:vMerge w:val="continue"/>
                  <w:noWrap/>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0" w:type="dxa"/>
                  <w:noWrap/>
                  <w:vAlign w:val="center"/>
                </w:tcPr>
                <w:p>
                  <w:pPr>
                    <w:jc w:val="center"/>
                    <w:rPr>
                      <w:sz w:val="21"/>
                      <w:szCs w:val="21"/>
                    </w:rPr>
                  </w:pPr>
                  <w:r>
                    <w:rPr>
                      <w:rFonts w:hint="eastAsia"/>
                      <w:sz w:val="21"/>
                      <w:szCs w:val="21"/>
                    </w:rPr>
                    <w:t>6</w:t>
                  </w:r>
                </w:p>
              </w:tc>
              <w:tc>
                <w:tcPr>
                  <w:tcW w:w="501" w:type="dxa"/>
                  <w:vMerge w:val="continue"/>
                  <w:noWrap/>
                  <w:vAlign w:val="center"/>
                </w:tcPr>
                <w:p>
                  <w:pPr>
                    <w:jc w:val="center"/>
                    <w:rPr>
                      <w:sz w:val="21"/>
                      <w:szCs w:val="21"/>
                    </w:rPr>
                  </w:pPr>
                </w:p>
              </w:tc>
              <w:tc>
                <w:tcPr>
                  <w:tcW w:w="864" w:type="dxa"/>
                  <w:noWrap/>
                  <w:vAlign w:val="center"/>
                </w:tcPr>
                <w:p>
                  <w:pPr>
                    <w:pStyle w:val="125"/>
                    <w:rPr>
                      <w:rFonts w:hint="default" w:eastAsia="宋体"/>
                      <w:lang w:val="en-US" w:eastAsia="zh-CN"/>
                    </w:rPr>
                  </w:pPr>
                  <w:r>
                    <w:rPr>
                      <w:rFonts w:hint="eastAsia"/>
                      <w:lang w:val="en-US" w:eastAsia="zh-CN"/>
                    </w:rPr>
                    <w:t>风机2</w:t>
                  </w:r>
                </w:p>
              </w:tc>
              <w:tc>
                <w:tcPr>
                  <w:tcW w:w="652" w:type="dxa"/>
                  <w:noWrap/>
                  <w:vAlign w:val="center"/>
                </w:tcPr>
                <w:p>
                  <w:pPr>
                    <w:jc w:val="center"/>
                    <w:rPr>
                      <w:rFonts w:hint="default" w:eastAsia="宋体"/>
                      <w:sz w:val="21"/>
                      <w:szCs w:val="21"/>
                      <w:lang w:val="en-US" w:eastAsia="zh-CN"/>
                    </w:rPr>
                  </w:pPr>
                  <w:r>
                    <w:rPr>
                      <w:rFonts w:hint="eastAsia"/>
                      <w:sz w:val="21"/>
                      <w:szCs w:val="21"/>
                      <w:lang w:val="en-US" w:eastAsia="zh-CN"/>
                    </w:rPr>
                    <w:t>87</w:t>
                  </w:r>
                </w:p>
              </w:tc>
              <w:tc>
                <w:tcPr>
                  <w:tcW w:w="635" w:type="dxa"/>
                  <w:vMerge w:val="continue"/>
                  <w:noWrap/>
                  <w:vAlign w:val="center"/>
                </w:tcPr>
                <w:p>
                  <w:pPr>
                    <w:jc w:val="center"/>
                    <w:rPr>
                      <w:sz w:val="21"/>
                      <w:szCs w:val="21"/>
                    </w:rPr>
                  </w:pPr>
                </w:p>
              </w:tc>
              <w:tc>
                <w:tcPr>
                  <w:tcW w:w="571" w:type="dxa"/>
                  <w:noWrap/>
                  <w:vAlign w:val="center"/>
                </w:tcPr>
                <w:p>
                  <w:pPr>
                    <w:jc w:val="center"/>
                    <w:rPr>
                      <w:rFonts w:hint="eastAsia" w:eastAsia="宋体"/>
                      <w:sz w:val="21"/>
                      <w:szCs w:val="21"/>
                      <w:lang w:val="en-US" w:eastAsia="zh-CN"/>
                    </w:rPr>
                  </w:pPr>
                  <w:r>
                    <w:rPr>
                      <w:rFonts w:hint="eastAsia"/>
                      <w:sz w:val="21"/>
                      <w:szCs w:val="21"/>
                      <w:lang w:val="en-US" w:eastAsia="zh-CN"/>
                    </w:rPr>
                    <w:t>6</w:t>
                  </w:r>
                </w:p>
              </w:tc>
              <w:tc>
                <w:tcPr>
                  <w:tcW w:w="608" w:type="dxa"/>
                  <w:noWrap/>
                  <w:vAlign w:val="center"/>
                </w:tcPr>
                <w:p>
                  <w:pPr>
                    <w:jc w:val="center"/>
                    <w:rPr>
                      <w:rFonts w:hint="eastAsia" w:eastAsia="宋体"/>
                      <w:sz w:val="21"/>
                      <w:szCs w:val="21"/>
                      <w:lang w:val="en-US" w:eastAsia="zh-CN"/>
                    </w:rPr>
                  </w:pPr>
                  <w:r>
                    <w:rPr>
                      <w:rFonts w:hint="eastAsia"/>
                      <w:sz w:val="21"/>
                      <w:szCs w:val="21"/>
                      <w:lang w:val="en-US" w:eastAsia="zh-CN"/>
                    </w:rPr>
                    <w:t>9</w:t>
                  </w:r>
                </w:p>
              </w:tc>
              <w:tc>
                <w:tcPr>
                  <w:tcW w:w="485" w:type="dxa"/>
                  <w:noWrap/>
                  <w:vAlign w:val="center"/>
                </w:tcPr>
                <w:p>
                  <w:pPr>
                    <w:jc w:val="center"/>
                    <w:rPr>
                      <w:rFonts w:hint="default"/>
                      <w:sz w:val="21"/>
                      <w:szCs w:val="21"/>
                      <w:lang w:val="en-US"/>
                    </w:rPr>
                  </w:pPr>
                  <w:r>
                    <w:rPr>
                      <w:rFonts w:hint="eastAsia"/>
                      <w:sz w:val="21"/>
                      <w:szCs w:val="21"/>
                      <w:lang w:val="en-US" w:eastAsia="zh-CN"/>
                    </w:rPr>
                    <w:t>0.6</w:t>
                  </w:r>
                </w:p>
              </w:tc>
              <w:tc>
                <w:tcPr>
                  <w:tcW w:w="540" w:type="dxa"/>
                  <w:noWrap/>
                  <w:vAlign w:val="center"/>
                </w:tcPr>
                <w:p>
                  <w:pPr>
                    <w:jc w:val="center"/>
                    <w:rPr>
                      <w:rFonts w:hint="default" w:eastAsia="宋体"/>
                      <w:sz w:val="21"/>
                      <w:szCs w:val="21"/>
                      <w:lang w:val="en-US" w:eastAsia="zh-CN"/>
                    </w:rPr>
                  </w:pPr>
                  <w:r>
                    <w:rPr>
                      <w:rFonts w:hint="eastAsia"/>
                      <w:sz w:val="21"/>
                      <w:szCs w:val="21"/>
                      <w:lang w:val="en-US" w:eastAsia="zh-CN"/>
                    </w:rPr>
                    <w:t>22</w:t>
                  </w:r>
                </w:p>
              </w:tc>
              <w:tc>
                <w:tcPr>
                  <w:tcW w:w="564" w:type="dxa"/>
                  <w:noWrap/>
                  <w:vAlign w:val="center"/>
                </w:tcPr>
                <w:p>
                  <w:pPr>
                    <w:jc w:val="center"/>
                    <w:rPr>
                      <w:rFonts w:hint="default" w:eastAsia="宋体"/>
                      <w:sz w:val="21"/>
                      <w:szCs w:val="21"/>
                      <w:lang w:val="en-US" w:eastAsia="zh-CN"/>
                    </w:rPr>
                  </w:pPr>
                  <w:r>
                    <w:rPr>
                      <w:rFonts w:hint="eastAsia"/>
                      <w:sz w:val="21"/>
                      <w:szCs w:val="21"/>
                      <w:lang w:val="en-US" w:eastAsia="zh-CN"/>
                    </w:rPr>
                    <w:t>60.2</w:t>
                  </w:r>
                </w:p>
              </w:tc>
              <w:tc>
                <w:tcPr>
                  <w:tcW w:w="787" w:type="dxa"/>
                  <w:vMerge w:val="continue"/>
                </w:tcPr>
                <w:p>
                  <w:pPr>
                    <w:jc w:val="center"/>
                    <w:rPr>
                      <w:sz w:val="21"/>
                      <w:szCs w:val="21"/>
                    </w:rPr>
                  </w:pPr>
                </w:p>
              </w:tc>
              <w:tc>
                <w:tcPr>
                  <w:tcW w:w="787" w:type="dxa"/>
                  <w:noWrap/>
                  <w:vAlign w:val="center"/>
                </w:tcPr>
                <w:p>
                  <w:pPr>
                    <w:jc w:val="center"/>
                    <w:rPr>
                      <w:sz w:val="21"/>
                      <w:szCs w:val="21"/>
                    </w:rPr>
                  </w:pPr>
                  <w:r>
                    <w:rPr>
                      <w:rFonts w:hint="eastAsia"/>
                      <w:sz w:val="21"/>
                      <w:szCs w:val="21"/>
                    </w:rPr>
                    <w:t>8</w:t>
                  </w:r>
                  <w:r>
                    <w:rPr>
                      <w:sz w:val="21"/>
                      <w:szCs w:val="21"/>
                    </w:rPr>
                    <w:t>:00-</w:t>
                  </w:r>
                  <w:r>
                    <w:rPr>
                      <w:rFonts w:hint="eastAsia"/>
                      <w:sz w:val="21"/>
                      <w:szCs w:val="21"/>
                    </w:rPr>
                    <w:t>18</w:t>
                  </w:r>
                  <w:r>
                    <w:rPr>
                      <w:sz w:val="21"/>
                      <w:szCs w:val="21"/>
                    </w:rPr>
                    <w:t>:00</w:t>
                  </w:r>
                </w:p>
              </w:tc>
              <w:tc>
                <w:tcPr>
                  <w:tcW w:w="599" w:type="dxa"/>
                  <w:vMerge w:val="continue"/>
                  <w:noWrap/>
                  <w:vAlign w:val="center"/>
                </w:tcPr>
                <w:p>
                  <w:pPr>
                    <w:jc w:val="center"/>
                    <w:rPr>
                      <w:sz w:val="21"/>
                      <w:szCs w:val="21"/>
                    </w:rPr>
                  </w:pPr>
                </w:p>
              </w:tc>
              <w:tc>
                <w:tcPr>
                  <w:tcW w:w="560" w:type="dxa"/>
                  <w:vMerge w:val="continue"/>
                  <w:noWrap/>
                  <w:vAlign w:val="center"/>
                </w:tcPr>
                <w:p>
                  <w:pPr>
                    <w:jc w:val="center"/>
                    <w:rPr>
                      <w:sz w:val="21"/>
                      <w:szCs w:val="21"/>
                    </w:rPr>
                  </w:pPr>
                </w:p>
              </w:tc>
              <w:tc>
                <w:tcPr>
                  <w:tcW w:w="362" w:type="dxa"/>
                  <w:vMerge w:val="continue"/>
                  <w:noWrap/>
                  <w:vAlign w:val="center"/>
                </w:tcPr>
                <w:p>
                  <w:pPr>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0" w:type="dxa"/>
                  <w:noWrap/>
                  <w:vAlign w:val="center"/>
                </w:tcPr>
                <w:p>
                  <w:pPr>
                    <w:jc w:val="center"/>
                    <w:rPr>
                      <w:sz w:val="21"/>
                      <w:szCs w:val="21"/>
                    </w:rPr>
                  </w:pPr>
                  <w:r>
                    <w:rPr>
                      <w:rFonts w:hint="eastAsia"/>
                      <w:sz w:val="21"/>
                      <w:szCs w:val="21"/>
                    </w:rPr>
                    <w:t>8</w:t>
                  </w:r>
                </w:p>
              </w:tc>
              <w:tc>
                <w:tcPr>
                  <w:tcW w:w="501" w:type="dxa"/>
                  <w:vMerge w:val="continue"/>
                  <w:noWrap/>
                  <w:vAlign w:val="center"/>
                </w:tcPr>
                <w:p>
                  <w:pPr>
                    <w:jc w:val="center"/>
                    <w:rPr>
                      <w:sz w:val="21"/>
                      <w:szCs w:val="21"/>
                    </w:rPr>
                  </w:pPr>
                </w:p>
              </w:tc>
              <w:tc>
                <w:tcPr>
                  <w:tcW w:w="864" w:type="dxa"/>
                  <w:noWrap/>
                  <w:vAlign w:val="center"/>
                </w:tcPr>
                <w:p>
                  <w:pPr>
                    <w:pStyle w:val="125"/>
                    <w:rPr>
                      <w:rFonts w:hint="default" w:eastAsia="宋体"/>
                      <w:lang w:val="en-US" w:eastAsia="zh-CN"/>
                    </w:rPr>
                  </w:pPr>
                  <w:r>
                    <w:rPr>
                      <w:rFonts w:hint="eastAsia"/>
                      <w:lang w:val="en-US" w:eastAsia="zh-CN"/>
                    </w:rPr>
                    <w:t>风机3</w:t>
                  </w:r>
                </w:p>
              </w:tc>
              <w:tc>
                <w:tcPr>
                  <w:tcW w:w="652" w:type="dxa"/>
                  <w:noWrap/>
                  <w:vAlign w:val="center"/>
                </w:tcPr>
                <w:p>
                  <w:pPr>
                    <w:jc w:val="center"/>
                    <w:rPr>
                      <w:rFonts w:hint="default" w:eastAsia="宋体"/>
                      <w:sz w:val="21"/>
                      <w:szCs w:val="21"/>
                      <w:lang w:val="en-US" w:eastAsia="zh-CN"/>
                    </w:rPr>
                  </w:pPr>
                  <w:r>
                    <w:rPr>
                      <w:rFonts w:hint="eastAsia"/>
                      <w:sz w:val="21"/>
                      <w:szCs w:val="21"/>
                      <w:lang w:val="en-US" w:eastAsia="zh-CN"/>
                    </w:rPr>
                    <w:t>87</w:t>
                  </w:r>
                </w:p>
              </w:tc>
              <w:tc>
                <w:tcPr>
                  <w:tcW w:w="635" w:type="dxa"/>
                  <w:vMerge w:val="continue"/>
                  <w:noWrap/>
                  <w:vAlign w:val="center"/>
                </w:tcPr>
                <w:p>
                  <w:pPr>
                    <w:jc w:val="center"/>
                    <w:rPr>
                      <w:sz w:val="21"/>
                      <w:szCs w:val="21"/>
                    </w:rPr>
                  </w:pPr>
                </w:p>
              </w:tc>
              <w:tc>
                <w:tcPr>
                  <w:tcW w:w="571" w:type="dxa"/>
                  <w:noWrap/>
                  <w:vAlign w:val="center"/>
                </w:tcPr>
                <w:p>
                  <w:pPr>
                    <w:jc w:val="center"/>
                    <w:rPr>
                      <w:rFonts w:hint="eastAsia" w:eastAsia="宋体"/>
                      <w:sz w:val="21"/>
                      <w:szCs w:val="21"/>
                      <w:lang w:val="en-US" w:eastAsia="zh-CN"/>
                    </w:rPr>
                  </w:pPr>
                  <w:r>
                    <w:rPr>
                      <w:rFonts w:hint="eastAsia"/>
                      <w:sz w:val="21"/>
                      <w:szCs w:val="21"/>
                      <w:lang w:val="en-US" w:eastAsia="zh-CN"/>
                    </w:rPr>
                    <w:t>9</w:t>
                  </w:r>
                </w:p>
              </w:tc>
              <w:tc>
                <w:tcPr>
                  <w:tcW w:w="608" w:type="dxa"/>
                  <w:noWrap/>
                  <w:vAlign w:val="center"/>
                </w:tcPr>
                <w:p>
                  <w:pPr>
                    <w:jc w:val="center"/>
                    <w:rPr>
                      <w:rFonts w:hint="eastAsia" w:eastAsia="宋体"/>
                      <w:sz w:val="21"/>
                      <w:szCs w:val="21"/>
                      <w:lang w:val="en-US" w:eastAsia="zh-CN"/>
                    </w:rPr>
                  </w:pPr>
                  <w:r>
                    <w:rPr>
                      <w:rFonts w:hint="eastAsia"/>
                      <w:sz w:val="21"/>
                      <w:szCs w:val="21"/>
                      <w:lang w:val="en-US" w:eastAsia="zh-CN"/>
                    </w:rPr>
                    <w:t>4</w:t>
                  </w:r>
                </w:p>
              </w:tc>
              <w:tc>
                <w:tcPr>
                  <w:tcW w:w="485" w:type="dxa"/>
                  <w:noWrap/>
                  <w:vAlign w:val="center"/>
                </w:tcPr>
                <w:p>
                  <w:pPr>
                    <w:jc w:val="center"/>
                    <w:rPr>
                      <w:rFonts w:hint="default" w:eastAsia="宋体"/>
                      <w:sz w:val="21"/>
                      <w:szCs w:val="21"/>
                      <w:lang w:val="en-US" w:eastAsia="zh-CN"/>
                    </w:rPr>
                  </w:pPr>
                  <w:r>
                    <w:rPr>
                      <w:rFonts w:hint="eastAsia"/>
                      <w:sz w:val="21"/>
                      <w:szCs w:val="21"/>
                      <w:lang w:val="en-US" w:eastAsia="zh-CN"/>
                    </w:rPr>
                    <w:t>0.6</w:t>
                  </w:r>
                </w:p>
              </w:tc>
              <w:tc>
                <w:tcPr>
                  <w:tcW w:w="540" w:type="dxa"/>
                  <w:noWrap/>
                  <w:vAlign w:val="center"/>
                </w:tcPr>
                <w:p>
                  <w:pPr>
                    <w:jc w:val="center"/>
                    <w:rPr>
                      <w:rFonts w:hint="default" w:eastAsia="宋体"/>
                      <w:sz w:val="21"/>
                      <w:szCs w:val="21"/>
                      <w:lang w:val="en-US" w:eastAsia="zh-CN"/>
                    </w:rPr>
                  </w:pPr>
                  <w:r>
                    <w:rPr>
                      <w:rFonts w:hint="eastAsia"/>
                      <w:sz w:val="21"/>
                      <w:szCs w:val="21"/>
                      <w:lang w:val="en-US" w:eastAsia="zh-CN"/>
                    </w:rPr>
                    <w:t>44</w:t>
                  </w:r>
                </w:p>
              </w:tc>
              <w:tc>
                <w:tcPr>
                  <w:tcW w:w="564" w:type="dxa"/>
                  <w:noWrap/>
                  <w:vAlign w:val="center"/>
                </w:tcPr>
                <w:p>
                  <w:pPr>
                    <w:jc w:val="center"/>
                    <w:rPr>
                      <w:rFonts w:hint="default" w:eastAsia="宋体"/>
                      <w:sz w:val="21"/>
                      <w:szCs w:val="21"/>
                      <w:lang w:val="en-US" w:eastAsia="zh-CN"/>
                    </w:rPr>
                  </w:pPr>
                  <w:r>
                    <w:rPr>
                      <w:rFonts w:hint="eastAsia"/>
                      <w:sz w:val="21"/>
                      <w:szCs w:val="21"/>
                      <w:lang w:val="en-US" w:eastAsia="zh-CN"/>
                    </w:rPr>
                    <w:t>54.1</w:t>
                  </w:r>
                </w:p>
              </w:tc>
              <w:tc>
                <w:tcPr>
                  <w:tcW w:w="787" w:type="dxa"/>
                  <w:vMerge w:val="continue"/>
                </w:tcPr>
                <w:p>
                  <w:pPr>
                    <w:jc w:val="center"/>
                    <w:rPr>
                      <w:sz w:val="21"/>
                      <w:szCs w:val="21"/>
                    </w:rPr>
                  </w:pPr>
                </w:p>
              </w:tc>
              <w:tc>
                <w:tcPr>
                  <w:tcW w:w="787" w:type="dxa"/>
                  <w:noWrap/>
                  <w:vAlign w:val="center"/>
                </w:tcPr>
                <w:p>
                  <w:pPr>
                    <w:jc w:val="center"/>
                    <w:rPr>
                      <w:sz w:val="21"/>
                      <w:szCs w:val="21"/>
                    </w:rPr>
                  </w:pPr>
                  <w:r>
                    <w:rPr>
                      <w:rFonts w:hint="eastAsia"/>
                      <w:sz w:val="21"/>
                      <w:szCs w:val="21"/>
                    </w:rPr>
                    <w:t>8</w:t>
                  </w:r>
                  <w:r>
                    <w:rPr>
                      <w:sz w:val="21"/>
                      <w:szCs w:val="21"/>
                    </w:rPr>
                    <w:t>:00-</w:t>
                  </w:r>
                  <w:r>
                    <w:rPr>
                      <w:rFonts w:hint="eastAsia"/>
                      <w:sz w:val="21"/>
                      <w:szCs w:val="21"/>
                    </w:rPr>
                    <w:t>18</w:t>
                  </w:r>
                  <w:r>
                    <w:rPr>
                      <w:sz w:val="21"/>
                      <w:szCs w:val="21"/>
                    </w:rPr>
                    <w:t>:00</w:t>
                  </w:r>
                </w:p>
              </w:tc>
              <w:tc>
                <w:tcPr>
                  <w:tcW w:w="599" w:type="dxa"/>
                  <w:vMerge w:val="continue"/>
                  <w:noWrap/>
                  <w:vAlign w:val="center"/>
                </w:tcPr>
                <w:p>
                  <w:pPr>
                    <w:jc w:val="center"/>
                    <w:rPr>
                      <w:sz w:val="21"/>
                      <w:szCs w:val="21"/>
                    </w:rPr>
                  </w:pPr>
                </w:p>
              </w:tc>
              <w:tc>
                <w:tcPr>
                  <w:tcW w:w="560" w:type="dxa"/>
                  <w:vMerge w:val="continue"/>
                  <w:noWrap/>
                  <w:vAlign w:val="center"/>
                </w:tcPr>
                <w:p>
                  <w:pPr>
                    <w:jc w:val="center"/>
                    <w:rPr>
                      <w:sz w:val="21"/>
                      <w:szCs w:val="21"/>
                    </w:rPr>
                  </w:pPr>
                </w:p>
              </w:tc>
              <w:tc>
                <w:tcPr>
                  <w:tcW w:w="362" w:type="dxa"/>
                  <w:vMerge w:val="continue"/>
                  <w:noWrap/>
                  <w:vAlign w:val="center"/>
                </w:tcPr>
                <w:p>
                  <w:pPr>
                    <w:jc w:val="center"/>
                    <w:rPr>
                      <w:sz w:val="21"/>
                      <w:szCs w:val="21"/>
                    </w:rPr>
                  </w:pPr>
                </w:p>
              </w:tc>
            </w:tr>
          </w:tbl>
          <w:p>
            <w:pPr>
              <w:keepNext w:val="0"/>
              <w:keepLines w:val="0"/>
              <w:pageBreakBefore w:val="0"/>
              <w:widowControl w:val="0"/>
              <w:kinsoku/>
              <w:wordWrap/>
              <w:overflowPunct/>
              <w:topLinePunct w:val="0"/>
              <w:autoSpaceDE/>
              <w:autoSpaceDN/>
              <w:bidi w:val="0"/>
              <w:adjustRightInd/>
              <w:snapToGrid/>
              <w:spacing w:line="460" w:lineRule="exact"/>
              <w:ind w:firstLine="600" w:firstLineChars="250"/>
              <w:textAlignment w:val="auto"/>
              <w:rPr>
                <w:sz w:val="24"/>
              </w:rPr>
            </w:pPr>
            <w:r>
              <w:rPr>
                <w:sz w:val="24"/>
                <w:szCs w:val="24"/>
              </w:rPr>
              <w:t>根据本项目主要高噪声设备的分布状况和房间外源强，</w:t>
            </w:r>
            <w:r>
              <w:rPr>
                <w:rFonts w:hint="eastAsia"/>
                <w:sz w:val="24"/>
                <w:szCs w:val="24"/>
              </w:rPr>
              <w:t>根据导则中</w:t>
            </w:r>
            <w:r>
              <w:rPr>
                <w:sz w:val="24"/>
                <w:szCs w:val="24"/>
              </w:rPr>
              <w:t>噪声预测模型</w:t>
            </w:r>
            <w:r>
              <w:rPr>
                <w:rFonts w:hint="eastAsia"/>
                <w:sz w:val="24"/>
                <w:szCs w:val="24"/>
              </w:rPr>
              <w:t>，</w:t>
            </w:r>
            <w:r>
              <w:rPr>
                <w:sz w:val="24"/>
                <w:szCs w:val="24"/>
              </w:rPr>
              <w:t>计算出各声源对</w:t>
            </w:r>
            <w:r>
              <w:rPr>
                <w:rFonts w:hint="eastAsia"/>
                <w:sz w:val="24"/>
                <w:szCs w:val="24"/>
              </w:rPr>
              <w:t>厂界的噪声</w:t>
            </w:r>
            <w:r>
              <w:rPr>
                <w:sz w:val="24"/>
                <w:szCs w:val="24"/>
              </w:rPr>
              <w:t>贡献值</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sz w:val="24"/>
              </w:rPr>
            </w:pPr>
            <w:r>
              <w:rPr>
                <w:rFonts w:hint="eastAsia"/>
                <w:sz w:val="24"/>
                <w:szCs w:val="24"/>
              </w:rPr>
              <w:t>点声源</w:t>
            </w:r>
            <w:r>
              <w:rPr>
                <w:sz w:val="24"/>
                <w:szCs w:val="24"/>
              </w:rPr>
              <w:t>的</w:t>
            </w:r>
            <w:r>
              <w:rPr>
                <w:rFonts w:hint="eastAsia"/>
                <w:sz w:val="24"/>
                <w:szCs w:val="24"/>
              </w:rPr>
              <w:t>几何</w:t>
            </w:r>
            <w:r>
              <w:rPr>
                <w:sz w:val="24"/>
                <w:szCs w:val="24"/>
              </w:rPr>
              <w:t>发散衰减的</w:t>
            </w:r>
            <w:r>
              <w:rPr>
                <w:rFonts w:hint="eastAsia"/>
                <w:sz w:val="24"/>
                <w:szCs w:val="24"/>
              </w:rPr>
              <w:t>基本公式</w:t>
            </w:r>
            <w:r>
              <w:rPr>
                <w:sz w:val="24"/>
                <w:szCs w:val="24"/>
              </w:rPr>
              <w:t>如下：</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sz w:val="24"/>
              </w:rPr>
            </w:pPr>
            <w:r>
              <w:rPr>
                <w:sz w:val="24"/>
                <w:szCs w:val="24"/>
              </w:rPr>
              <w:t>Lp（</w:t>
            </w:r>
            <w:r>
              <w:rPr>
                <w:rFonts w:hint="eastAsia"/>
                <w:sz w:val="24"/>
                <w:szCs w:val="24"/>
              </w:rPr>
              <w:t>r</w:t>
            </w:r>
            <w:r>
              <w:rPr>
                <w:sz w:val="24"/>
                <w:szCs w:val="24"/>
              </w:rPr>
              <w:t>）</w:t>
            </w:r>
            <w:r>
              <w:rPr>
                <w:rFonts w:hint="eastAsia"/>
                <w:sz w:val="24"/>
                <w:szCs w:val="24"/>
              </w:rPr>
              <w:t>=</w:t>
            </w:r>
            <w:r>
              <w:rPr>
                <w:sz w:val="24"/>
                <w:szCs w:val="24"/>
              </w:rPr>
              <w:t>L</w:t>
            </w:r>
            <w:r>
              <w:rPr>
                <w:rFonts w:hint="eastAsia"/>
                <w:sz w:val="24"/>
                <w:szCs w:val="24"/>
              </w:rPr>
              <w:t>w-20</w:t>
            </w:r>
            <w:r>
              <w:rPr>
                <w:sz w:val="24"/>
                <w:szCs w:val="24"/>
              </w:rPr>
              <w:t>lg</w:t>
            </w:r>
            <w:r>
              <w:rPr>
                <w:rFonts w:hint="eastAsia"/>
                <w:sz w:val="24"/>
                <w:szCs w:val="24"/>
              </w:rPr>
              <w:t>r-8</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sz w:val="24"/>
              </w:rPr>
            </w:pPr>
            <w:r>
              <w:rPr>
                <w:rFonts w:hint="eastAsia"/>
                <w:sz w:val="24"/>
                <w:szCs w:val="24"/>
              </w:rPr>
              <w:t>式中</w:t>
            </w:r>
            <w:r>
              <w:rPr>
                <w:sz w:val="24"/>
                <w:szCs w:val="24"/>
              </w:rPr>
              <w:t>：Lp（</w:t>
            </w:r>
            <w:r>
              <w:rPr>
                <w:rFonts w:hint="eastAsia"/>
                <w:sz w:val="24"/>
                <w:szCs w:val="24"/>
              </w:rPr>
              <w:t>r</w:t>
            </w:r>
            <w:r>
              <w:rPr>
                <w:sz w:val="24"/>
                <w:szCs w:val="24"/>
              </w:rPr>
              <w:t>）</w:t>
            </w:r>
            <w:r>
              <w:rPr>
                <w:rFonts w:hint="eastAsia"/>
                <w:sz w:val="24"/>
                <w:szCs w:val="24"/>
              </w:rPr>
              <w:t>——预测点处声压级，dB；</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sz w:val="24"/>
              </w:rPr>
            </w:pPr>
            <w:r>
              <w:rPr>
                <w:sz w:val="24"/>
                <w:szCs w:val="24"/>
              </w:rPr>
              <w:t xml:space="preserve">      L</w:t>
            </w:r>
            <w:r>
              <w:rPr>
                <w:rFonts w:hint="eastAsia"/>
                <w:sz w:val="24"/>
                <w:szCs w:val="24"/>
              </w:rPr>
              <w:t>w—由点声源产生的倍频带声功率级，dB；</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sz w:val="24"/>
              </w:rPr>
            </w:pPr>
            <w:r>
              <w:rPr>
                <w:sz w:val="24"/>
                <w:szCs w:val="24"/>
              </w:rPr>
              <w:t xml:space="preserve">      r——</w:t>
            </w:r>
            <w:r>
              <w:rPr>
                <w:rFonts w:hint="eastAsia"/>
                <w:sz w:val="24"/>
                <w:szCs w:val="24"/>
              </w:rPr>
              <w:t>预测点距声源的距离，</w:t>
            </w:r>
            <w:r>
              <w:rPr>
                <w:sz w:val="24"/>
                <w:szCs w:val="24"/>
              </w:rPr>
              <w:t>m；</w:t>
            </w:r>
          </w:p>
          <w:p>
            <w:pPr>
              <w:keepNext w:val="0"/>
              <w:keepLines w:val="0"/>
              <w:pageBreakBefore w:val="0"/>
              <w:widowControl w:val="0"/>
              <w:kinsoku/>
              <w:wordWrap/>
              <w:overflowPunct/>
              <w:topLinePunct w:val="0"/>
              <w:autoSpaceDE/>
              <w:autoSpaceDN/>
              <w:bidi w:val="0"/>
              <w:adjustRightInd/>
              <w:snapToGrid/>
              <w:spacing w:line="460" w:lineRule="exact"/>
              <w:ind w:firstLine="1200" w:firstLineChars="500"/>
              <w:textAlignment w:val="auto"/>
              <w:rPr>
                <w:sz w:val="24"/>
              </w:rPr>
            </w:pPr>
            <w:r>
              <w:rPr>
                <w:rFonts w:hint="eastAsia"/>
                <w:sz w:val="24"/>
                <w:szCs w:val="24"/>
              </w:rPr>
              <w:t>r</w:t>
            </w:r>
            <w:r>
              <w:rPr>
                <w:sz w:val="24"/>
                <w:szCs w:val="24"/>
              </w:rPr>
              <w:t>0</w:t>
            </w:r>
            <w:r>
              <w:rPr>
                <w:rFonts w:hint="eastAsia"/>
                <w:sz w:val="24"/>
                <w:szCs w:val="24"/>
              </w:rPr>
              <w:t>——参考位置距声源的距离，</w:t>
            </w:r>
            <w:r>
              <w:rPr>
                <w:sz w:val="24"/>
                <w:szCs w:val="24"/>
              </w:rPr>
              <w:t>m。</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sz w:val="24"/>
              </w:rPr>
            </w:pPr>
            <w:r>
              <w:rPr>
                <w:rFonts w:hint="eastAsia"/>
                <w:sz w:val="24"/>
                <w:szCs w:val="24"/>
              </w:rPr>
              <w:t>本项目</w:t>
            </w:r>
            <w:r>
              <w:rPr>
                <w:sz w:val="24"/>
                <w:szCs w:val="24"/>
              </w:rPr>
              <w:t>声源在预测点产生的贡献值（Leqg）计算公式：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sz w:val="24"/>
              </w:rPr>
            </w:pPr>
            <w:r>
              <w:rPr>
                <w:sz w:val="24"/>
                <w:szCs w:val="24"/>
              </w:rPr>
              <w:drawing>
                <wp:anchor distT="0" distB="0" distL="114300" distR="114300" simplePos="0" relativeHeight="251662336" behindDoc="0" locked="0" layoutInCell="1" allowOverlap="1">
                  <wp:simplePos x="0" y="0"/>
                  <wp:positionH relativeFrom="column">
                    <wp:posOffset>1532890</wp:posOffset>
                  </wp:positionH>
                  <wp:positionV relativeFrom="paragraph">
                    <wp:posOffset>64770</wp:posOffset>
                  </wp:positionV>
                  <wp:extent cx="1992630" cy="381000"/>
                  <wp:effectExtent l="0" t="0" r="7620" b="0"/>
                  <wp:wrapTopAndBottom/>
                  <wp:docPr id="113" name="图片 29473" descr="C:\Users\ADMINI~1\AppData\Local\Temp\ksohtml11864\wp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9473" descr="C:\Users\ADMINI~1\AppData\Local\Temp\ksohtml11864\wps2.wmf"/>
                          <pic:cNvPicPr>
                            <a:picLocks noChangeAspect="1"/>
                          </pic:cNvPicPr>
                        </pic:nvPicPr>
                        <pic:blipFill>
                          <a:blip r:embed="rId14"/>
                          <a:stretch>
                            <a:fillRect/>
                          </a:stretch>
                        </pic:blipFill>
                        <pic:spPr>
                          <a:xfrm>
                            <a:off x="0" y="0"/>
                            <a:ext cx="1992630" cy="381000"/>
                          </a:xfrm>
                          <a:prstGeom prst="rect">
                            <a:avLst/>
                          </a:prstGeom>
                          <a:noFill/>
                          <a:ln>
                            <a:noFill/>
                          </a:ln>
                        </pic:spPr>
                      </pic:pic>
                    </a:graphicData>
                  </a:graphic>
                </wp:anchor>
              </w:drawing>
            </w:r>
            <w:r>
              <w:rPr>
                <w:sz w:val="24"/>
                <w:szCs w:val="24"/>
              </w:rPr>
              <w:t>式中：Leqg——建设项目声源在预测的产生的噪声贡献值，dB；</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sz w:val="24"/>
              </w:rPr>
            </w:pPr>
            <w:r>
              <w:rPr>
                <w:sz w:val="24"/>
                <w:szCs w:val="24"/>
              </w:rPr>
              <w:t xml:space="preserve">        T——用于计算等效声级的时间，s；</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sz w:val="24"/>
              </w:rPr>
            </w:pPr>
            <w:r>
              <w:rPr>
                <w:sz w:val="24"/>
                <w:szCs w:val="24"/>
              </w:rPr>
              <w:t xml:space="preserve">        N——室外声源个数；</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sz w:val="24"/>
              </w:rPr>
            </w:pPr>
            <w:r>
              <w:rPr>
                <w:sz w:val="24"/>
                <w:szCs w:val="24"/>
              </w:rPr>
              <w:t xml:space="preserve">        ti——在T时间内i声源内工作时间，s；</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sz w:val="24"/>
              </w:rPr>
            </w:pPr>
            <w:r>
              <w:rPr>
                <w:sz w:val="24"/>
                <w:szCs w:val="24"/>
              </w:rPr>
              <w:t xml:space="preserve">        M——等效室外声源个数；</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sz w:val="24"/>
              </w:rPr>
            </w:pPr>
            <w:r>
              <w:rPr>
                <w:sz w:val="24"/>
                <w:szCs w:val="24"/>
              </w:rPr>
              <w:t xml:space="preserve">        ti——在T时间内j声源内工作时间，s；</w:t>
            </w:r>
          </w:p>
          <w:p>
            <w:pPr>
              <w:keepNext w:val="0"/>
              <w:keepLines w:val="0"/>
              <w:pageBreakBefore w:val="0"/>
              <w:widowControl w:val="0"/>
              <w:tabs>
                <w:tab w:val="left" w:pos="8370"/>
                <w:tab w:val="left" w:pos="8600"/>
              </w:tabs>
              <w:kinsoku/>
              <w:wordWrap/>
              <w:overflowPunct/>
              <w:topLinePunct w:val="0"/>
              <w:autoSpaceDE/>
              <w:autoSpaceDN/>
              <w:bidi w:val="0"/>
              <w:adjustRightInd/>
              <w:snapToGrid/>
              <w:spacing w:line="460" w:lineRule="exact"/>
              <w:ind w:firstLine="588" w:firstLineChars="245"/>
              <w:textAlignment w:val="auto"/>
              <w:rPr>
                <w:sz w:val="24"/>
              </w:rPr>
            </w:pPr>
            <w:r>
              <w:rPr>
                <w:sz w:val="24"/>
                <w:szCs w:val="24"/>
              </w:rPr>
              <w:t>根据本</w:t>
            </w:r>
            <w:r>
              <w:rPr>
                <w:rFonts w:hint="eastAsia"/>
                <w:sz w:val="24"/>
                <w:szCs w:val="24"/>
              </w:rPr>
              <w:t>项目</w:t>
            </w:r>
            <w:r>
              <w:rPr>
                <w:sz w:val="24"/>
                <w:szCs w:val="24"/>
              </w:rPr>
              <w:t>噪声源的分布，对项目四周厂界噪声</w:t>
            </w:r>
            <w:r>
              <w:rPr>
                <w:rFonts w:hint="eastAsia"/>
                <w:sz w:val="24"/>
                <w:szCs w:val="24"/>
              </w:rPr>
              <w:t>贡献值</w:t>
            </w:r>
            <w:r>
              <w:rPr>
                <w:sz w:val="24"/>
                <w:szCs w:val="24"/>
              </w:rPr>
              <w:t>进行计算，</w:t>
            </w:r>
            <w:r>
              <w:rPr>
                <w:rFonts w:hint="eastAsia"/>
                <w:sz w:val="24"/>
                <w:szCs w:val="24"/>
              </w:rPr>
              <w:t>本次评价</w:t>
            </w:r>
            <w:r>
              <w:rPr>
                <w:sz w:val="24"/>
                <w:szCs w:val="24"/>
              </w:rPr>
              <w:t>厂界噪声的预测结果见</w:t>
            </w:r>
            <w:r>
              <w:rPr>
                <w:rFonts w:hint="eastAsia"/>
                <w:sz w:val="24"/>
                <w:szCs w:val="24"/>
              </w:rPr>
              <w:t>下</w:t>
            </w:r>
            <w:r>
              <w:rPr>
                <w:sz w:val="24"/>
                <w:szCs w:val="24"/>
              </w:rPr>
              <w:t>表。</w:t>
            </w:r>
          </w:p>
          <w:p>
            <w:pPr>
              <w:tabs>
                <w:tab w:val="left" w:pos="3620"/>
              </w:tabs>
              <w:adjustRightInd w:val="0"/>
              <w:snapToGrid w:val="0"/>
              <w:spacing w:line="440" w:lineRule="exact"/>
              <w:ind w:firstLine="480" w:firstLineChars="200"/>
              <w:rPr>
                <w:rFonts w:hint="eastAsia" w:hAnsi="黑体" w:eastAsia="黑体"/>
                <w:sz w:val="24"/>
              </w:rPr>
            </w:pPr>
            <w:r>
              <w:rPr>
                <w:rFonts w:hint="eastAsia" w:hAnsi="黑体" w:eastAsia="黑体"/>
                <w:sz w:val="24"/>
              </w:rPr>
              <w:t>表</w:t>
            </w:r>
            <w:r>
              <w:rPr>
                <w:rFonts w:hint="eastAsia" w:hAnsi="黑体" w:eastAsia="黑体"/>
                <w:sz w:val="24"/>
                <w:lang w:val="en-US" w:eastAsia="zh-CN"/>
              </w:rPr>
              <w:t>4-14</w:t>
            </w:r>
            <w:r>
              <w:rPr>
                <w:rFonts w:hint="eastAsia" w:hAnsi="黑体" w:eastAsia="黑体"/>
                <w:sz w:val="24"/>
              </w:rPr>
              <w:t xml:space="preserve">            </w:t>
            </w:r>
            <w:r>
              <w:rPr>
                <w:rFonts w:hint="eastAsia" w:hAnsi="黑体" w:eastAsia="黑体"/>
                <w:sz w:val="24"/>
                <w:lang w:val="en-US" w:eastAsia="zh-CN"/>
              </w:rPr>
              <w:t xml:space="preserve">  </w:t>
            </w:r>
            <w:r>
              <w:rPr>
                <w:rFonts w:hint="eastAsia" w:hAnsi="黑体" w:eastAsia="黑体"/>
                <w:sz w:val="24"/>
              </w:rPr>
              <w:t xml:space="preserve">各厂界噪声预测值         </w:t>
            </w:r>
            <w:r>
              <w:rPr>
                <w:rFonts w:hint="eastAsia" w:hAnsi="黑体" w:eastAsia="黑体"/>
                <w:sz w:val="24"/>
                <w:lang w:val="en-US" w:eastAsia="zh-CN"/>
              </w:rPr>
              <w:t xml:space="preserve">      </w:t>
            </w:r>
            <w:r>
              <w:rPr>
                <w:rFonts w:hint="eastAsia" w:hAnsi="黑体" w:eastAsia="黑体"/>
                <w:sz w:val="24"/>
              </w:rPr>
              <w:t>单位：dB(A)</w:t>
            </w:r>
          </w:p>
          <w:tbl>
            <w:tblPr>
              <w:tblStyle w:val="2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398"/>
              <w:gridCol w:w="1355"/>
              <w:gridCol w:w="1594"/>
              <w:gridCol w:w="1057"/>
              <w:gridCol w:w="883"/>
              <w:gridCol w:w="11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794" w:type="pct"/>
                  <w:tcBorders>
                    <w:top w:val="single" w:color="auto" w:sz="8" w:space="0"/>
                    <w:bottom w:val="single" w:color="auto" w:sz="8" w:space="0"/>
                  </w:tcBorders>
                  <w:vAlign w:val="center"/>
                </w:tcPr>
                <w:p>
                  <w:pPr>
                    <w:jc w:val="center"/>
                    <w:rPr>
                      <w:b/>
                      <w:sz w:val="21"/>
                      <w:szCs w:val="21"/>
                    </w:rPr>
                  </w:pPr>
                  <w:r>
                    <w:rPr>
                      <w:rFonts w:hint="eastAsia"/>
                      <w:b/>
                      <w:sz w:val="21"/>
                      <w:szCs w:val="21"/>
                    </w:rPr>
                    <w:t>点</w:t>
                  </w:r>
                  <w:r>
                    <w:rPr>
                      <w:b/>
                      <w:sz w:val="21"/>
                      <w:szCs w:val="21"/>
                    </w:rPr>
                    <w:t>位</w:t>
                  </w:r>
                </w:p>
              </w:tc>
              <w:tc>
                <w:tcPr>
                  <w:tcW w:w="789" w:type="pct"/>
                  <w:tcBorders>
                    <w:top w:val="single" w:color="auto" w:sz="8" w:space="0"/>
                    <w:bottom w:val="single" w:color="auto" w:sz="8" w:space="0"/>
                  </w:tcBorders>
                  <w:vAlign w:val="center"/>
                </w:tcPr>
                <w:p>
                  <w:pPr>
                    <w:jc w:val="center"/>
                    <w:rPr>
                      <w:b/>
                      <w:bCs/>
                      <w:sz w:val="21"/>
                      <w:szCs w:val="21"/>
                    </w:rPr>
                  </w:pPr>
                  <w:r>
                    <w:rPr>
                      <w:b/>
                      <w:bCs/>
                      <w:sz w:val="21"/>
                      <w:szCs w:val="21"/>
                    </w:rPr>
                    <w:t>噪声源</w:t>
                  </w:r>
                </w:p>
              </w:tc>
              <w:tc>
                <w:tcPr>
                  <w:tcW w:w="765" w:type="pct"/>
                  <w:tcBorders>
                    <w:top w:val="single" w:color="auto" w:sz="8" w:space="0"/>
                    <w:bottom w:val="single" w:color="auto" w:sz="8" w:space="0"/>
                  </w:tcBorders>
                  <w:vAlign w:val="center"/>
                </w:tcPr>
                <w:p>
                  <w:pPr>
                    <w:jc w:val="center"/>
                    <w:rPr>
                      <w:b/>
                      <w:bCs/>
                      <w:sz w:val="21"/>
                      <w:szCs w:val="21"/>
                    </w:rPr>
                  </w:pPr>
                  <w:r>
                    <w:rPr>
                      <w:b/>
                      <w:bCs/>
                      <w:sz w:val="21"/>
                      <w:szCs w:val="21"/>
                    </w:rPr>
                    <w:t>处理后源强</w:t>
                  </w:r>
                </w:p>
              </w:tc>
              <w:tc>
                <w:tcPr>
                  <w:tcW w:w="899" w:type="pct"/>
                  <w:tcBorders>
                    <w:top w:val="single" w:color="auto" w:sz="8" w:space="0"/>
                    <w:bottom w:val="single" w:color="auto" w:sz="8" w:space="0"/>
                  </w:tcBorders>
                  <w:vAlign w:val="center"/>
                </w:tcPr>
                <w:p>
                  <w:pPr>
                    <w:jc w:val="center"/>
                    <w:rPr>
                      <w:b/>
                      <w:bCs/>
                      <w:sz w:val="21"/>
                      <w:szCs w:val="21"/>
                    </w:rPr>
                  </w:pPr>
                  <w:r>
                    <w:rPr>
                      <w:b/>
                      <w:bCs/>
                      <w:sz w:val="21"/>
                      <w:szCs w:val="21"/>
                    </w:rPr>
                    <w:t>与噪声源距离（m）</w:t>
                  </w:r>
                </w:p>
              </w:tc>
              <w:tc>
                <w:tcPr>
                  <w:tcW w:w="596" w:type="pct"/>
                  <w:tcBorders>
                    <w:top w:val="single" w:color="auto" w:sz="8" w:space="0"/>
                    <w:bottom w:val="single" w:color="auto" w:sz="8" w:space="0"/>
                  </w:tcBorders>
                  <w:vAlign w:val="center"/>
                </w:tcPr>
                <w:p>
                  <w:pPr>
                    <w:jc w:val="center"/>
                    <w:rPr>
                      <w:b/>
                      <w:bCs/>
                      <w:sz w:val="21"/>
                      <w:szCs w:val="21"/>
                    </w:rPr>
                  </w:pPr>
                  <w:r>
                    <w:rPr>
                      <w:b/>
                      <w:bCs/>
                      <w:sz w:val="21"/>
                      <w:szCs w:val="21"/>
                    </w:rPr>
                    <w:t>贡献值</w:t>
                  </w:r>
                </w:p>
              </w:tc>
              <w:tc>
                <w:tcPr>
                  <w:tcW w:w="498" w:type="pct"/>
                  <w:tcBorders>
                    <w:top w:val="single" w:color="auto" w:sz="8" w:space="0"/>
                    <w:bottom w:val="single" w:color="auto" w:sz="8" w:space="0"/>
                  </w:tcBorders>
                  <w:vAlign w:val="center"/>
                </w:tcPr>
                <w:p>
                  <w:pPr>
                    <w:jc w:val="center"/>
                    <w:rPr>
                      <w:b/>
                      <w:bCs/>
                      <w:sz w:val="21"/>
                      <w:szCs w:val="21"/>
                    </w:rPr>
                  </w:pPr>
                  <w:r>
                    <w:rPr>
                      <w:b/>
                      <w:bCs/>
                      <w:sz w:val="21"/>
                      <w:szCs w:val="21"/>
                    </w:rPr>
                    <w:t>标准</w:t>
                  </w:r>
                </w:p>
              </w:tc>
              <w:tc>
                <w:tcPr>
                  <w:tcW w:w="656" w:type="pct"/>
                  <w:tcBorders>
                    <w:top w:val="single" w:color="auto" w:sz="8" w:space="0"/>
                    <w:bottom w:val="single" w:color="auto" w:sz="8" w:space="0"/>
                  </w:tcBorders>
                  <w:vAlign w:val="center"/>
                </w:tcPr>
                <w:p>
                  <w:pPr>
                    <w:jc w:val="center"/>
                    <w:rPr>
                      <w:b/>
                      <w:bCs/>
                      <w:sz w:val="21"/>
                      <w:szCs w:val="21"/>
                    </w:rPr>
                  </w:pPr>
                  <w:r>
                    <w:rPr>
                      <w:b/>
                      <w:bCs/>
                      <w:sz w:val="21"/>
                      <w:szCs w:val="21"/>
                    </w:rPr>
                    <w:t>达标</w:t>
                  </w:r>
                </w:p>
                <w:p>
                  <w:pPr>
                    <w:jc w:val="center"/>
                    <w:rPr>
                      <w:b/>
                      <w:bCs/>
                      <w:sz w:val="21"/>
                      <w:szCs w:val="21"/>
                    </w:rPr>
                  </w:pPr>
                  <w:r>
                    <w:rPr>
                      <w:b/>
                      <w:bCs/>
                      <w:sz w:val="21"/>
                      <w:szCs w:val="21"/>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tcBorders>
                    <w:top w:val="single" w:color="auto" w:sz="8" w:space="0"/>
                  </w:tcBorders>
                  <w:vAlign w:val="center"/>
                </w:tcPr>
                <w:p>
                  <w:pPr>
                    <w:jc w:val="center"/>
                    <w:rPr>
                      <w:sz w:val="21"/>
                      <w:szCs w:val="21"/>
                    </w:rPr>
                  </w:pPr>
                  <w:r>
                    <w:rPr>
                      <w:rFonts w:hint="eastAsia"/>
                      <w:sz w:val="21"/>
                      <w:szCs w:val="21"/>
                    </w:rPr>
                    <w:t>东厂界</w:t>
                  </w:r>
                </w:p>
              </w:tc>
              <w:tc>
                <w:tcPr>
                  <w:tcW w:w="789" w:type="pct"/>
                  <w:vMerge w:val="restart"/>
                  <w:tcBorders>
                    <w:top w:val="single" w:color="auto" w:sz="8" w:space="0"/>
                  </w:tcBorders>
                  <w:vAlign w:val="center"/>
                </w:tcPr>
                <w:p>
                  <w:pPr>
                    <w:jc w:val="center"/>
                    <w:rPr>
                      <w:sz w:val="21"/>
                      <w:szCs w:val="21"/>
                    </w:rPr>
                  </w:pPr>
                  <w:r>
                    <w:rPr>
                      <w:rFonts w:hint="eastAsia"/>
                      <w:bCs/>
                      <w:sz w:val="21"/>
                      <w:szCs w:val="21"/>
                    </w:rPr>
                    <w:t>综合生产车间</w:t>
                  </w:r>
                </w:p>
              </w:tc>
              <w:tc>
                <w:tcPr>
                  <w:tcW w:w="765" w:type="pct"/>
                  <w:vMerge w:val="restart"/>
                  <w:tcBorders>
                    <w:top w:val="single" w:color="auto" w:sz="8" w:space="0"/>
                  </w:tcBorders>
                  <w:vAlign w:val="center"/>
                </w:tcPr>
                <w:p>
                  <w:pPr>
                    <w:jc w:val="center"/>
                    <w:rPr>
                      <w:rFonts w:hint="default" w:eastAsia="宋体"/>
                      <w:sz w:val="21"/>
                      <w:szCs w:val="21"/>
                      <w:lang w:val="en-US" w:eastAsia="zh-CN"/>
                    </w:rPr>
                  </w:pPr>
                  <w:r>
                    <w:rPr>
                      <w:rFonts w:hint="eastAsia"/>
                      <w:bCs/>
                      <w:sz w:val="21"/>
                      <w:szCs w:val="21"/>
                      <w:lang w:val="en-US" w:eastAsia="zh-CN"/>
                    </w:rPr>
                    <w:t>48.5</w:t>
                  </w:r>
                </w:p>
              </w:tc>
              <w:tc>
                <w:tcPr>
                  <w:tcW w:w="899" w:type="pct"/>
                  <w:tcBorders>
                    <w:top w:val="single" w:color="auto" w:sz="8" w:space="0"/>
                  </w:tcBorders>
                  <w:vAlign w:val="center"/>
                </w:tcPr>
                <w:p>
                  <w:pPr>
                    <w:jc w:val="center"/>
                    <w:rPr>
                      <w:rFonts w:hint="default" w:eastAsia="宋体"/>
                      <w:sz w:val="21"/>
                      <w:szCs w:val="21"/>
                      <w:lang w:val="en-US" w:eastAsia="zh-CN"/>
                    </w:rPr>
                  </w:pPr>
                  <w:r>
                    <w:rPr>
                      <w:rFonts w:hint="eastAsia"/>
                      <w:sz w:val="21"/>
                      <w:szCs w:val="21"/>
                      <w:lang w:val="en-US" w:eastAsia="zh-CN"/>
                    </w:rPr>
                    <w:t>70</w:t>
                  </w:r>
                </w:p>
              </w:tc>
              <w:tc>
                <w:tcPr>
                  <w:tcW w:w="596" w:type="pct"/>
                  <w:tcBorders>
                    <w:top w:val="single" w:color="auto" w:sz="8" w:space="0"/>
                  </w:tcBorders>
                  <w:vAlign w:val="center"/>
                </w:tcPr>
                <w:p>
                  <w:pPr>
                    <w:jc w:val="center"/>
                    <w:rPr>
                      <w:rFonts w:hint="default" w:eastAsia="宋体"/>
                      <w:sz w:val="21"/>
                      <w:szCs w:val="21"/>
                      <w:lang w:val="en-US" w:eastAsia="zh-CN"/>
                    </w:rPr>
                  </w:pPr>
                  <w:r>
                    <w:rPr>
                      <w:rFonts w:hint="eastAsia"/>
                      <w:sz w:val="21"/>
                      <w:szCs w:val="21"/>
                      <w:lang w:val="en-US" w:eastAsia="zh-CN"/>
                    </w:rPr>
                    <w:t>11.6</w:t>
                  </w:r>
                </w:p>
              </w:tc>
              <w:tc>
                <w:tcPr>
                  <w:tcW w:w="498" w:type="pct"/>
                  <w:tcBorders>
                    <w:top w:val="single" w:color="auto" w:sz="8" w:space="0"/>
                  </w:tcBorders>
                  <w:vAlign w:val="center"/>
                </w:tcPr>
                <w:p>
                  <w:pPr>
                    <w:jc w:val="center"/>
                    <w:rPr>
                      <w:sz w:val="21"/>
                      <w:szCs w:val="21"/>
                    </w:rPr>
                  </w:pPr>
                  <w:r>
                    <w:rPr>
                      <w:sz w:val="21"/>
                      <w:szCs w:val="21"/>
                    </w:rPr>
                    <w:t>6</w:t>
                  </w:r>
                  <w:r>
                    <w:rPr>
                      <w:rFonts w:hint="eastAsia"/>
                      <w:sz w:val="21"/>
                      <w:szCs w:val="21"/>
                    </w:rPr>
                    <w:t>0</w:t>
                  </w:r>
                </w:p>
              </w:tc>
              <w:tc>
                <w:tcPr>
                  <w:tcW w:w="656" w:type="pct"/>
                  <w:tcBorders>
                    <w:top w:val="single" w:color="auto" w:sz="8" w:space="0"/>
                  </w:tcBorders>
                  <w:vAlign w:val="center"/>
                </w:tcPr>
                <w:p>
                  <w:pPr>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vAlign w:val="center"/>
                </w:tcPr>
                <w:p>
                  <w:pPr>
                    <w:jc w:val="center"/>
                    <w:rPr>
                      <w:sz w:val="21"/>
                      <w:szCs w:val="21"/>
                    </w:rPr>
                  </w:pPr>
                  <w:r>
                    <w:rPr>
                      <w:rFonts w:hint="eastAsia"/>
                      <w:sz w:val="21"/>
                      <w:szCs w:val="21"/>
                    </w:rPr>
                    <w:t>南厂界</w:t>
                  </w:r>
                </w:p>
              </w:tc>
              <w:tc>
                <w:tcPr>
                  <w:tcW w:w="789" w:type="pct"/>
                  <w:vMerge w:val="continue"/>
                  <w:vAlign w:val="center"/>
                </w:tcPr>
                <w:p>
                  <w:pPr>
                    <w:jc w:val="center"/>
                    <w:rPr>
                      <w:sz w:val="21"/>
                      <w:szCs w:val="21"/>
                    </w:rPr>
                  </w:pPr>
                </w:p>
              </w:tc>
              <w:tc>
                <w:tcPr>
                  <w:tcW w:w="765" w:type="pct"/>
                  <w:vMerge w:val="continue"/>
                  <w:vAlign w:val="center"/>
                </w:tcPr>
                <w:p>
                  <w:pPr>
                    <w:jc w:val="center"/>
                    <w:rPr>
                      <w:sz w:val="21"/>
                      <w:szCs w:val="21"/>
                    </w:rPr>
                  </w:pPr>
                </w:p>
              </w:tc>
              <w:tc>
                <w:tcPr>
                  <w:tcW w:w="899" w:type="pct"/>
                  <w:vAlign w:val="center"/>
                </w:tcPr>
                <w:p>
                  <w:pPr>
                    <w:jc w:val="center"/>
                    <w:rPr>
                      <w:rFonts w:hint="default" w:eastAsia="宋体"/>
                      <w:sz w:val="21"/>
                      <w:szCs w:val="21"/>
                      <w:lang w:val="en-US" w:eastAsia="zh-CN"/>
                    </w:rPr>
                  </w:pPr>
                  <w:r>
                    <w:rPr>
                      <w:rFonts w:hint="eastAsia"/>
                      <w:sz w:val="21"/>
                      <w:szCs w:val="21"/>
                      <w:lang w:val="en-US" w:eastAsia="zh-CN"/>
                    </w:rPr>
                    <w:t>13</w:t>
                  </w:r>
                </w:p>
              </w:tc>
              <w:tc>
                <w:tcPr>
                  <w:tcW w:w="596" w:type="pct"/>
                  <w:vAlign w:val="center"/>
                </w:tcPr>
                <w:p>
                  <w:pPr>
                    <w:jc w:val="center"/>
                    <w:rPr>
                      <w:rFonts w:hint="default" w:eastAsia="宋体"/>
                      <w:sz w:val="21"/>
                      <w:szCs w:val="21"/>
                      <w:lang w:val="en-US" w:eastAsia="zh-CN"/>
                    </w:rPr>
                  </w:pPr>
                  <w:r>
                    <w:rPr>
                      <w:rFonts w:hint="eastAsia"/>
                      <w:sz w:val="21"/>
                      <w:szCs w:val="21"/>
                      <w:lang w:val="en-US" w:eastAsia="zh-CN"/>
                    </w:rPr>
                    <w:t>26.2</w:t>
                  </w:r>
                </w:p>
              </w:tc>
              <w:tc>
                <w:tcPr>
                  <w:tcW w:w="498" w:type="pct"/>
                  <w:vAlign w:val="center"/>
                </w:tcPr>
                <w:p>
                  <w:pPr>
                    <w:jc w:val="center"/>
                    <w:rPr>
                      <w:sz w:val="21"/>
                      <w:szCs w:val="21"/>
                    </w:rPr>
                  </w:pPr>
                  <w:r>
                    <w:rPr>
                      <w:sz w:val="21"/>
                      <w:szCs w:val="21"/>
                    </w:rPr>
                    <w:t>6</w:t>
                  </w:r>
                  <w:r>
                    <w:rPr>
                      <w:rFonts w:hint="eastAsia"/>
                      <w:sz w:val="21"/>
                      <w:szCs w:val="21"/>
                    </w:rPr>
                    <w:t>0</w:t>
                  </w:r>
                </w:p>
              </w:tc>
              <w:tc>
                <w:tcPr>
                  <w:tcW w:w="656" w:type="pct"/>
                  <w:vAlign w:val="center"/>
                </w:tcPr>
                <w:p>
                  <w:pPr>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tcBorders>
                    <w:bottom w:val="single" w:color="auto" w:sz="4" w:space="0"/>
                  </w:tcBorders>
                  <w:vAlign w:val="center"/>
                </w:tcPr>
                <w:p>
                  <w:pPr>
                    <w:jc w:val="center"/>
                    <w:rPr>
                      <w:sz w:val="21"/>
                      <w:szCs w:val="21"/>
                    </w:rPr>
                  </w:pPr>
                  <w:r>
                    <w:rPr>
                      <w:sz w:val="21"/>
                      <w:szCs w:val="21"/>
                    </w:rPr>
                    <w:t>西厂界</w:t>
                  </w:r>
                </w:p>
              </w:tc>
              <w:tc>
                <w:tcPr>
                  <w:tcW w:w="789" w:type="pct"/>
                  <w:vMerge w:val="continue"/>
                  <w:vAlign w:val="center"/>
                </w:tcPr>
                <w:p>
                  <w:pPr>
                    <w:jc w:val="center"/>
                    <w:rPr>
                      <w:sz w:val="21"/>
                      <w:szCs w:val="21"/>
                    </w:rPr>
                  </w:pPr>
                </w:p>
              </w:tc>
              <w:tc>
                <w:tcPr>
                  <w:tcW w:w="765" w:type="pct"/>
                  <w:vMerge w:val="continue"/>
                  <w:vAlign w:val="center"/>
                </w:tcPr>
                <w:p>
                  <w:pPr>
                    <w:jc w:val="center"/>
                    <w:rPr>
                      <w:sz w:val="21"/>
                      <w:szCs w:val="21"/>
                    </w:rPr>
                  </w:pPr>
                </w:p>
              </w:tc>
              <w:tc>
                <w:tcPr>
                  <w:tcW w:w="899" w:type="pct"/>
                  <w:tcBorders>
                    <w:bottom w:val="single" w:color="auto" w:sz="4" w:space="0"/>
                  </w:tcBorders>
                  <w:vAlign w:val="center"/>
                </w:tcPr>
                <w:p>
                  <w:pPr>
                    <w:jc w:val="center"/>
                    <w:rPr>
                      <w:rFonts w:hint="eastAsia" w:eastAsia="宋体"/>
                      <w:sz w:val="21"/>
                      <w:szCs w:val="21"/>
                      <w:lang w:eastAsia="zh-CN"/>
                    </w:rPr>
                  </w:pPr>
                  <w:r>
                    <w:rPr>
                      <w:rFonts w:hint="eastAsia"/>
                      <w:sz w:val="21"/>
                      <w:szCs w:val="21"/>
                      <w:lang w:val="en-US" w:eastAsia="zh-CN"/>
                    </w:rPr>
                    <w:t>4</w:t>
                  </w:r>
                </w:p>
              </w:tc>
              <w:tc>
                <w:tcPr>
                  <w:tcW w:w="596" w:type="pct"/>
                  <w:tcBorders>
                    <w:bottom w:val="single" w:color="auto" w:sz="4" w:space="0"/>
                  </w:tcBorders>
                  <w:vAlign w:val="center"/>
                </w:tcPr>
                <w:p>
                  <w:pPr>
                    <w:jc w:val="center"/>
                    <w:rPr>
                      <w:rFonts w:hint="default" w:eastAsia="宋体"/>
                      <w:sz w:val="21"/>
                      <w:szCs w:val="21"/>
                      <w:lang w:val="en-US" w:eastAsia="zh-CN"/>
                    </w:rPr>
                  </w:pPr>
                  <w:r>
                    <w:rPr>
                      <w:rFonts w:hint="eastAsia"/>
                      <w:sz w:val="21"/>
                      <w:szCs w:val="21"/>
                      <w:lang w:val="en-US" w:eastAsia="zh-CN"/>
                    </w:rPr>
                    <w:t>36.5</w:t>
                  </w:r>
                </w:p>
              </w:tc>
              <w:tc>
                <w:tcPr>
                  <w:tcW w:w="498" w:type="pct"/>
                  <w:vAlign w:val="center"/>
                </w:tcPr>
                <w:p>
                  <w:pPr>
                    <w:jc w:val="center"/>
                    <w:rPr>
                      <w:sz w:val="21"/>
                      <w:szCs w:val="21"/>
                    </w:rPr>
                  </w:pPr>
                  <w:r>
                    <w:rPr>
                      <w:sz w:val="21"/>
                      <w:szCs w:val="21"/>
                    </w:rPr>
                    <w:t>6</w:t>
                  </w:r>
                  <w:r>
                    <w:rPr>
                      <w:rFonts w:hint="eastAsia"/>
                      <w:sz w:val="21"/>
                      <w:szCs w:val="21"/>
                    </w:rPr>
                    <w:t>0</w:t>
                  </w:r>
                </w:p>
              </w:tc>
              <w:tc>
                <w:tcPr>
                  <w:tcW w:w="656" w:type="pct"/>
                  <w:vAlign w:val="center"/>
                </w:tcPr>
                <w:p>
                  <w:pPr>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794" w:type="pct"/>
                  <w:vAlign w:val="center"/>
                </w:tcPr>
                <w:p>
                  <w:pPr>
                    <w:jc w:val="center"/>
                    <w:rPr>
                      <w:sz w:val="21"/>
                      <w:szCs w:val="21"/>
                    </w:rPr>
                  </w:pPr>
                  <w:r>
                    <w:rPr>
                      <w:sz w:val="21"/>
                      <w:szCs w:val="21"/>
                    </w:rPr>
                    <w:t>北厂界</w:t>
                  </w:r>
                </w:p>
              </w:tc>
              <w:tc>
                <w:tcPr>
                  <w:tcW w:w="789" w:type="pct"/>
                  <w:vMerge w:val="continue"/>
                  <w:vAlign w:val="center"/>
                </w:tcPr>
                <w:p>
                  <w:pPr>
                    <w:jc w:val="center"/>
                    <w:rPr>
                      <w:sz w:val="21"/>
                      <w:szCs w:val="21"/>
                    </w:rPr>
                  </w:pPr>
                </w:p>
              </w:tc>
              <w:tc>
                <w:tcPr>
                  <w:tcW w:w="765" w:type="pct"/>
                  <w:vMerge w:val="continue"/>
                  <w:vAlign w:val="center"/>
                </w:tcPr>
                <w:p>
                  <w:pPr>
                    <w:jc w:val="center"/>
                    <w:rPr>
                      <w:sz w:val="21"/>
                      <w:szCs w:val="21"/>
                    </w:rPr>
                  </w:pPr>
                </w:p>
              </w:tc>
              <w:tc>
                <w:tcPr>
                  <w:tcW w:w="899" w:type="pct"/>
                  <w:vAlign w:val="center"/>
                </w:tcPr>
                <w:p>
                  <w:pPr>
                    <w:jc w:val="center"/>
                    <w:rPr>
                      <w:rFonts w:hint="eastAsia" w:eastAsia="宋体"/>
                      <w:sz w:val="21"/>
                      <w:szCs w:val="21"/>
                      <w:lang w:eastAsia="zh-CN"/>
                    </w:rPr>
                  </w:pPr>
                  <w:r>
                    <w:rPr>
                      <w:rFonts w:hint="eastAsia"/>
                      <w:sz w:val="21"/>
                      <w:szCs w:val="21"/>
                      <w:lang w:val="en-US" w:eastAsia="zh-CN"/>
                    </w:rPr>
                    <w:t>4</w:t>
                  </w:r>
                </w:p>
              </w:tc>
              <w:tc>
                <w:tcPr>
                  <w:tcW w:w="596" w:type="pct"/>
                  <w:vAlign w:val="center"/>
                </w:tcPr>
                <w:p>
                  <w:pPr>
                    <w:jc w:val="center"/>
                    <w:rPr>
                      <w:rFonts w:hint="default" w:eastAsia="宋体"/>
                      <w:sz w:val="21"/>
                      <w:szCs w:val="21"/>
                      <w:lang w:val="en-US" w:eastAsia="zh-CN"/>
                    </w:rPr>
                  </w:pPr>
                  <w:r>
                    <w:rPr>
                      <w:rFonts w:hint="eastAsia"/>
                      <w:sz w:val="21"/>
                      <w:szCs w:val="21"/>
                      <w:lang w:val="en-US" w:eastAsia="zh-CN"/>
                    </w:rPr>
                    <w:t>36.5</w:t>
                  </w:r>
                </w:p>
              </w:tc>
              <w:tc>
                <w:tcPr>
                  <w:tcW w:w="498" w:type="pct"/>
                  <w:vAlign w:val="center"/>
                </w:tcPr>
                <w:p>
                  <w:pPr>
                    <w:jc w:val="center"/>
                    <w:rPr>
                      <w:sz w:val="21"/>
                      <w:szCs w:val="21"/>
                    </w:rPr>
                  </w:pPr>
                  <w:r>
                    <w:rPr>
                      <w:sz w:val="21"/>
                      <w:szCs w:val="21"/>
                    </w:rPr>
                    <w:t>6</w:t>
                  </w:r>
                  <w:r>
                    <w:rPr>
                      <w:rFonts w:hint="eastAsia"/>
                      <w:sz w:val="21"/>
                      <w:szCs w:val="21"/>
                    </w:rPr>
                    <w:t>0</w:t>
                  </w:r>
                </w:p>
              </w:tc>
              <w:tc>
                <w:tcPr>
                  <w:tcW w:w="656" w:type="pct"/>
                  <w:vAlign w:val="center"/>
                </w:tcPr>
                <w:p>
                  <w:pPr>
                    <w:jc w:val="center"/>
                    <w:rPr>
                      <w:sz w:val="21"/>
                      <w:szCs w:val="21"/>
                    </w:rPr>
                  </w:pPr>
                  <w:r>
                    <w:rPr>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 w:type="pct"/>
                  <w:tcBorders>
                    <w:bottom w:val="single" w:color="auto" w:sz="8" w:space="0"/>
                  </w:tcBorders>
                  <w:vAlign w:val="center"/>
                </w:tcPr>
                <w:p>
                  <w:pPr>
                    <w:jc w:val="center"/>
                    <w:rPr>
                      <w:rFonts w:hint="default" w:eastAsia="宋体"/>
                      <w:sz w:val="21"/>
                      <w:szCs w:val="21"/>
                      <w:lang w:val="en-US" w:eastAsia="zh-CN"/>
                    </w:rPr>
                  </w:pPr>
                  <w:r>
                    <w:rPr>
                      <w:rFonts w:hint="eastAsia"/>
                      <w:sz w:val="21"/>
                      <w:szCs w:val="21"/>
                      <w:lang w:val="en-US" w:eastAsia="zh-CN"/>
                    </w:rPr>
                    <w:t>敦留店村</w:t>
                  </w:r>
                </w:p>
              </w:tc>
              <w:tc>
                <w:tcPr>
                  <w:tcW w:w="789" w:type="pct"/>
                  <w:vMerge w:val="continue"/>
                  <w:tcBorders>
                    <w:bottom w:val="single" w:color="auto" w:sz="8" w:space="0"/>
                  </w:tcBorders>
                  <w:vAlign w:val="center"/>
                </w:tcPr>
                <w:p>
                  <w:pPr>
                    <w:jc w:val="center"/>
                    <w:rPr>
                      <w:sz w:val="21"/>
                      <w:szCs w:val="21"/>
                    </w:rPr>
                  </w:pPr>
                </w:p>
              </w:tc>
              <w:tc>
                <w:tcPr>
                  <w:tcW w:w="765" w:type="pct"/>
                  <w:vMerge w:val="continue"/>
                  <w:tcBorders>
                    <w:bottom w:val="single" w:color="auto" w:sz="8" w:space="0"/>
                  </w:tcBorders>
                  <w:vAlign w:val="center"/>
                </w:tcPr>
                <w:p>
                  <w:pPr>
                    <w:jc w:val="center"/>
                    <w:rPr>
                      <w:sz w:val="21"/>
                      <w:szCs w:val="21"/>
                    </w:rPr>
                  </w:pPr>
                </w:p>
              </w:tc>
              <w:tc>
                <w:tcPr>
                  <w:tcW w:w="899" w:type="pct"/>
                  <w:tcBorders>
                    <w:bottom w:val="single" w:color="auto" w:sz="8" w:space="0"/>
                  </w:tcBorders>
                  <w:vAlign w:val="center"/>
                </w:tcPr>
                <w:p>
                  <w:pPr>
                    <w:jc w:val="center"/>
                    <w:rPr>
                      <w:rFonts w:hint="default"/>
                      <w:sz w:val="21"/>
                      <w:szCs w:val="21"/>
                      <w:lang w:val="en-US" w:eastAsia="zh-CN"/>
                    </w:rPr>
                  </w:pPr>
                  <w:r>
                    <w:rPr>
                      <w:rFonts w:hint="eastAsia"/>
                      <w:sz w:val="21"/>
                      <w:szCs w:val="21"/>
                      <w:lang w:val="en-US" w:eastAsia="zh-CN"/>
                    </w:rPr>
                    <w:t>20</w:t>
                  </w:r>
                </w:p>
              </w:tc>
              <w:tc>
                <w:tcPr>
                  <w:tcW w:w="596" w:type="pct"/>
                  <w:tcBorders>
                    <w:bottom w:val="single" w:color="auto" w:sz="8" w:space="0"/>
                  </w:tcBorders>
                  <w:vAlign w:val="center"/>
                </w:tcPr>
                <w:p>
                  <w:pPr>
                    <w:jc w:val="center"/>
                    <w:rPr>
                      <w:rFonts w:hint="default"/>
                      <w:sz w:val="21"/>
                      <w:szCs w:val="21"/>
                      <w:lang w:val="en-US" w:eastAsia="zh-CN"/>
                    </w:rPr>
                  </w:pPr>
                  <w:r>
                    <w:rPr>
                      <w:rFonts w:hint="eastAsia"/>
                      <w:sz w:val="21"/>
                      <w:szCs w:val="21"/>
                      <w:lang w:val="en-US" w:eastAsia="zh-CN"/>
                    </w:rPr>
                    <w:t>22.5</w:t>
                  </w:r>
                </w:p>
              </w:tc>
              <w:tc>
                <w:tcPr>
                  <w:tcW w:w="498" w:type="pct"/>
                  <w:tcBorders>
                    <w:bottom w:val="single" w:color="auto" w:sz="8" w:space="0"/>
                  </w:tcBorders>
                  <w:vAlign w:val="center"/>
                </w:tcPr>
                <w:p>
                  <w:pPr>
                    <w:jc w:val="center"/>
                    <w:rPr>
                      <w:rFonts w:hint="default" w:eastAsia="宋体"/>
                      <w:sz w:val="21"/>
                      <w:szCs w:val="21"/>
                      <w:lang w:val="en-US" w:eastAsia="zh-CN"/>
                    </w:rPr>
                  </w:pPr>
                  <w:r>
                    <w:rPr>
                      <w:rFonts w:hint="eastAsia"/>
                      <w:sz w:val="21"/>
                      <w:szCs w:val="21"/>
                      <w:lang w:val="en-US" w:eastAsia="zh-CN"/>
                    </w:rPr>
                    <w:t>60</w:t>
                  </w:r>
                </w:p>
              </w:tc>
              <w:tc>
                <w:tcPr>
                  <w:tcW w:w="656" w:type="pct"/>
                  <w:tcBorders>
                    <w:bottom w:val="single" w:color="auto" w:sz="8" w:space="0"/>
                  </w:tcBorders>
                  <w:vAlign w:val="center"/>
                </w:tcPr>
                <w:p>
                  <w:pPr>
                    <w:jc w:val="center"/>
                    <w:rPr>
                      <w:sz w:val="21"/>
                      <w:szCs w:val="21"/>
                    </w:rPr>
                  </w:pPr>
                  <w:r>
                    <w:rPr>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eastAsia="宋体"/>
                <w:sz w:val="24"/>
                <w:lang w:eastAsia="zh-CN"/>
              </w:rPr>
            </w:pPr>
            <w:r>
              <w:rPr>
                <w:rFonts w:hint="eastAsia"/>
                <w:sz w:val="24"/>
                <w:szCs w:val="24"/>
              </w:rPr>
              <w:t>由上表可知，</w:t>
            </w:r>
            <w:r>
              <w:rPr>
                <w:sz w:val="24"/>
                <w:szCs w:val="24"/>
              </w:rPr>
              <w:t>经过车间密闭、距离衰减等措施后，项目四周</w:t>
            </w:r>
            <w:r>
              <w:rPr>
                <w:rFonts w:hint="eastAsia"/>
                <w:sz w:val="24"/>
                <w:szCs w:val="24"/>
                <w:lang w:val="en-US" w:eastAsia="zh-CN"/>
              </w:rPr>
              <w:t>厂界</w:t>
            </w:r>
            <w:r>
              <w:rPr>
                <w:sz w:val="24"/>
                <w:szCs w:val="24"/>
              </w:rPr>
              <w:t>噪声值</w:t>
            </w:r>
            <w:r>
              <w:rPr>
                <w:rFonts w:hint="eastAsia"/>
                <w:sz w:val="24"/>
                <w:szCs w:val="24"/>
                <w:lang w:val="en-US" w:eastAsia="zh-CN"/>
              </w:rPr>
              <w:t>能够</w:t>
            </w:r>
            <w:r>
              <w:rPr>
                <w:sz w:val="24"/>
                <w:szCs w:val="24"/>
              </w:rPr>
              <w:t>满足《工业企业厂界环境噪声排放标准》（GB12348-2008）</w:t>
            </w:r>
            <w:r>
              <w:rPr>
                <w:rFonts w:hint="eastAsia"/>
                <w:sz w:val="24"/>
                <w:szCs w:val="24"/>
              </w:rPr>
              <w:t>2</w:t>
            </w:r>
            <w:r>
              <w:rPr>
                <w:sz w:val="24"/>
                <w:szCs w:val="24"/>
              </w:rPr>
              <w:t>类标准昼间6</w:t>
            </w:r>
            <w:r>
              <w:rPr>
                <w:rFonts w:hint="eastAsia"/>
                <w:sz w:val="24"/>
                <w:szCs w:val="24"/>
              </w:rPr>
              <w:t>0</w:t>
            </w:r>
            <w:r>
              <w:rPr>
                <w:sz w:val="24"/>
                <w:szCs w:val="24"/>
              </w:rPr>
              <w:t>dB（A）的要求</w:t>
            </w:r>
            <w:r>
              <w:rPr>
                <w:rFonts w:hint="eastAsia"/>
                <w:sz w:val="24"/>
                <w:szCs w:val="24"/>
                <w:lang w:eastAsia="zh-CN"/>
              </w:rPr>
              <w:t>；</w:t>
            </w:r>
            <w:r>
              <w:rPr>
                <w:rFonts w:hint="eastAsia"/>
                <w:sz w:val="24"/>
                <w:szCs w:val="24"/>
                <w:lang w:val="en-US" w:eastAsia="zh-CN"/>
              </w:rPr>
              <w:t>距离项目最近的环境敏感点敦留店村噪声值能够满足《声环境质量标准》</w:t>
            </w:r>
            <w:r>
              <w:rPr>
                <w:sz w:val="24"/>
                <w:szCs w:val="24"/>
              </w:rPr>
              <w:t>（GB3096-2008）2类昼间60dB（A）要求</w:t>
            </w:r>
            <w:r>
              <w:rPr>
                <w:rFonts w:hint="eastAsia"/>
                <w:sz w:val="24"/>
                <w:szCs w:val="24"/>
                <w:lang w:eastAsia="zh-CN"/>
              </w:rPr>
              <w:t>。</w:t>
            </w:r>
          </w:p>
          <w:p>
            <w:pPr>
              <w:keepNext w:val="0"/>
              <w:keepLines w:val="0"/>
              <w:pageBreakBefore w:val="0"/>
              <w:widowControl w:val="0"/>
              <w:tabs>
                <w:tab w:val="left" w:pos="3620"/>
              </w:tabs>
              <w:kinsoku/>
              <w:wordWrap/>
              <w:overflowPunct/>
              <w:topLinePunct w:val="0"/>
              <w:autoSpaceDE/>
              <w:autoSpaceDN/>
              <w:bidi w:val="0"/>
              <w:adjustRightInd w:val="0"/>
              <w:snapToGrid w:val="0"/>
              <w:spacing w:line="460" w:lineRule="exact"/>
              <w:ind w:firstLine="240" w:firstLineChars="100"/>
              <w:textAlignment w:val="auto"/>
              <w:rPr>
                <w:rFonts w:hint="eastAsia" w:ascii="宋体" w:hAnsi="宋体" w:eastAsia="宋体"/>
                <w:sz w:val="24"/>
                <w:lang w:eastAsia="zh-CN"/>
              </w:rPr>
            </w:pPr>
            <w:r>
              <w:rPr>
                <w:rFonts w:hint="eastAsia" w:hAnsi="宋体"/>
                <w:snapToGrid w:val="0"/>
                <w:kern w:val="24"/>
                <w:sz w:val="24"/>
                <w:szCs w:val="24"/>
              </w:rPr>
              <w:t>（2）</w:t>
            </w:r>
            <w:r>
              <w:rPr>
                <w:rFonts w:hint="eastAsia" w:ascii="宋体" w:hAnsi="宋体"/>
                <w:sz w:val="24"/>
              </w:rPr>
              <w:t>本项目噪声监测</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sz w:val="24"/>
                <w:szCs w:val="24"/>
              </w:rPr>
            </w:pPr>
            <w:r>
              <w:rPr>
                <w:rFonts w:hint="eastAsia"/>
                <w:sz w:val="24"/>
                <w:szCs w:val="24"/>
              </w:rPr>
              <w:t>项目噪声自行</w:t>
            </w:r>
            <w:r>
              <w:rPr>
                <w:rFonts w:hint="eastAsia"/>
                <w:sz w:val="24"/>
                <w:szCs w:val="24"/>
                <w:lang w:val="en-GB"/>
              </w:rPr>
              <w:t>监测</w:t>
            </w:r>
            <w:r>
              <w:rPr>
                <w:rFonts w:hint="eastAsia"/>
                <w:sz w:val="24"/>
                <w:szCs w:val="24"/>
              </w:rPr>
              <w:t>参照《排污单位自行监测技术指南 水泥工业》（HJ848-2017）</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ascii="宋体" w:hAnsi="宋体"/>
                <w:sz w:val="24"/>
              </w:rPr>
            </w:pPr>
            <w:r>
              <w:rPr>
                <w:rFonts w:hint="eastAsia"/>
                <w:sz w:val="24"/>
                <w:szCs w:val="24"/>
                <w:lang w:val="en-GB"/>
              </w:rPr>
              <w:t>中相关要求执行，具体要求见下表</w:t>
            </w:r>
            <w:r>
              <w:rPr>
                <w:rFonts w:hint="eastAsia" w:hAnsi="宋体"/>
                <w:sz w:val="24"/>
                <w:lang w:val="en-GB"/>
              </w:rPr>
              <w:t>。</w:t>
            </w:r>
          </w:p>
          <w:p>
            <w:pPr>
              <w:tabs>
                <w:tab w:val="left" w:pos="3620"/>
              </w:tabs>
              <w:adjustRightInd w:val="0"/>
              <w:snapToGrid w:val="0"/>
              <w:spacing w:line="440" w:lineRule="exact"/>
              <w:ind w:firstLine="480" w:firstLineChars="200"/>
              <w:rPr>
                <w:rFonts w:eastAsia="黑体"/>
                <w:sz w:val="24"/>
              </w:rPr>
            </w:pPr>
            <w:r>
              <w:rPr>
                <w:rFonts w:hint="eastAsia" w:hAnsi="黑体" w:eastAsia="黑体"/>
                <w:sz w:val="24"/>
              </w:rPr>
              <w:t>表</w:t>
            </w:r>
            <w:r>
              <w:rPr>
                <w:rFonts w:hint="eastAsia" w:eastAsia="黑体"/>
                <w:sz w:val="24"/>
                <w:lang w:val="en-US" w:eastAsia="zh-CN"/>
              </w:rPr>
              <w:t>4-15</w:t>
            </w:r>
            <w:r>
              <w:rPr>
                <w:rFonts w:hint="eastAsia" w:eastAsia="黑体"/>
                <w:sz w:val="24"/>
              </w:rPr>
              <w:t xml:space="preserve">          </w:t>
            </w:r>
            <w:r>
              <w:rPr>
                <w:rFonts w:hint="eastAsia" w:hAnsi="黑体" w:eastAsia="黑体"/>
                <w:sz w:val="24"/>
              </w:rPr>
              <w:t>本项目噪声监测要求</w:t>
            </w:r>
          </w:p>
          <w:tbl>
            <w:tblPr>
              <w:tblStyle w:val="24"/>
              <w:tblW w:w="500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82"/>
              <w:gridCol w:w="1482"/>
              <w:gridCol w:w="2042"/>
              <w:gridCol w:w="1771"/>
              <w:gridCol w:w="2079"/>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6" w:type="pct"/>
                  <w:tcBorders>
                    <w:top w:val="single" w:color="auto" w:sz="8" w:space="0"/>
                    <w:left w:val="nil"/>
                    <w:bottom w:val="single" w:color="auto" w:sz="6" w:space="0"/>
                    <w:right w:val="single" w:color="auto" w:sz="6" w:space="0"/>
                  </w:tcBorders>
                  <w:vAlign w:val="center"/>
                </w:tcPr>
                <w:p>
                  <w:pPr>
                    <w:tabs>
                      <w:tab w:val="left" w:pos="3620"/>
                    </w:tabs>
                    <w:adjustRightInd w:val="0"/>
                    <w:snapToGrid w:val="0"/>
                    <w:jc w:val="center"/>
                    <w:rPr>
                      <w:rFonts w:ascii="宋体" w:hAnsi="宋体"/>
                      <w:b/>
                      <w:sz w:val="21"/>
                      <w:szCs w:val="21"/>
                    </w:rPr>
                  </w:pPr>
                  <w:r>
                    <w:rPr>
                      <w:rFonts w:hint="eastAsia" w:ascii="宋体" w:hAnsi="宋体"/>
                      <w:b/>
                      <w:sz w:val="21"/>
                      <w:szCs w:val="21"/>
                    </w:rPr>
                    <w:t>污染物</w:t>
                  </w:r>
                </w:p>
              </w:tc>
              <w:tc>
                <w:tcPr>
                  <w:tcW w:w="836" w:type="pct"/>
                  <w:tcBorders>
                    <w:top w:val="single" w:color="auto" w:sz="8" w:space="0"/>
                    <w:left w:val="single" w:color="auto" w:sz="6" w:space="0"/>
                    <w:bottom w:val="single" w:color="auto" w:sz="6" w:space="0"/>
                    <w:right w:val="single" w:color="auto" w:sz="6" w:space="0"/>
                  </w:tcBorders>
                  <w:vAlign w:val="center"/>
                </w:tcPr>
                <w:p>
                  <w:pPr>
                    <w:tabs>
                      <w:tab w:val="left" w:pos="3620"/>
                    </w:tabs>
                    <w:adjustRightInd w:val="0"/>
                    <w:snapToGrid w:val="0"/>
                    <w:jc w:val="center"/>
                    <w:rPr>
                      <w:rFonts w:ascii="宋体" w:hAnsi="宋体"/>
                      <w:b/>
                      <w:sz w:val="21"/>
                      <w:szCs w:val="21"/>
                    </w:rPr>
                  </w:pPr>
                  <w:r>
                    <w:rPr>
                      <w:rFonts w:hint="eastAsia" w:ascii="宋体" w:hAnsi="宋体"/>
                      <w:b/>
                      <w:sz w:val="21"/>
                      <w:szCs w:val="21"/>
                    </w:rPr>
                    <w:t>监测点位</w:t>
                  </w:r>
                </w:p>
              </w:tc>
              <w:tc>
                <w:tcPr>
                  <w:tcW w:w="1153" w:type="pct"/>
                  <w:tcBorders>
                    <w:top w:val="single" w:color="auto" w:sz="8" w:space="0"/>
                    <w:left w:val="single" w:color="auto" w:sz="6" w:space="0"/>
                    <w:bottom w:val="single" w:color="auto" w:sz="6" w:space="0"/>
                    <w:right w:val="single" w:color="auto" w:sz="6" w:space="0"/>
                  </w:tcBorders>
                  <w:vAlign w:val="center"/>
                </w:tcPr>
                <w:p>
                  <w:pPr>
                    <w:tabs>
                      <w:tab w:val="left" w:pos="3620"/>
                    </w:tabs>
                    <w:adjustRightInd w:val="0"/>
                    <w:snapToGrid w:val="0"/>
                    <w:jc w:val="center"/>
                    <w:rPr>
                      <w:rFonts w:ascii="宋体" w:hAnsi="宋体"/>
                      <w:b/>
                      <w:sz w:val="21"/>
                      <w:szCs w:val="21"/>
                    </w:rPr>
                  </w:pPr>
                  <w:r>
                    <w:rPr>
                      <w:rFonts w:hint="eastAsia" w:ascii="宋体" w:hAnsi="宋体"/>
                      <w:b/>
                      <w:sz w:val="21"/>
                      <w:szCs w:val="21"/>
                    </w:rPr>
                    <w:t>监测指标</w:t>
                  </w:r>
                </w:p>
              </w:tc>
              <w:tc>
                <w:tcPr>
                  <w:tcW w:w="1000" w:type="pct"/>
                  <w:tcBorders>
                    <w:top w:val="single" w:color="auto" w:sz="8" w:space="0"/>
                    <w:left w:val="single" w:color="auto" w:sz="6" w:space="0"/>
                    <w:bottom w:val="single" w:color="auto" w:sz="6" w:space="0"/>
                    <w:right w:val="single" w:color="auto" w:sz="6" w:space="0"/>
                  </w:tcBorders>
                  <w:vAlign w:val="center"/>
                </w:tcPr>
                <w:p>
                  <w:pPr>
                    <w:tabs>
                      <w:tab w:val="left" w:pos="3620"/>
                    </w:tabs>
                    <w:adjustRightInd w:val="0"/>
                    <w:snapToGrid w:val="0"/>
                    <w:jc w:val="center"/>
                    <w:rPr>
                      <w:rFonts w:ascii="宋体" w:hAnsi="宋体"/>
                      <w:b/>
                      <w:sz w:val="21"/>
                      <w:szCs w:val="21"/>
                    </w:rPr>
                  </w:pPr>
                  <w:r>
                    <w:rPr>
                      <w:rFonts w:hint="eastAsia" w:ascii="宋体" w:hAnsi="宋体"/>
                      <w:b/>
                      <w:sz w:val="21"/>
                      <w:szCs w:val="21"/>
                    </w:rPr>
                    <w:t>监测频率</w:t>
                  </w:r>
                </w:p>
              </w:tc>
              <w:tc>
                <w:tcPr>
                  <w:tcW w:w="1174" w:type="pct"/>
                  <w:tcBorders>
                    <w:top w:val="single" w:color="auto" w:sz="8" w:space="0"/>
                    <w:left w:val="single" w:color="auto" w:sz="6" w:space="0"/>
                    <w:bottom w:val="single" w:color="auto" w:sz="6" w:space="0"/>
                    <w:right w:val="nil"/>
                  </w:tcBorders>
                  <w:vAlign w:val="center"/>
                </w:tcPr>
                <w:p>
                  <w:pPr>
                    <w:tabs>
                      <w:tab w:val="left" w:pos="3620"/>
                    </w:tabs>
                    <w:adjustRightInd w:val="0"/>
                    <w:snapToGrid w:val="0"/>
                    <w:jc w:val="center"/>
                    <w:rPr>
                      <w:rFonts w:ascii="宋体" w:hAnsi="宋体"/>
                      <w:b/>
                      <w:sz w:val="21"/>
                      <w:szCs w:val="21"/>
                    </w:rPr>
                  </w:pPr>
                  <w:r>
                    <w:rPr>
                      <w:rFonts w:hint="eastAsia" w:ascii="宋体" w:hAnsi="宋体"/>
                      <w:b/>
                      <w:sz w:val="21"/>
                      <w:szCs w:val="21"/>
                    </w:rPr>
                    <w:t>实施单位</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6" w:type="pct"/>
                  <w:tcBorders>
                    <w:top w:val="single" w:color="auto" w:sz="8" w:space="0"/>
                    <w:left w:val="nil"/>
                    <w:bottom w:val="single" w:color="auto" w:sz="8" w:space="0"/>
                    <w:right w:val="single" w:color="auto" w:sz="6" w:space="0"/>
                  </w:tcBorders>
                  <w:vAlign w:val="center"/>
                </w:tcPr>
                <w:p>
                  <w:pPr>
                    <w:tabs>
                      <w:tab w:val="left" w:pos="3620"/>
                    </w:tabs>
                    <w:adjustRightInd w:val="0"/>
                    <w:snapToGrid w:val="0"/>
                    <w:jc w:val="center"/>
                    <w:rPr>
                      <w:sz w:val="21"/>
                      <w:szCs w:val="21"/>
                    </w:rPr>
                  </w:pPr>
                  <w:r>
                    <w:rPr>
                      <w:rFonts w:hAnsi="宋体"/>
                      <w:sz w:val="21"/>
                      <w:szCs w:val="21"/>
                    </w:rPr>
                    <w:t>噪声</w:t>
                  </w:r>
                </w:p>
              </w:tc>
              <w:tc>
                <w:tcPr>
                  <w:tcW w:w="836" w:type="pct"/>
                  <w:tcBorders>
                    <w:top w:val="single" w:color="auto" w:sz="8" w:space="0"/>
                    <w:left w:val="single" w:color="auto" w:sz="6" w:space="0"/>
                    <w:bottom w:val="single" w:color="auto" w:sz="8" w:space="0"/>
                    <w:right w:val="single" w:color="auto" w:sz="6" w:space="0"/>
                  </w:tcBorders>
                  <w:vAlign w:val="center"/>
                </w:tcPr>
                <w:p>
                  <w:pPr>
                    <w:tabs>
                      <w:tab w:val="left" w:pos="3620"/>
                    </w:tabs>
                    <w:adjustRightInd w:val="0"/>
                    <w:snapToGrid w:val="0"/>
                    <w:jc w:val="center"/>
                    <w:rPr>
                      <w:sz w:val="21"/>
                      <w:szCs w:val="21"/>
                      <w:lang w:val="en-GB"/>
                    </w:rPr>
                  </w:pPr>
                  <w:r>
                    <w:rPr>
                      <w:rFonts w:hAnsi="宋体"/>
                      <w:sz w:val="21"/>
                      <w:szCs w:val="21"/>
                      <w:lang w:val="en-GB"/>
                    </w:rPr>
                    <w:t>厂界外</w:t>
                  </w:r>
                  <w:r>
                    <w:rPr>
                      <w:sz w:val="21"/>
                      <w:szCs w:val="21"/>
                      <w:lang w:val="en-GB"/>
                    </w:rPr>
                    <w:t>1</w:t>
                  </w:r>
                  <w:r>
                    <w:rPr>
                      <w:rFonts w:hAnsi="宋体"/>
                      <w:sz w:val="21"/>
                      <w:szCs w:val="21"/>
                      <w:lang w:val="en-GB"/>
                    </w:rPr>
                    <w:t>米</w:t>
                  </w:r>
                </w:p>
              </w:tc>
              <w:tc>
                <w:tcPr>
                  <w:tcW w:w="1153" w:type="pct"/>
                  <w:tcBorders>
                    <w:top w:val="single" w:color="auto" w:sz="8" w:space="0"/>
                    <w:left w:val="single" w:color="auto" w:sz="6" w:space="0"/>
                    <w:bottom w:val="single" w:color="auto" w:sz="8" w:space="0"/>
                    <w:right w:val="single" w:color="auto" w:sz="6" w:space="0"/>
                  </w:tcBorders>
                  <w:vAlign w:val="center"/>
                </w:tcPr>
                <w:p>
                  <w:pPr>
                    <w:tabs>
                      <w:tab w:val="left" w:pos="3620"/>
                    </w:tabs>
                    <w:adjustRightInd w:val="0"/>
                    <w:snapToGrid w:val="0"/>
                    <w:jc w:val="center"/>
                    <w:rPr>
                      <w:sz w:val="21"/>
                      <w:szCs w:val="21"/>
                      <w:lang w:val="en-GB"/>
                    </w:rPr>
                  </w:pPr>
                  <w:r>
                    <w:rPr>
                      <w:rFonts w:hAnsi="宋体"/>
                      <w:sz w:val="21"/>
                      <w:szCs w:val="21"/>
                      <w:lang w:val="en-GB"/>
                    </w:rPr>
                    <w:t>等效连续</w:t>
                  </w:r>
                  <w:r>
                    <w:rPr>
                      <w:sz w:val="21"/>
                      <w:szCs w:val="21"/>
                      <w:lang w:val="en-GB"/>
                    </w:rPr>
                    <w:t>A</w:t>
                  </w:r>
                  <w:r>
                    <w:rPr>
                      <w:rFonts w:hAnsi="宋体"/>
                      <w:sz w:val="21"/>
                      <w:szCs w:val="21"/>
                      <w:lang w:val="en-GB"/>
                    </w:rPr>
                    <w:t>声级</w:t>
                  </w:r>
                </w:p>
              </w:tc>
              <w:tc>
                <w:tcPr>
                  <w:tcW w:w="1000" w:type="pct"/>
                  <w:tcBorders>
                    <w:top w:val="single" w:color="auto" w:sz="8" w:space="0"/>
                    <w:left w:val="single" w:color="auto" w:sz="6" w:space="0"/>
                    <w:bottom w:val="single" w:color="auto" w:sz="8" w:space="0"/>
                    <w:right w:val="single" w:color="auto" w:sz="6" w:space="0"/>
                  </w:tcBorders>
                  <w:vAlign w:val="center"/>
                </w:tcPr>
                <w:p>
                  <w:pPr>
                    <w:tabs>
                      <w:tab w:val="left" w:pos="3620"/>
                    </w:tabs>
                    <w:adjustRightInd w:val="0"/>
                    <w:snapToGrid w:val="0"/>
                    <w:jc w:val="center"/>
                    <w:rPr>
                      <w:sz w:val="21"/>
                      <w:szCs w:val="21"/>
                      <w:lang w:val="en-GB"/>
                    </w:rPr>
                  </w:pPr>
                  <w:r>
                    <w:rPr>
                      <w:rFonts w:hAnsi="宋体"/>
                      <w:sz w:val="21"/>
                      <w:szCs w:val="21"/>
                      <w:lang w:val="en-GB"/>
                    </w:rPr>
                    <w:t>每季度</w:t>
                  </w:r>
                  <w:r>
                    <w:rPr>
                      <w:rFonts w:hAnsi="宋体"/>
                      <w:sz w:val="21"/>
                      <w:szCs w:val="21"/>
                    </w:rPr>
                    <w:t>一</w:t>
                  </w:r>
                  <w:r>
                    <w:rPr>
                      <w:rFonts w:hAnsi="宋体"/>
                      <w:sz w:val="21"/>
                      <w:szCs w:val="21"/>
                      <w:lang w:val="en-GB"/>
                    </w:rPr>
                    <w:t>次</w:t>
                  </w:r>
                </w:p>
              </w:tc>
              <w:tc>
                <w:tcPr>
                  <w:tcW w:w="1174" w:type="pct"/>
                  <w:tcBorders>
                    <w:top w:val="single" w:color="auto" w:sz="8" w:space="0"/>
                    <w:left w:val="single" w:color="auto" w:sz="6" w:space="0"/>
                    <w:bottom w:val="single" w:color="auto" w:sz="8" w:space="0"/>
                    <w:right w:val="nil"/>
                  </w:tcBorders>
                  <w:vAlign w:val="center"/>
                </w:tcPr>
                <w:p>
                  <w:pPr>
                    <w:tabs>
                      <w:tab w:val="left" w:pos="3620"/>
                    </w:tabs>
                    <w:adjustRightInd w:val="0"/>
                    <w:snapToGrid w:val="0"/>
                    <w:jc w:val="center"/>
                    <w:rPr>
                      <w:sz w:val="21"/>
                      <w:szCs w:val="21"/>
                      <w:lang w:val="en-GB"/>
                    </w:rPr>
                  </w:pPr>
                  <w:r>
                    <w:rPr>
                      <w:rFonts w:hAnsi="宋体"/>
                      <w:sz w:val="21"/>
                      <w:szCs w:val="21"/>
                      <w:lang w:val="en-GB"/>
                    </w:rPr>
                    <w:t>委托有资质单位</w:t>
                  </w:r>
                </w:p>
              </w:tc>
            </w:tr>
          </w:tbl>
          <w:p>
            <w:pPr>
              <w:tabs>
                <w:tab w:val="left" w:pos="3620"/>
              </w:tabs>
              <w:adjustRightInd w:val="0"/>
              <w:snapToGrid w:val="0"/>
              <w:spacing w:line="440" w:lineRule="exact"/>
              <w:ind w:firstLine="482" w:firstLineChars="200"/>
              <w:rPr>
                <w:b/>
                <w:sz w:val="24"/>
              </w:rPr>
            </w:pPr>
            <w:r>
              <w:rPr>
                <w:rFonts w:hint="eastAsia"/>
                <w:b/>
                <w:sz w:val="24"/>
              </w:rPr>
              <w:t>四、固废</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sz w:val="24"/>
                <w:szCs w:val="24"/>
              </w:rPr>
            </w:pPr>
            <w:r>
              <w:rPr>
                <w:rFonts w:hint="eastAsia"/>
                <w:sz w:val="24"/>
                <w:szCs w:val="24"/>
              </w:rPr>
              <w:t>本项目固废主要为废气处理工序产生</w:t>
            </w:r>
            <w:r>
              <w:rPr>
                <w:rFonts w:hint="eastAsia"/>
                <w:sz w:val="24"/>
                <w:szCs w:val="24"/>
                <w:lang w:eastAsia="zh-CN"/>
              </w:rPr>
              <w:t>除尘灰</w:t>
            </w:r>
            <w:r>
              <w:rPr>
                <w:rFonts w:hint="eastAsia"/>
                <w:sz w:val="24"/>
                <w:szCs w:val="24"/>
              </w:rPr>
              <w:t>、</w:t>
            </w:r>
            <w:r>
              <w:rPr>
                <w:rFonts w:hint="eastAsia"/>
                <w:sz w:val="24"/>
                <w:szCs w:val="24"/>
                <w:lang w:val="en-US" w:eastAsia="zh-CN"/>
              </w:rPr>
              <w:t>沉淀池沉淀</w:t>
            </w:r>
            <w:r>
              <w:rPr>
                <w:rFonts w:hint="eastAsia"/>
                <w:sz w:val="24"/>
                <w:szCs w:val="24"/>
              </w:rPr>
              <w:t>产生的</w:t>
            </w:r>
            <w:r>
              <w:rPr>
                <w:rFonts w:hint="eastAsia"/>
                <w:sz w:val="24"/>
                <w:szCs w:val="24"/>
                <w:lang w:val="en-US" w:eastAsia="zh-CN"/>
              </w:rPr>
              <w:t>沉渣</w:t>
            </w:r>
            <w:r>
              <w:rPr>
                <w:rFonts w:hint="eastAsia"/>
                <w:sz w:val="24"/>
                <w:szCs w:val="24"/>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sz w:val="24"/>
                <w:szCs w:val="24"/>
              </w:rPr>
            </w:pPr>
            <w:r>
              <w:rPr>
                <w:rFonts w:hint="eastAsia"/>
                <w:sz w:val="24"/>
                <w:szCs w:val="24"/>
              </w:rPr>
              <w:t>（1）除尘灰</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sz w:val="24"/>
                <w:szCs w:val="24"/>
              </w:rPr>
            </w:pPr>
            <w:r>
              <w:rPr>
                <w:rFonts w:hint="eastAsia"/>
                <w:sz w:val="24"/>
                <w:szCs w:val="24"/>
              </w:rPr>
              <w:t>本项目废气处理工序工序会产生除尘灰，据本项目废气产生源强部分可知，</w:t>
            </w:r>
            <w:r>
              <w:rPr>
                <w:rFonts w:hint="eastAsia"/>
                <w:sz w:val="24"/>
                <w:szCs w:val="24"/>
                <w:lang w:eastAsia="zh-CN"/>
              </w:rPr>
              <w:t>除尘灰</w:t>
            </w:r>
            <w:r>
              <w:rPr>
                <w:rFonts w:hint="eastAsia"/>
                <w:sz w:val="24"/>
                <w:szCs w:val="24"/>
              </w:rPr>
              <w:t>产生量约</w:t>
            </w:r>
            <w:r>
              <w:rPr>
                <w:rFonts w:hint="eastAsia"/>
                <w:sz w:val="24"/>
                <w:szCs w:val="24"/>
                <w:highlight w:val="none"/>
              </w:rPr>
              <w:t>为</w:t>
            </w:r>
            <w:r>
              <w:rPr>
                <w:rFonts w:hint="eastAsia"/>
                <w:color w:val="auto"/>
                <w:sz w:val="24"/>
                <w:szCs w:val="24"/>
                <w:highlight w:val="none"/>
                <w:lang w:val="en-US" w:eastAsia="zh-CN"/>
              </w:rPr>
              <w:t>47</w:t>
            </w:r>
            <w:r>
              <w:rPr>
                <w:rFonts w:hint="eastAsia"/>
                <w:color w:val="auto"/>
                <w:sz w:val="24"/>
                <w:szCs w:val="24"/>
                <w:highlight w:val="none"/>
              </w:rPr>
              <w:t>t/a，</w:t>
            </w:r>
            <w:r>
              <w:rPr>
                <w:rFonts w:hint="eastAsia"/>
                <w:sz w:val="24"/>
                <w:szCs w:val="24"/>
                <w:highlight w:val="none"/>
              </w:rPr>
              <w:t>收集</w:t>
            </w:r>
            <w:r>
              <w:rPr>
                <w:rFonts w:hint="eastAsia"/>
                <w:sz w:val="24"/>
                <w:szCs w:val="24"/>
              </w:rPr>
              <w:t>后在一般固废暂存间暂存，定期作为建材外售。</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eastAsia="宋体"/>
                <w:sz w:val="24"/>
                <w:szCs w:val="24"/>
                <w:lang w:val="en-US" w:eastAsia="zh-CN"/>
              </w:rPr>
            </w:pPr>
            <w:r>
              <w:rPr>
                <w:rFonts w:hint="eastAsia"/>
                <w:sz w:val="24"/>
                <w:szCs w:val="24"/>
              </w:rPr>
              <w:t>（</w:t>
            </w:r>
            <w:r>
              <w:rPr>
                <w:rFonts w:hint="eastAsia"/>
                <w:sz w:val="24"/>
                <w:szCs w:val="24"/>
                <w:lang w:val="en-US" w:eastAsia="zh-CN"/>
              </w:rPr>
              <w:t>2</w:t>
            </w:r>
            <w:r>
              <w:rPr>
                <w:rFonts w:hint="eastAsia"/>
                <w:sz w:val="24"/>
                <w:szCs w:val="24"/>
              </w:rPr>
              <w:t>）</w:t>
            </w:r>
            <w:r>
              <w:rPr>
                <w:rFonts w:hint="eastAsia"/>
                <w:sz w:val="24"/>
                <w:szCs w:val="24"/>
                <w:lang w:val="en-US" w:eastAsia="zh-CN"/>
              </w:rPr>
              <w:t>沉渣</w:t>
            </w:r>
          </w:p>
          <w:p>
            <w:pPr>
              <w:pStyle w:val="11"/>
              <w:keepNext w:val="0"/>
              <w:keepLines w:val="0"/>
              <w:pageBreakBefore w:val="0"/>
              <w:widowControl w:val="0"/>
              <w:kinsoku/>
              <w:wordWrap/>
              <w:overflowPunct/>
              <w:topLinePunct w:val="0"/>
              <w:autoSpaceDE/>
              <w:autoSpaceDN/>
              <w:bidi w:val="0"/>
              <w:spacing w:before="0" w:after="0" w:line="460" w:lineRule="exact"/>
              <w:ind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本项目沉淀池中会产生沉渣，类比同类企业，沉渣产生量约为</w:t>
            </w:r>
            <w:r>
              <w:rPr>
                <w:rFonts w:hint="eastAsia" w:cs="Times New Roman"/>
                <w:color w:val="auto"/>
                <w:kern w:val="2"/>
                <w:sz w:val="24"/>
                <w:szCs w:val="24"/>
                <w:lang w:val="en-US" w:eastAsia="zh-CN" w:bidi="ar-SA"/>
              </w:rPr>
              <w:t>40</w:t>
            </w:r>
            <w:r>
              <w:rPr>
                <w:rFonts w:hint="eastAsia" w:ascii="Times New Roman" w:hAnsi="Times New Roman" w:eastAsia="宋体" w:cs="Times New Roman"/>
                <w:color w:val="auto"/>
                <w:kern w:val="2"/>
                <w:sz w:val="24"/>
                <w:szCs w:val="24"/>
                <w:lang w:val="en-US" w:eastAsia="zh-CN" w:bidi="ar-SA"/>
              </w:rPr>
              <w:t>t/a，沉渣经收集后暂存于一般固废暂存间，回用于生产。</w:t>
            </w:r>
          </w:p>
          <w:p>
            <w:pPr>
              <w:tabs>
                <w:tab w:val="left" w:pos="3620"/>
              </w:tabs>
              <w:adjustRightInd w:val="0"/>
              <w:snapToGrid w:val="0"/>
              <w:spacing w:line="440" w:lineRule="exact"/>
              <w:ind w:firstLine="480" w:firstLineChars="200"/>
              <w:rPr>
                <w:rFonts w:hint="eastAsia" w:hAnsi="黑体" w:eastAsia="黑体"/>
                <w:sz w:val="24"/>
              </w:rPr>
            </w:pPr>
            <w:r>
              <w:rPr>
                <w:rFonts w:hint="eastAsia" w:hAnsi="黑体" w:eastAsia="黑体"/>
                <w:sz w:val="24"/>
                <w:lang w:val="en-US" w:eastAsia="zh-CN"/>
              </w:rPr>
              <w:t xml:space="preserve">  </w:t>
            </w:r>
            <w:r>
              <w:rPr>
                <w:rFonts w:hint="eastAsia" w:hAnsi="黑体" w:eastAsia="黑体"/>
                <w:sz w:val="24"/>
              </w:rPr>
              <w:t>表</w:t>
            </w:r>
            <w:r>
              <w:rPr>
                <w:rFonts w:hint="eastAsia" w:hAnsi="黑体" w:eastAsia="黑体"/>
                <w:sz w:val="24"/>
                <w:lang w:val="en-US" w:eastAsia="zh-CN"/>
              </w:rPr>
              <w:t>4-16</w:t>
            </w:r>
            <w:r>
              <w:rPr>
                <w:rFonts w:hint="eastAsia" w:hAnsi="黑体" w:eastAsia="黑体"/>
                <w:sz w:val="24"/>
              </w:rPr>
              <w:t xml:space="preserve">         一般固废产排情况及处理措施一览表</w:t>
            </w:r>
          </w:p>
          <w:tbl>
            <w:tblPr>
              <w:tblStyle w:val="24"/>
              <w:tblW w:w="49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76"/>
              <w:gridCol w:w="1173"/>
              <w:gridCol w:w="1387"/>
              <w:gridCol w:w="1073"/>
              <w:gridCol w:w="2292"/>
              <w:gridCol w:w="206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13" w:type="dxa"/>
                  <w:tcBorders>
                    <w:top w:val="single" w:color="auto" w:sz="8" w:space="0"/>
                    <w:left w:val="nil"/>
                    <w:bottom w:val="single" w:color="auto" w:sz="8" w:space="0"/>
                    <w:right w:val="single" w:color="auto" w:sz="6" w:space="0"/>
                  </w:tcBorders>
                  <w:tcMar>
                    <w:top w:w="0" w:type="dxa"/>
                    <w:left w:w="0" w:type="dxa"/>
                    <w:bottom w:w="0" w:type="dxa"/>
                    <w:right w:w="0" w:type="dxa"/>
                  </w:tcMar>
                  <w:vAlign w:val="center"/>
                </w:tcPr>
                <w:p>
                  <w:pPr>
                    <w:adjustRightInd w:val="0"/>
                    <w:snapToGrid w:val="0"/>
                    <w:jc w:val="center"/>
                    <w:rPr>
                      <w:b/>
                      <w:bCs/>
                      <w:color w:val="000000"/>
                      <w:sz w:val="21"/>
                      <w:szCs w:val="21"/>
                    </w:rPr>
                  </w:pPr>
                  <w:r>
                    <w:rPr>
                      <w:rFonts w:hint="eastAsia" w:hAnsi="宋体"/>
                      <w:b/>
                      <w:bCs/>
                      <w:color w:val="000000"/>
                      <w:sz w:val="21"/>
                      <w:szCs w:val="21"/>
                    </w:rPr>
                    <w:t>序号</w:t>
                  </w:r>
                </w:p>
              </w:tc>
              <w:tc>
                <w:tcPr>
                  <w:tcW w:w="1064" w:type="dxa"/>
                  <w:tcBorders>
                    <w:top w:val="single" w:color="auto" w:sz="8" w:space="0"/>
                    <w:left w:val="single" w:color="auto" w:sz="6" w:space="0"/>
                    <w:bottom w:val="single" w:color="auto" w:sz="8" w:space="0"/>
                    <w:right w:val="single" w:color="auto" w:sz="6" w:space="0"/>
                  </w:tcBorders>
                  <w:tcMar>
                    <w:top w:w="0" w:type="dxa"/>
                    <w:left w:w="0" w:type="dxa"/>
                    <w:bottom w:w="0" w:type="dxa"/>
                    <w:right w:w="0" w:type="dxa"/>
                  </w:tcMar>
                  <w:vAlign w:val="center"/>
                </w:tcPr>
                <w:p>
                  <w:pPr>
                    <w:adjustRightInd w:val="0"/>
                    <w:snapToGrid w:val="0"/>
                    <w:jc w:val="center"/>
                    <w:rPr>
                      <w:b/>
                      <w:bCs/>
                      <w:color w:val="000000"/>
                      <w:sz w:val="21"/>
                      <w:szCs w:val="21"/>
                    </w:rPr>
                  </w:pPr>
                  <w:r>
                    <w:rPr>
                      <w:rFonts w:hint="eastAsia" w:hAnsi="宋体"/>
                      <w:b/>
                      <w:bCs/>
                      <w:color w:val="000000"/>
                      <w:sz w:val="21"/>
                      <w:szCs w:val="21"/>
                    </w:rPr>
                    <w:t>固废名称</w:t>
                  </w:r>
                </w:p>
              </w:tc>
              <w:tc>
                <w:tcPr>
                  <w:tcW w:w="1258" w:type="dxa"/>
                  <w:tcBorders>
                    <w:top w:val="single" w:color="auto" w:sz="8" w:space="0"/>
                    <w:left w:val="single" w:color="auto" w:sz="6" w:space="0"/>
                    <w:bottom w:val="single" w:color="auto" w:sz="8" w:space="0"/>
                    <w:right w:val="single" w:color="auto" w:sz="6" w:space="0"/>
                  </w:tcBorders>
                  <w:tcMar>
                    <w:top w:w="0" w:type="dxa"/>
                    <w:left w:w="0" w:type="dxa"/>
                    <w:bottom w:w="0" w:type="dxa"/>
                    <w:right w:w="0" w:type="dxa"/>
                  </w:tcMar>
                  <w:vAlign w:val="center"/>
                </w:tcPr>
                <w:p>
                  <w:pPr>
                    <w:adjustRightInd w:val="0"/>
                    <w:snapToGrid w:val="0"/>
                    <w:jc w:val="center"/>
                    <w:rPr>
                      <w:b/>
                      <w:bCs/>
                      <w:color w:val="000000"/>
                      <w:sz w:val="21"/>
                      <w:szCs w:val="21"/>
                    </w:rPr>
                  </w:pPr>
                  <w:r>
                    <w:rPr>
                      <w:rFonts w:hint="eastAsia" w:hAnsi="宋体"/>
                      <w:b/>
                      <w:bCs/>
                      <w:color w:val="000000"/>
                      <w:sz w:val="21"/>
                      <w:szCs w:val="21"/>
                    </w:rPr>
                    <w:t>产生环节</w:t>
                  </w:r>
                </w:p>
              </w:tc>
              <w:tc>
                <w:tcPr>
                  <w:tcW w:w="973" w:type="dxa"/>
                  <w:tcBorders>
                    <w:top w:val="single" w:color="auto" w:sz="8" w:space="0"/>
                    <w:left w:val="single" w:color="auto" w:sz="6" w:space="0"/>
                    <w:bottom w:val="single" w:color="auto" w:sz="8" w:space="0"/>
                    <w:right w:val="single" w:color="auto" w:sz="6" w:space="0"/>
                  </w:tcBorders>
                  <w:vAlign w:val="center"/>
                </w:tcPr>
                <w:p>
                  <w:pPr>
                    <w:adjustRightInd w:val="0"/>
                    <w:snapToGrid w:val="0"/>
                    <w:jc w:val="center"/>
                    <w:rPr>
                      <w:b/>
                      <w:bCs/>
                      <w:color w:val="000000"/>
                      <w:sz w:val="21"/>
                      <w:szCs w:val="21"/>
                    </w:rPr>
                  </w:pPr>
                  <w:r>
                    <w:rPr>
                      <w:rFonts w:hint="eastAsia" w:hAnsi="宋体"/>
                      <w:b/>
                      <w:bCs/>
                      <w:color w:val="000000"/>
                      <w:sz w:val="21"/>
                      <w:szCs w:val="21"/>
                    </w:rPr>
                    <w:t>产生量</w:t>
                  </w:r>
                </w:p>
              </w:tc>
              <w:tc>
                <w:tcPr>
                  <w:tcW w:w="2079" w:type="dxa"/>
                  <w:tcBorders>
                    <w:top w:val="single" w:color="auto" w:sz="8" w:space="0"/>
                    <w:left w:val="single" w:color="auto" w:sz="6" w:space="0"/>
                    <w:bottom w:val="single" w:color="auto" w:sz="8" w:space="0"/>
                    <w:right w:val="single" w:color="auto" w:sz="6" w:space="0"/>
                  </w:tcBorders>
                  <w:tcMar>
                    <w:top w:w="0" w:type="dxa"/>
                    <w:left w:w="0" w:type="dxa"/>
                    <w:bottom w:w="0" w:type="dxa"/>
                    <w:right w:w="0" w:type="dxa"/>
                  </w:tcMar>
                  <w:vAlign w:val="center"/>
                </w:tcPr>
                <w:p>
                  <w:pPr>
                    <w:adjustRightInd w:val="0"/>
                    <w:snapToGrid w:val="0"/>
                    <w:jc w:val="center"/>
                    <w:rPr>
                      <w:b/>
                      <w:bCs/>
                      <w:color w:val="000000"/>
                      <w:sz w:val="21"/>
                      <w:szCs w:val="21"/>
                    </w:rPr>
                  </w:pPr>
                  <w:r>
                    <w:rPr>
                      <w:rFonts w:hint="eastAsia" w:hAnsi="宋体"/>
                      <w:b/>
                      <w:bCs/>
                      <w:color w:val="000000"/>
                      <w:sz w:val="21"/>
                      <w:szCs w:val="21"/>
                    </w:rPr>
                    <w:t>属性</w:t>
                  </w:r>
                </w:p>
              </w:tc>
              <w:tc>
                <w:tcPr>
                  <w:tcW w:w="1871" w:type="dxa"/>
                  <w:tcBorders>
                    <w:top w:val="single" w:color="auto" w:sz="8" w:space="0"/>
                    <w:left w:val="single" w:color="auto" w:sz="6" w:space="0"/>
                    <w:bottom w:val="single" w:color="auto" w:sz="8" w:space="0"/>
                    <w:right w:val="nil"/>
                  </w:tcBorders>
                  <w:vAlign w:val="center"/>
                </w:tcPr>
                <w:p>
                  <w:pPr>
                    <w:adjustRightInd w:val="0"/>
                    <w:snapToGrid w:val="0"/>
                    <w:jc w:val="center"/>
                    <w:rPr>
                      <w:b/>
                      <w:bCs/>
                      <w:color w:val="000000"/>
                      <w:sz w:val="21"/>
                      <w:szCs w:val="21"/>
                    </w:rPr>
                  </w:pPr>
                  <w:r>
                    <w:rPr>
                      <w:rFonts w:hint="eastAsia" w:hAnsi="宋体"/>
                      <w:b/>
                      <w:bCs/>
                      <w:color w:val="000000"/>
                      <w:sz w:val="21"/>
                      <w:szCs w:val="21"/>
                    </w:rPr>
                    <w:t>处理措施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13"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hint="eastAsia" w:eastAsia="宋体"/>
                      <w:bCs/>
                      <w:color w:val="000000"/>
                      <w:sz w:val="21"/>
                      <w:szCs w:val="21"/>
                      <w:lang w:eastAsia="zh-CN"/>
                    </w:rPr>
                  </w:pPr>
                  <w:r>
                    <w:rPr>
                      <w:rFonts w:hint="eastAsia"/>
                      <w:bCs/>
                      <w:color w:val="000000"/>
                      <w:sz w:val="21"/>
                      <w:szCs w:val="21"/>
                      <w:lang w:val="en-US" w:eastAsia="zh-CN"/>
                    </w:rPr>
                    <w:t>1</w:t>
                  </w:r>
                </w:p>
              </w:tc>
              <w:tc>
                <w:tcPr>
                  <w:tcW w:w="106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hint="eastAsia" w:hAnsi="宋体" w:eastAsia="宋体"/>
                      <w:bCs/>
                      <w:color w:val="000000"/>
                      <w:sz w:val="21"/>
                      <w:szCs w:val="21"/>
                      <w:lang w:eastAsia="zh-CN"/>
                    </w:rPr>
                  </w:pPr>
                  <w:r>
                    <w:rPr>
                      <w:rFonts w:hint="eastAsia" w:hAnsi="宋体"/>
                      <w:bCs/>
                      <w:color w:val="000000"/>
                      <w:sz w:val="21"/>
                      <w:szCs w:val="21"/>
                      <w:lang w:eastAsia="zh-CN"/>
                    </w:rPr>
                    <w:t>除尘灰</w:t>
                  </w:r>
                </w:p>
              </w:tc>
              <w:tc>
                <w:tcPr>
                  <w:tcW w:w="1258" w:type="dxa"/>
                  <w:tcBorders>
                    <w:left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hAnsi="宋体"/>
                      <w:bCs/>
                      <w:color w:val="000000"/>
                      <w:sz w:val="21"/>
                      <w:szCs w:val="21"/>
                    </w:rPr>
                  </w:pPr>
                  <w:r>
                    <w:rPr>
                      <w:rFonts w:hint="eastAsia" w:hAnsi="宋体"/>
                      <w:bCs/>
                      <w:color w:val="000000"/>
                      <w:sz w:val="21"/>
                      <w:szCs w:val="21"/>
                    </w:rPr>
                    <w:t>废气治理</w:t>
                  </w:r>
                </w:p>
              </w:tc>
              <w:tc>
                <w:tcPr>
                  <w:tcW w:w="97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bCs/>
                      <w:color w:val="000000"/>
                      <w:sz w:val="21"/>
                      <w:szCs w:val="21"/>
                    </w:rPr>
                  </w:pPr>
                  <w:r>
                    <w:rPr>
                      <w:rFonts w:hint="eastAsia"/>
                      <w:bCs/>
                      <w:color w:val="000000"/>
                      <w:sz w:val="21"/>
                      <w:szCs w:val="21"/>
                      <w:highlight w:val="none"/>
                      <w:lang w:val="en-US" w:eastAsia="zh-CN"/>
                    </w:rPr>
                    <w:t>47</w:t>
                  </w:r>
                  <w:r>
                    <w:rPr>
                      <w:bCs/>
                      <w:color w:val="000000"/>
                      <w:sz w:val="21"/>
                      <w:szCs w:val="21"/>
                      <w:highlight w:val="none"/>
                    </w:rPr>
                    <w:t>t/a</w:t>
                  </w:r>
                </w:p>
              </w:tc>
              <w:tc>
                <w:tcPr>
                  <w:tcW w:w="2079" w:type="dxa"/>
                  <w:tcBorders>
                    <w:top w:val="single" w:color="auto" w:sz="4" w:space="0"/>
                    <w:left w:val="single" w:color="auto" w:sz="6" w:space="0"/>
                    <w:bottom w:val="single" w:color="auto" w:sz="4" w:space="0"/>
                    <w:right w:val="single" w:color="auto" w:sz="6" w:space="0"/>
                  </w:tcBorders>
                  <w:tcMar>
                    <w:top w:w="0" w:type="dxa"/>
                    <w:left w:w="0" w:type="dxa"/>
                    <w:bottom w:w="0" w:type="dxa"/>
                    <w:right w:w="0" w:type="dxa"/>
                  </w:tcMar>
                  <w:vAlign w:val="center"/>
                </w:tcPr>
                <w:p>
                  <w:pPr>
                    <w:adjustRightInd w:val="0"/>
                    <w:snapToGrid w:val="0"/>
                    <w:jc w:val="center"/>
                    <w:rPr>
                      <w:rFonts w:hAnsi="宋体"/>
                      <w:bCs/>
                      <w:color w:val="000000"/>
                      <w:sz w:val="21"/>
                      <w:szCs w:val="21"/>
                    </w:rPr>
                  </w:pPr>
                  <w:r>
                    <w:rPr>
                      <w:rFonts w:hint="eastAsia" w:hAnsi="宋体"/>
                      <w:bCs/>
                      <w:color w:val="000000"/>
                      <w:sz w:val="21"/>
                      <w:szCs w:val="21"/>
                    </w:rPr>
                    <w:t>一般工业固体废物</w:t>
                  </w:r>
                </w:p>
              </w:tc>
              <w:tc>
                <w:tcPr>
                  <w:tcW w:w="1871" w:type="dxa"/>
                  <w:tcBorders>
                    <w:left w:val="single" w:color="auto" w:sz="6" w:space="0"/>
                    <w:right w:val="nil"/>
                  </w:tcBorders>
                  <w:vAlign w:val="center"/>
                </w:tcPr>
                <w:p>
                  <w:pPr>
                    <w:adjustRightInd w:val="0"/>
                    <w:snapToGrid w:val="0"/>
                    <w:jc w:val="center"/>
                    <w:rPr>
                      <w:rFonts w:hint="default" w:eastAsia="宋体"/>
                      <w:bCs/>
                      <w:color w:val="000000"/>
                      <w:sz w:val="21"/>
                      <w:szCs w:val="21"/>
                      <w:lang w:val="en-US" w:eastAsia="zh-CN"/>
                    </w:rPr>
                  </w:pPr>
                  <w:r>
                    <w:rPr>
                      <w:rFonts w:hint="eastAsia"/>
                      <w:bCs/>
                      <w:color w:val="000000"/>
                      <w:sz w:val="21"/>
                      <w:szCs w:val="21"/>
                    </w:rPr>
                    <w:t>收集后于</w:t>
                  </w:r>
                  <w:r>
                    <w:rPr>
                      <w:bCs/>
                      <w:color w:val="000000"/>
                      <w:sz w:val="21"/>
                      <w:szCs w:val="21"/>
                    </w:rPr>
                    <w:t>一般固废暂存间暂存</w:t>
                  </w:r>
                  <w:r>
                    <w:rPr>
                      <w:rFonts w:hint="eastAsia"/>
                      <w:bCs/>
                      <w:color w:val="000000"/>
                      <w:sz w:val="21"/>
                      <w:szCs w:val="21"/>
                      <w:lang w:val="en-US" w:eastAsia="zh-CN"/>
                    </w:rPr>
                    <w:t>回用于生产。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13" w:type="dxa"/>
                  <w:tcBorders>
                    <w:top w:val="single" w:color="auto" w:sz="6" w:space="0"/>
                    <w:left w:val="nil"/>
                    <w:bottom w:val="single" w:color="auto" w:sz="8" w:space="0"/>
                    <w:right w:val="single" w:color="auto" w:sz="6" w:space="0"/>
                  </w:tcBorders>
                  <w:tcMar>
                    <w:top w:w="0" w:type="dxa"/>
                    <w:left w:w="0" w:type="dxa"/>
                    <w:bottom w:w="0" w:type="dxa"/>
                    <w:right w:w="0" w:type="dxa"/>
                  </w:tcMar>
                  <w:vAlign w:val="center"/>
                </w:tcPr>
                <w:p>
                  <w:pPr>
                    <w:adjustRightInd w:val="0"/>
                    <w:snapToGrid w:val="0"/>
                    <w:jc w:val="center"/>
                    <w:rPr>
                      <w:rFonts w:hint="eastAsia" w:eastAsia="宋体"/>
                      <w:bCs/>
                      <w:color w:val="000000"/>
                      <w:sz w:val="21"/>
                      <w:szCs w:val="21"/>
                      <w:lang w:val="en-US" w:eastAsia="zh-CN"/>
                    </w:rPr>
                  </w:pPr>
                  <w:r>
                    <w:rPr>
                      <w:rFonts w:hint="eastAsia"/>
                      <w:bCs/>
                      <w:color w:val="000000"/>
                      <w:sz w:val="21"/>
                      <w:szCs w:val="21"/>
                      <w:lang w:val="en-US" w:eastAsia="zh-CN"/>
                    </w:rPr>
                    <w:t>2</w:t>
                  </w:r>
                </w:p>
              </w:tc>
              <w:tc>
                <w:tcPr>
                  <w:tcW w:w="1064" w:type="dxa"/>
                  <w:tcBorders>
                    <w:top w:val="single" w:color="auto" w:sz="6" w:space="0"/>
                    <w:left w:val="single" w:color="auto" w:sz="6" w:space="0"/>
                    <w:bottom w:val="single" w:color="auto" w:sz="8" w:space="0"/>
                    <w:right w:val="single" w:color="auto" w:sz="6" w:space="0"/>
                  </w:tcBorders>
                  <w:tcMar>
                    <w:top w:w="0" w:type="dxa"/>
                    <w:left w:w="0" w:type="dxa"/>
                    <w:bottom w:w="0" w:type="dxa"/>
                    <w:right w:w="0" w:type="dxa"/>
                  </w:tcMar>
                  <w:vAlign w:val="center"/>
                </w:tcPr>
                <w:p>
                  <w:pPr>
                    <w:adjustRightInd w:val="0"/>
                    <w:snapToGrid w:val="0"/>
                    <w:jc w:val="center"/>
                    <w:rPr>
                      <w:rFonts w:hint="eastAsia" w:hAnsi="宋体" w:eastAsia="宋体"/>
                      <w:bCs/>
                      <w:color w:val="000000"/>
                      <w:sz w:val="21"/>
                      <w:szCs w:val="21"/>
                      <w:lang w:eastAsia="zh-CN"/>
                    </w:rPr>
                  </w:pPr>
                  <w:r>
                    <w:rPr>
                      <w:rFonts w:hint="eastAsia" w:hAnsi="宋体"/>
                      <w:bCs/>
                      <w:color w:val="000000"/>
                      <w:sz w:val="21"/>
                      <w:szCs w:val="21"/>
                      <w:lang w:val="en-US" w:eastAsia="zh-CN"/>
                    </w:rPr>
                    <w:t>沉渣</w:t>
                  </w:r>
                </w:p>
              </w:tc>
              <w:tc>
                <w:tcPr>
                  <w:tcW w:w="1258" w:type="dxa"/>
                  <w:tcBorders>
                    <w:left w:val="single" w:color="auto" w:sz="6" w:space="0"/>
                    <w:bottom w:val="single" w:color="auto" w:sz="8" w:space="0"/>
                    <w:right w:val="single" w:color="auto" w:sz="6" w:space="0"/>
                  </w:tcBorders>
                  <w:tcMar>
                    <w:top w:w="0" w:type="dxa"/>
                    <w:left w:w="0" w:type="dxa"/>
                    <w:bottom w:w="0" w:type="dxa"/>
                    <w:right w:w="0" w:type="dxa"/>
                  </w:tcMar>
                  <w:vAlign w:val="center"/>
                </w:tcPr>
                <w:p>
                  <w:pPr>
                    <w:adjustRightInd w:val="0"/>
                    <w:snapToGrid w:val="0"/>
                    <w:jc w:val="center"/>
                    <w:rPr>
                      <w:rFonts w:hint="default" w:hAnsi="宋体" w:eastAsia="宋体"/>
                      <w:bCs/>
                      <w:color w:val="000000"/>
                      <w:sz w:val="21"/>
                      <w:szCs w:val="21"/>
                      <w:lang w:val="en-US" w:eastAsia="zh-CN"/>
                    </w:rPr>
                  </w:pPr>
                  <w:r>
                    <w:rPr>
                      <w:rFonts w:hint="eastAsia" w:hAnsi="宋体"/>
                      <w:bCs/>
                      <w:color w:val="000000"/>
                      <w:sz w:val="21"/>
                      <w:szCs w:val="21"/>
                      <w:lang w:val="en-US" w:eastAsia="zh-CN"/>
                    </w:rPr>
                    <w:t>沉淀池沉淀</w:t>
                  </w:r>
                </w:p>
              </w:tc>
              <w:tc>
                <w:tcPr>
                  <w:tcW w:w="973" w:type="dxa"/>
                  <w:tcBorders>
                    <w:top w:val="single" w:color="auto" w:sz="6" w:space="0"/>
                    <w:left w:val="single" w:color="auto" w:sz="6" w:space="0"/>
                    <w:bottom w:val="single" w:color="auto" w:sz="8" w:space="0"/>
                    <w:right w:val="single" w:color="auto" w:sz="6" w:space="0"/>
                  </w:tcBorders>
                  <w:vAlign w:val="center"/>
                </w:tcPr>
                <w:p>
                  <w:pPr>
                    <w:adjustRightInd w:val="0"/>
                    <w:snapToGrid w:val="0"/>
                    <w:jc w:val="center"/>
                    <w:rPr>
                      <w:bCs/>
                      <w:color w:val="000000"/>
                      <w:sz w:val="21"/>
                      <w:szCs w:val="21"/>
                    </w:rPr>
                  </w:pPr>
                  <w:r>
                    <w:rPr>
                      <w:rFonts w:hint="eastAsia"/>
                      <w:bCs/>
                      <w:color w:val="000000"/>
                      <w:sz w:val="21"/>
                      <w:szCs w:val="21"/>
                      <w:lang w:val="en-US" w:eastAsia="zh-CN"/>
                    </w:rPr>
                    <w:t>40</w:t>
                  </w:r>
                  <w:r>
                    <w:rPr>
                      <w:rFonts w:hint="eastAsia"/>
                      <w:bCs/>
                      <w:color w:val="000000"/>
                      <w:sz w:val="21"/>
                      <w:szCs w:val="21"/>
                    </w:rPr>
                    <w:t>t/a</w:t>
                  </w:r>
                </w:p>
              </w:tc>
              <w:tc>
                <w:tcPr>
                  <w:tcW w:w="2079" w:type="dxa"/>
                  <w:tcBorders>
                    <w:top w:val="single" w:color="auto" w:sz="4" w:space="0"/>
                    <w:left w:val="single" w:color="auto" w:sz="6" w:space="0"/>
                    <w:bottom w:val="single" w:color="auto" w:sz="8" w:space="0"/>
                    <w:right w:val="single" w:color="auto" w:sz="6" w:space="0"/>
                  </w:tcBorders>
                  <w:tcMar>
                    <w:top w:w="0" w:type="dxa"/>
                    <w:left w:w="0" w:type="dxa"/>
                    <w:bottom w:w="0" w:type="dxa"/>
                    <w:right w:w="0" w:type="dxa"/>
                  </w:tcMar>
                  <w:vAlign w:val="center"/>
                </w:tcPr>
                <w:p>
                  <w:pPr>
                    <w:adjustRightInd w:val="0"/>
                    <w:snapToGrid w:val="0"/>
                    <w:jc w:val="center"/>
                    <w:rPr>
                      <w:rFonts w:hAnsi="宋体"/>
                      <w:bCs/>
                      <w:color w:val="000000"/>
                      <w:sz w:val="21"/>
                      <w:szCs w:val="21"/>
                    </w:rPr>
                  </w:pPr>
                  <w:r>
                    <w:rPr>
                      <w:rFonts w:hint="eastAsia" w:hAnsi="宋体"/>
                      <w:bCs/>
                      <w:color w:val="000000"/>
                      <w:sz w:val="21"/>
                      <w:szCs w:val="21"/>
                    </w:rPr>
                    <w:t>一般工业固体废物</w:t>
                  </w:r>
                </w:p>
              </w:tc>
              <w:tc>
                <w:tcPr>
                  <w:tcW w:w="1871" w:type="dxa"/>
                  <w:tcBorders>
                    <w:left w:val="single" w:color="auto" w:sz="6" w:space="0"/>
                    <w:bottom w:val="single" w:color="auto" w:sz="8" w:space="0"/>
                    <w:right w:val="nil"/>
                  </w:tcBorders>
                  <w:vAlign w:val="center"/>
                </w:tcPr>
                <w:p>
                  <w:pPr>
                    <w:adjustRightInd w:val="0"/>
                    <w:snapToGrid w:val="0"/>
                    <w:jc w:val="center"/>
                    <w:rPr>
                      <w:rFonts w:hint="eastAsia" w:eastAsia="宋体"/>
                      <w:bCs/>
                      <w:color w:val="000000"/>
                      <w:sz w:val="21"/>
                      <w:szCs w:val="21"/>
                      <w:lang w:eastAsia="zh-CN"/>
                    </w:rPr>
                  </w:pPr>
                  <w:r>
                    <w:rPr>
                      <w:rFonts w:hint="eastAsia"/>
                      <w:bCs/>
                      <w:color w:val="000000"/>
                      <w:sz w:val="21"/>
                      <w:szCs w:val="21"/>
                    </w:rPr>
                    <w:t>沉渣经收集后暂存于一般固废暂存间，回用于生产</w:t>
                  </w:r>
                  <w:r>
                    <w:rPr>
                      <w:rFonts w:hint="eastAsia"/>
                      <w:bCs/>
                      <w:color w:val="000000"/>
                      <w:sz w:val="21"/>
                      <w:szCs w:val="21"/>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auto"/>
              <w:rPr>
                <w:sz w:val="24"/>
                <w:szCs w:val="24"/>
              </w:rPr>
            </w:pPr>
            <w:r>
              <w:rPr>
                <w:rFonts w:hint="eastAsia"/>
                <w:sz w:val="24"/>
                <w:szCs w:val="24"/>
              </w:rPr>
              <w:t>建设单位</w:t>
            </w:r>
            <w:r>
              <w:rPr>
                <w:rFonts w:hint="eastAsia"/>
                <w:sz w:val="24"/>
                <w:szCs w:val="24"/>
                <w:lang w:val="en-US" w:eastAsia="zh-CN"/>
              </w:rPr>
              <w:t>按要求在</w:t>
            </w:r>
            <w:r>
              <w:rPr>
                <w:rFonts w:hint="eastAsia"/>
                <w:sz w:val="24"/>
                <w:szCs w:val="24"/>
              </w:rPr>
              <w:t>厂区内新建一般工业固废暂存间</w:t>
            </w:r>
            <w:r>
              <w:rPr>
                <w:sz w:val="24"/>
                <w:szCs w:val="24"/>
              </w:rPr>
              <w:t>1座，面积</w:t>
            </w:r>
            <w:r>
              <w:rPr>
                <w:rFonts w:hint="eastAsia"/>
                <w:sz w:val="24"/>
                <w:szCs w:val="24"/>
              </w:rPr>
              <w:t>为</w:t>
            </w:r>
            <w:r>
              <w:rPr>
                <w:rFonts w:hint="eastAsia"/>
                <w:sz w:val="24"/>
                <w:szCs w:val="24"/>
                <w:lang w:val="en-US" w:eastAsia="zh-CN"/>
              </w:rPr>
              <w:t>2</w:t>
            </w:r>
            <w:r>
              <w:rPr>
                <w:rFonts w:hint="eastAsia"/>
                <w:sz w:val="24"/>
                <w:szCs w:val="24"/>
              </w:rPr>
              <w:t>0</w:t>
            </w:r>
            <w:r>
              <w:rPr>
                <w:sz w:val="24"/>
                <w:szCs w:val="24"/>
              </w:rPr>
              <w:t>m</w:t>
            </w:r>
            <w:r>
              <w:rPr>
                <w:sz w:val="24"/>
                <w:szCs w:val="24"/>
                <w:vertAlign w:val="superscript"/>
              </w:rPr>
              <w:t>2</w:t>
            </w:r>
            <w:r>
              <w:rPr>
                <w:rFonts w:hint="eastAsia"/>
                <w:sz w:val="24"/>
                <w:szCs w:val="24"/>
              </w:rPr>
              <w:t>；一般固废暂存间须满足</w:t>
            </w:r>
            <w:r>
              <w:rPr>
                <w:sz w:val="24"/>
                <w:szCs w:val="24"/>
              </w:rPr>
              <w:t>《一般工业固体废物贮存</w:t>
            </w:r>
            <w:r>
              <w:rPr>
                <w:rFonts w:hint="eastAsia"/>
                <w:sz w:val="24"/>
                <w:szCs w:val="24"/>
              </w:rPr>
              <w:t>和填埋</w:t>
            </w:r>
            <w:r>
              <w:rPr>
                <w:sz w:val="24"/>
                <w:szCs w:val="24"/>
              </w:rPr>
              <w:t>污染控制标准》（GB18599-20</w:t>
            </w:r>
            <w:r>
              <w:rPr>
                <w:rFonts w:hint="eastAsia"/>
                <w:sz w:val="24"/>
                <w:szCs w:val="24"/>
              </w:rPr>
              <w:t>20</w:t>
            </w:r>
            <w:r>
              <w:rPr>
                <w:sz w:val="24"/>
                <w:szCs w:val="24"/>
              </w:rPr>
              <w:t>）</w:t>
            </w:r>
            <w:r>
              <w:rPr>
                <w:rFonts w:hint="eastAsia"/>
                <w:sz w:val="24"/>
                <w:szCs w:val="24"/>
              </w:rPr>
              <w:t>要求。</w:t>
            </w:r>
          </w:p>
          <w:p>
            <w:pPr>
              <w:keepNext w:val="0"/>
              <w:keepLines w:val="0"/>
              <w:pageBreakBefore w:val="0"/>
              <w:widowControl w:val="0"/>
              <w:kinsoku/>
              <w:wordWrap/>
              <w:overflowPunct/>
              <w:topLinePunct w:val="0"/>
              <w:autoSpaceDE/>
              <w:autoSpaceDN/>
              <w:bidi w:val="0"/>
              <w:spacing w:line="460" w:lineRule="exact"/>
              <w:ind w:firstLine="480" w:firstLineChars="200"/>
              <w:textAlignment w:val="auto"/>
              <w:rPr>
                <w:sz w:val="24"/>
                <w:szCs w:val="24"/>
              </w:rPr>
            </w:pPr>
            <w:r>
              <w:rPr>
                <w:rFonts w:hint="eastAsia"/>
                <w:sz w:val="24"/>
                <w:szCs w:val="24"/>
              </w:rPr>
              <w:t>综上，本</w:t>
            </w:r>
            <w:r>
              <w:rPr>
                <w:sz w:val="24"/>
                <w:szCs w:val="24"/>
              </w:rPr>
              <w:t>项目产生的固废处置合理，固废处置率可以达到100%，评价认为，固废不会对周围环境造成影响。</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left"/>
              <w:textAlignment w:val="auto"/>
              <w:rPr>
                <w:b/>
                <w:color w:val="000000"/>
                <w:sz w:val="24"/>
                <w:szCs w:val="24"/>
              </w:rPr>
            </w:pPr>
            <w:r>
              <w:rPr>
                <w:rFonts w:hint="eastAsia"/>
                <w:b/>
                <w:color w:val="000000"/>
                <w:sz w:val="24"/>
                <w:szCs w:val="24"/>
              </w:rPr>
              <w:t>五、地下水、土壤</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auto"/>
              <w:rPr>
                <w:sz w:val="24"/>
                <w:szCs w:val="24"/>
              </w:rPr>
            </w:pPr>
            <w:r>
              <w:rPr>
                <w:rFonts w:hint="eastAsia"/>
                <w:sz w:val="24"/>
                <w:szCs w:val="24"/>
              </w:rPr>
              <w:t>本项目不涉及地下水和土壤污染途径，故本次不进行评价。</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left"/>
              <w:textAlignment w:val="auto"/>
              <w:rPr>
                <w:b/>
                <w:color w:val="000000"/>
                <w:sz w:val="24"/>
                <w:szCs w:val="24"/>
              </w:rPr>
            </w:pPr>
            <w:r>
              <w:rPr>
                <w:rFonts w:hint="eastAsia"/>
                <w:b/>
                <w:color w:val="000000"/>
                <w:sz w:val="24"/>
                <w:szCs w:val="24"/>
              </w:rPr>
              <w:t>六、生态</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auto"/>
              <w:rPr>
                <w:sz w:val="24"/>
                <w:szCs w:val="24"/>
              </w:rPr>
            </w:pPr>
            <w:r>
              <w:rPr>
                <w:rFonts w:hint="eastAsia"/>
                <w:sz w:val="24"/>
                <w:szCs w:val="24"/>
              </w:rPr>
              <w:t>本项目新增用地范围内不存在生态环境保护目标，故本次不进行评价。</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left"/>
              <w:textAlignment w:val="auto"/>
              <w:rPr>
                <w:b/>
                <w:color w:val="000000"/>
                <w:sz w:val="24"/>
                <w:szCs w:val="24"/>
              </w:rPr>
            </w:pPr>
            <w:r>
              <w:rPr>
                <w:rFonts w:hint="eastAsia"/>
                <w:b/>
                <w:color w:val="000000"/>
                <w:sz w:val="24"/>
                <w:szCs w:val="24"/>
              </w:rPr>
              <w:t>七、环境风险</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auto"/>
              <w:rPr>
                <w:color w:val="000000"/>
                <w:sz w:val="24"/>
                <w:szCs w:val="24"/>
              </w:rPr>
            </w:pPr>
            <w:r>
              <w:rPr>
                <w:rFonts w:hint="eastAsia"/>
                <w:color w:val="000000"/>
                <w:sz w:val="24"/>
                <w:szCs w:val="24"/>
              </w:rPr>
              <w:t>本项目不涉及有毒有害和易燃易爆危险物质和风险源，故本次不进行评价。</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left"/>
              <w:textAlignment w:val="auto"/>
              <w:rPr>
                <w:b/>
                <w:color w:val="000000"/>
                <w:sz w:val="24"/>
                <w:szCs w:val="24"/>
                <w:highlight w:val="yellow"/>
              </w:rPr>
            </w:pPr>
            <w:r>
              <w:rPr>
                <w:rFonts w:hint="eastAsia"/>
                <w:b/>
                <w:color w:val="000000"/>
                <w:sz w:val="24"/>
                <w:szCs w:val="24"/>
              </w:rPr>
              <w:t>八、电磁辐射</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auto"/>
              <w:rPr>
                <w:color w:val="333333"/>
                <w:sz w:val="24"/>
              </w:rPr>
            </w:pPr>
            <w:r>
              <w:rPr>
                <w:rFonts w:hint="eastAsia"/>
                <w:color w:val="000000"/>
                <w:sz w:val="24"/>
                <w:szCs w:val="24"/>
              </w:rPr>
              <w:t>本项目不存在电磁辐射源，故本次不进行评价。</w:t>
            </w:r>
          </w:p>
        </w:tc>
      </w:tr>
    </w:tbl>
    <w:p>
      <w:pPr>
        <w:adjustRightInd w:val="0"/>
        <w:snapToGrid w:val="0"/>
        <w:jc w:val="left"/>
        <w:rPr>
          <w:b/>
          <w:color w:val="000000"/>
        </w:rPr>
      </w:pPr>
      <w:r>
        <w:rPr>
          <w:rFonts w:hint="eastAsia"/>
          <w:b/>
          <w:color w:val="000000"/>
        </w:rPr>
        <w:t xml:space="preserve">                五、</w:t>
      </w:r>
      <w:bookmarkStart w:id="0" w:name="_Hlk54167917"/>
      <w:r>
        <w:rPr>
          <w:rFonts w:hint="eastAsia"/>
          <w:b/>
          <w:color w:val="000000"/>
        </w:rPr>
        <w:t>环境保护措施监督检查清单</w:t>
      </w:r>
      <w:bookmarkEnd w:id="0"/>
    </w:p>
    <w:tbl>
      <w:tblPr>
        <w:tblStyle w:val="24"/>
        <w:tblW w:w="90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543"/>
        <w:gridCol w:w="1302"/>
        <w:gridCol w:w="3065"/>
        <w:gridCol w:w="19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4" w:type="dxa"/>
            <w:tcBorders>
              <w:tl2br w:val="single" w:color="auto" w:sz="4" w:space="0"/>
            </w:tcBorders>
            <w:vAlign w:val="center"/>
          </w:tcPr>
          <w:p>
            <w:pPr>
              <w:adjustRightInd w:val="0"/>
              <w:snapToGrid w:val="0"/>
              <w:jc w:val="center"/>
              <w:rPr>
                <w:sz w:val="24"/>
                <w:szCs w:val="24"/>
              </w:rPr>
            </w:pPr>
            <w:r>
              <w:rPr>
                <w:rFonts w:hint="eastAsia" w:hAnsi="宋体"/>
                <w:sz w:val="24"/>
                <w:szCs w:val="24"/>
                <w:lang w:val="en-US" w:eastAsia="zh-CN"/>
              </w:rPr>
              <w:t xml:space="preserve">   </w:t>
            </w:r>
            <w:r>
              <w:rPr>
                <w:rFonts w:hAnsi="宋体"/>
                <w:sz w:val="24"/>
                <w:szCs w:val="24"/>
              </w:rPr>
              <w:t>内容</w:t>
            </w:r>
          </w:p>
          <w:p>
            <w:pPr>
              <w:adjustRightInd w:val="0"/>
              <w:snapToGrid w:val="0"/>
              <w:jc w:val="both"/>
              <w:rPr>
                <w:sz w:val="24"/>
                <w:szCs w:val="24"/>
              </w:rPr>
            </w:pPr>
            <w:r>
              <w:rPr>
                <w:rFonts w:hAnsi="宋体"/>
                <w:sz w:val="24"/>
                <w:szCs w:val="24"/>
              </w:rPr>
              <w:t>要素</w:t>
            </w:r>
          </w:p>
        </w:tc>
        <w:tc>
          <w:tcPr>
            <w:tcW w:w="1543" w:type="dxa"/>
            <w:tcBorders>
              <w:bottom w:val="single" w:color="auto" w:sz="4" w:space="0"/>
            </w:tcBorders>
            <w:vAlign w:val="center"/>
          </w:tcPr>
          <w:p>
            <w:pPr>
              <w:adjustRightInd w:val="0"/>
              <w:snapToGrid w:val="0"/>
              <w:jc w:val="center"/>
              <w:rPr>
                <w:sz w:val="24"/>
                <w:szCs w:val="24"/>
              </w:rPr>
            </w:pPr>
            <w:r>
              <w:rPr>
                <w:rFonts w:hAnsi="宋体"/>
                <w:sz w:val="24"/>
                <w:szCs w:val="24"/>
              </w:rPr>
              <w:t>排放口</w:t>
            </w:r>
            <w:r>
              <w:rPr>
                <w:sz w:val="24"/>
                <w:szCs w:val="24"/>
              </w:rPr>
              <w:t>(</w:t>
            </w:r>
            <w:r>
              <w:rPr>
                <w:rFonts w:hAnsi="宋体"/>
                <w:sz w:val="24"/>
                <w:szCs w:val="24"/>
              </w:rPr>
              <w:t>编号、名称</w:t>
            </w:r>
            <w:r>
              <w:rPr>
                <w:sz w:val="24"/>
                <w:szCs w:val="24"/>
              </w:rPr>
              <w:t>)/</w:t>
            </w:r>
            <w:r>
              <w:rPr>
                <w:rFonts w:hAnsi="宋体"/>
                <w:sz w:val="24"/>
                <w:szCs w:val="24"/>
              </w:rPr>
              <w:t>污染源</w:t>
            </w:r>
          </w:p>
        </w:tc>
        <w:tc>
          <w:tcPr>
            <w:tcW w:w="1302" w:type="dxa"/>
            <w:tcBorders>
              <w:bottom w:val="single" w:color="auto" w:sz="4" w:space="0"/>
            </w:tcBorders>
            <w:vAlign w:val="center"/>
          </w:tcPr>
          <w:p>
            <w:pPr>
              <w:adjustRightInd w:val="0"/>
              <w:snapToGrid w:val="0"/>
              <w:jc w:val="center"/>
              <w:rPr>
                <w:rFonts w:hint="eastAsia" w:hAnsi="宋体" w:eastAsia="宋体"/>
                <w:sz w:val="24"/>
                <w:szCs w:val="24"/>
                <w:lang w:eastAsia="zh-CN"/>
              </w:rPr>
            </w:pPr>
            <w:r>
              <w:rPr>
                <w:rFonts w:hAnsi="宋体"/>
                <w:sz w:val="24"/>
                <w:szCs w:val="24"/>
              </w:rPr>
              <w:t>污染物</w:t>
            </w:r>
          </w:p>
          <w:p>
            <w:pPr>
              <w:adjustRightInd w:val="0"/>
              <w:snapToGrid w:val="0"/>
              <w:jc w:val="center"/>
              <w:rPr>
                <w:sz w:val="24"/>
                <w:szCs w:val="24"/>
              </w:rPr>
            </w:pPr>
            <w:r>
              <w:rPr>
                <w:rFonts w:hAnsi="宋体"/>
                <w:sz w:val="24"/>
                <w:szCs w:val="24"/>
              </w:rPr>
              <w:t>项目</w:t>
            </w:r>
          </w:p>
        </w:tc>
        <w:tc>
          <w:tcPr>
            <w:tcW w:w="3065" w:type="dxa"/>
            <w:tcBorders>
              <w:bottom w:val="single" w:color="auto" w:sz="4" w:space="0"/>
            </w:tcBorders>
            <w:vAlign w:val="center"/>
          </w:tcPr>
          <w:p>
            <w:pPr>
              <w:adjustRightInd w:val="0"/>
              <w:snapToGrid w:val="0"/>
              <w:jc w:val="center"/>
              <w:rPr>
                <w:sz w:val="24"/>
                <w:szCs w:val="24"/>
              </w:rPr>
            </w:pPr>
            <w:r>
              <w:rPr>
                <w:rFonts w:hAnsi="宋体"/>
                <w:sz w:val="24"/>
                <w:szCs w:val="24"/>
              </w:rPr>
              <w:t>环境保护措施</w:t>
            </w:r>
          </w:p>
        </w:tc>
        <w:tc>
          <w:tcPr>
            <w:tcW w:w="1986" w:type="dxa"/>
            <w:tcBorders>
              <w:bottom w:val="single" w:color="auto" w:sz="4" w:space="0"/>
            </w:tcBorders>
            <w:vAlign w:val="center"/>
          </w:tcPr>
          <w:p>
            <w:pPr>
              <w:adjustRightInd w:val="0"/>
              <w:snapToGrid w:val="0"/>
              <w:jc w:val="center"/>
              <w:rPr>
                <w:sz w:val="24"/>
                <w:szCs w:val="24"/>
              </w:rPr>
            </w:pPr>
            <w:r>
              <w:rPr>
                <w:rFonts w:hAnsi="宋体"/>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14" w:type="dxa"/>
            <w:vMerge w:val="restart"/>
            <w:vAlign w:val="center"/>
          </w:tcPr>
          <w:p>
            <w:pPr>
              <w:adjustRightInd w:val="0"/>
              <w:snapToGrid w:val="0"/>
              <w:jc w:val="center"/>
              <w:rPr>
                <w:sz w:val="24"/>
                <w:szCs w:val="24"/>
              </w:rPr>
            </w:pPr>
            <w:r>
              <w:rPr>
                <w:rFonts w:hAnsi="宋体"/>
                <w:sz w:val="24"/>
                <w:szCs w:val="24"/>
              </w:rPr>
              <w:t>大气环境</w:t>
            </w:r>
          </w:p>
        </w:tc>
        <w:tc>
          <w:tcPr>
            <w:tcW w:w="1543" w:type="dxa"/>
            <w:tcBorders>
              <w:top w:val="single" w:color="auto" w:sz="4" w:space="0"/>
            </w:tcBorders>
            <w:vAlign w:val="center"/>
          </w:tcPr>
          <w:p>
            <w:pPr>
              <w:jc w:val="center"/>
              <w:rPr>
                <w:rFonts w:hint="default"/>
                <w:sz w:val="24"/>
                <w:szCs w:val="24"/>
                <w:lang w:val="en-US"/>
              </w:rPr>
            </w:pPr>
            <w:r>
              <w:rPr>
                <w:rFonts w:hint="eastAsia"/>
                <w:sz w:val="24"/>
                <w:szCs w:val="24"/>
                <w:lang w:val="en-US" w:eastAsia="zh-CN"/>
              </w:rPr>
              <w:t>粉料</w:t>
            </w:r>
            <w:r>
              <w:rPr>
                <w:rFonts w:hint="eastAsia"/>
                <w:sz w:val="24"/>
                <w:szCs w:val="24"/>
              </w:rPr>
              <w:t>筒仓呼吸</w:t>
            </w:r>
            <w:r>
              <w:rPr>
                <w:rFonts w:hint="eastAsia"/>
                <w:sz w:val="24"/>
                <w:szCs w:val="24"/>
                <w:lang w:val="en-US" w:eastAsia="zh-CN"/>
              </w:rPr>
              <w:t>废气DA001</w:t>
            </w:r>
          </w:p>
        </w:tc>
        <w:tc>
          <w:tcPr>
            <w:tcW w:w="1302" w:type="dxa"/>
            <w:tcBorders>
              <w:top w:val="single" w:color="auto" w:sz="4" w:space="0"/>
            </w:tcBorders>
            <w:vAlign w:val="center"/>
          </w:tcPr>
          <w:p>
            <w:pPr>
              <w:jc w:val="center"/>
              <w:rPr>
                <w:sz w:val="24"/>
                <w:szCs w:val="24"/>
              </w:rPr>
            </w:pPr>
            <w:r>
              <w:rPr>
                <w:rFonts w:hint="eastAsia"/>
                <w:sz w:val="24"/>
                <w:szCs w:val="24"/>
              </w:rPr>
              <w:t>粉尘</w:t>
            </w:r>
          </w:p>
        </w:tc>
        <w:tc>
          <w:tcPr>
            <w:tcW w:w="3065" w:type="dxa"/>
            <w:tcBorders>
              <w:top w:val="single" w:color="auto" w:sz="4" w:space="0"/>
            </w:tcBorders>
            <w:vAlign w:val="center"/>
          </w:tcPr>
          <w:p>
            <w:pPr>
              <w:jc w:val="center"/>
              <w:rPr>
                <w:sz w:val="24"/>
                <w:szCs w:val="24"/>
              </w:rPr>
            </w:pPr>
            <w:r>
              <w:rPr>
                <w:rFonts w:hint="eastAsia" w:hAnsi="宋体"/>
                <w:sz w:val="24"/>
                <w:szCs w:val="24"/>
              </w:rPr>
              <w:t>每个筒仓</w:t>
            </w:r>
            <w:r>
              <w:rPr>
                <w:rFonts w:hint="eastAsia" w:hAnsi="宋体"/>
                <w:sz w:val="24"/>
                <w:szCs w:val="24"/>
                <w:lang w:val="en-US" w:eastAsia="zh-CN"/>
              </w:rPr>
              <w:t>经自带袋式除尘器（TA001-TA008除尘器）处理后再经1台脉冲袋式除尘器（TA009除尘器）处理</w:t>
            </w:r>
            <w:r>
              <w:rPr>
                <w:rFonts w:hint="eastAsia" w:hAnsi="宋体"/>
                <w:sz w:val="24"/>
                <w:szCs w:val="24"/>
              </w:rPr>
              <w:t>后尾气通过高于仓顶</w:t>
            </w:r>
            <w:r>
              <w:rPr>
                <w:sz w:val="24"/>
                <w:szCs w:val="24"/>
              </w:rPr>
              <w:t>3m</w:t>
            </w:r>
            <w:r>
              <w:rPr>
                <w:rFonts w:hint="eastAsia" w:hAnsi="宋体"/>
                <w:sz w:val="24"/>
                <w:szCs w:val="24"/>
              </w:rPr>
              <w:t>以上且距离地面高度</w:t>
            </w:r>
            <w:r>
              <w:rPr>
                <w:sz w:val="24"/>
                <w:szCs w:val="24"/>
              </w:rPr>
              <w:t>15m</w:t>
            </w:r>
            <w:r>
              <w:rPr>
                <w:rFonts w:hint="eastAsia"/>
                <w:sz w:val="24"/>
                <w:szCs w:val="24"/>
                <w:lang w:val="en-US" w:eastAsia="zh-CN"/>
              </w:rPr>
              <w:t>高的</w:t>
            </w:r>
            <w:r>
              <w:rPr>
                <w:rFonts w:hint="eastAsia" w:hAnsi="宋体"/>
                <w:sz w:val="24"/>
                <w:szCs w:val="24"/>
              </w:rPr>
              <w:t>排气筒</w:t>
            </w:r>
            <w:r>
              <w:rPr>
                <w:rFonts w:hint="eastAsia" w:hAnsi="宋体"/>
                <w:sz w:val="24"/>
                <w:szCs w:val="24"/>
                <w:lang w:eastAsia="zh-CN"/>
              </w:rPr>
              <w:t>（</w:t>
            </w:r>
            <w:r>
              <w:rPr>
                <w:rFonts w:hint="eastAsia" w:hAnsi="宋体"/>
                <w:sz w:val="24"/>
                <w:szCs w:val="24"/>
                <w:lang w:val="en-US" w:eastAsia="zh-CN"/>
              </w:rPr>
              <w:t>DA001</w:t>
            </w:r>
            <w:r>
              <w:rPr>
                <w:rFonts w:hint="eastAsia" w:hAnsi="宋体"/>
                <w:sz w:val="24"/>
                <w:szCs w:val="24"/>
                <w:lang w:eastAsia="zh-CN"/>
              </w:rPr>
              <w:t>）</w:t>
            </w:r>
            <w:r>
              <w:rPr>
                <w:rFonts w:hint="eastAsia" w:hAnsi="宋体"/>
                <w:sz w:val="24"/>
                <w:szCs w:val="24"/>
              </w:rPr>
              <w:t>排放。</w:t>
            </w:r>
          </w:p>
        </w:tc>
        <w:tc>
          <w:tcPr>
            <w:tcW w:w="1986" w:type="dxa"/>
            <w:vMerge w:val="restart"/>
            <w:tcBorders>
              <w:top w:val="single" w:color="auto" w:sz="4" w:space="0"/>
            </w:tcBorders>
            <w:vAlign w:val="center"/>
          </w:tcPr>
          <w:p>
            <w:pPr>
              <w:jc w:val="center"/>
              <w:rPr>
                <w:sz w:val="24"/>
                <w:szCs w:val="24"/>
              </w:rPr>
            </w:pPr>
            <w:r>
              <w:rPr>
                <w:rFonts w:hint="eastAsia"/>
                <w:sz w:val="24"/>
              </w:rPr>
              <w:t>《水泥工业大气污染物排放标准》（DB41/1953</w:t>
            </w:r>
            <w:r>
              <w:rPr>
                <w:sz w:val="24"/>
              </w:rPr>
              <w:t>-20</w:t>
            </w:r>
            <w:r>
              <w:rPr>
                <w:rFonts w:hint="eastAsia"/>
                <w:sz w:val="24"/>
              </w:rPr>
              <w:t>20）表1散装水泥中转站及水泥制品生产颗粒物排放浓度限值</w:t>
            </w:r>
            <w:r>
              <w:rPr>
                <w:sz w:val="24"/>
              </w:rPr>
              <w:t>10</w:t>
            </w:r>
            <w:r>
              <w:rPr>
                <w:bCs/>
                <w:sz w:val="24"/>
              </w:rPr>
              <w:t>mg/m</w:t>
            </w:r>
            <w:r>
              <w:rPr>
                <w:bCs/>
                <w:sz w:val="24"/>
                <w:vertAlign w:val="superscript"/>
              </w:rPr>
              <w:t>3</w:t>
            </w:r>
            <w:r>
              <w:rPr>
                <w:rFonts w:hint="eastAsia"/>
                <w:bCs/>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14" w:type="dxa"/>
            <w:vMerge w:val="continue"/>
            <w:vAlign w:val="center"/>
          </w:tcPr>
          <w:p>
            <w:pPr>
              <w:adjustRightInd w:val="0"/>
              <w:snapToGrid w:val="0"/>
              <w:jc w:val="center"/>
              <w:rPr>
                <w:rFonts w:hAnsi="宋体"/>
                <w:sz w:val="24"/>
                <w:szCs w:val="24"/>
              </w:rPr>
            </w:pPr>
          </w:p>
        </w:tc>
        <w:tc>
          <w:tcPr>
            <w:tcW w:w="1543" w:type="dxa"/>
            <w:tcBorders>
              <w:top w:val="single" w:color="auto" w:sz="4" w:space="0"/>
            </w:tcBorders>
            <w:vAlign w:val="center"/>
          </w:tcPr>
          <w:p>
            <w:pPr>
              <w:jc w:val="center"/>
              <w:rPr>
                <w:rFonts w:hint="default" w:eastAsia="宋体"/>
                <w:sz w:val="24"/>
                <w:szCs w:val="24"/>
                <w:lang w:val="en-US" w:eastAsia="zh-CN"/>
              </w:rPr>
            </w:pPr>
            <w:r>
              <w:rPr>
                <w:rFonts w:hint="eastAsia"/>
                <w:sz w:val="24"/>
                <w:szCs w:val="24"/>
              </w:rPr>
              <w:t>砂石进料粉尘</w:t>
            </w:r>
            <w:r>
              <w:rPr>
                <w:rFonts w:hint="eastAsia"/>
                <w:sz w:val="24"/>
                <w:szCs w:val="24"/>
                <w:lang w:val="en-US" w:eastAsia="zh-CN"/>
              </w:rPr>
              <w:t>DA002</w:t>
            </w:r>
          </w:p>
        </w:tc>
        <w:tc>
          <w:tcPr>
            <w:tcW w:w="1302" w:type="dxa"/>
            <w:tcBorders>
              <w:top w:val="single" w:color="auto" w:sz="4" w:space="0"/>
            </w:tcBorders>
            <w:vAlign w:val="center"/>
          </w:tcPr>
          <w:p>
            <w:pPr>
              <w:jc w:val="center"/>
              <w:rPr>
                <w:sz w:val="24"/>
                <w:szCs w:val="24"/>
              </w:rPr>
            </w:pPr>
            <w:r>
              <w:rPr>
                <w:rFonts w:hint="eastAsia"/>
                <w:sz w:val="24"/>
                <w:szCs w:val="24"/>
              </w:rPr>
              <w:t>粉尘</w:t>
            </w:r>
          </w:p>
        </w:tc>
        <w:tc>
          <w:tcPr>
            <w:tcW w:w="3065" w:type="dxa"/>
            <w:tcBorders>
              <w:bottom w:val="single" w:color="auto" w:sz="4" w:space="0"/>
            </w:tcBorders>
            <w:vAlign w:val="center"/>
          </w:tcPr>
          <w:p>
            <w:pPr>
              <w:jc w:val="center"/>
              <w:rPr>
                <w:rFonts w:hAnsi="宋体"/>
                <w:sz w:val="24"/>
                <w:szCs w:val="24"/>
              </w:rPr>
            </w:pPr>
            <w:r>
              <w:rPr>
                <w:rFonts w:hint="eastAsia"/>
                <w:sz w:val="24"/>
              </w:rPr>
              <w:t>锥形下料器</w:t>
            </w:r>
            <w:r>
              <w:rPr>
                <w:rFonts w:hint="eastAsia"/>
                <w:sz w:val="24"/>
                <w:lang w:val="en-US" w:eastAsia="zh-CN"/>
              </w:rPr>
              <w:t>设置三面一档式集气罩</w:t>
            </w:r>
            <w:r>
              <w:rPr>
                <w:rFonts w:hint="eastAsia"/>
                <w:sz w:val="24"/>
              </w:rPr>
              <w:t>将粉尘</w:t>
            </w:r>
            <w:r>
              <w:rPr>
                <w:rFonts w:hint="eastAsia"/>
                <w:sz w:val="24"/>
                <w:lang w:val="en-US" w:eastAsia="zh-CN"/>
              </w:rPr>
              <w:t>收集后经管道</w:t>
            </w:r>
            <w:r>
              <w:rPr>
                <w:rFonts w:hint="eastAsia"/>
                <w:sz w:val="24"/>
              </w:rPr>
              <w:t>引至</w:t>
            </w:r>
            <w:r>
              <w:rPr>
                <w:rFonts w:hint="eastAsia"/>
                <w:sz w:val="24"/>
                <w:lang w:val="en-US" w:eastAsia="zh-CN"/>
              </w:rPr>
              <w:t>脉冲</w:t>
            </w:r>
            <w:r>
              <w:rPr>
                <w:rFonts w:hint="eastAsia"/>
                <w:color w:val="000000"/>
                <w:sz w:val="24"/>
                <w:szCs w:val="24"/>
              </w:rPr>
              <w:t>袋式除尘器（</w:t>
            </w:r>
            <w:r>
              <w:rPr>
                <w:rFonts w:hint="eastAsia"/>
                <w:color w:val="000000"/>
                <w:sz w:val="24"/>
                <w:szCs w:val="24"/>
                <w:lang w:val="en-US" w:eastAsia="zh-CN"/>
              </w:rPr>
              <w:t>TA010</w:t>
            </w:r>
            <w:r>
              <w:rPr>
                <w:rFonts w:hint="eastAsia"/>
                <w:color w:val="000000"/>
                <w:sz w:val="24"/>
                <w:szCs w:val="24"/>
              </w:rPr>
              <w:t>除尘器）治理后通过</w:t>
            </w:r>
            <w:r>
              <w:rPr>
                <w:color w:val="000000"/>
                <w:sz w:val="24"/>
                <w:szCs w:val="24"/>
              </w:rPr>
              <w:t>15m</w:t>
            </w:r>
            <w:r>
              <w:rPr>
                <w:rFonts w:hint="eastAsia"/>
                <w:color w:val="000000"/>
                <w:sz w:val="24"/>
                <w:szCs w:val="24"/>
                <w:lang w:val="en-US" w:eastAsia="zh-CN"/>
              </w:rPr>
              <w:t>高</w:t>
            </w:r>
            <w:r>
              <w:rPr>
                <w:rFonts w:hint="eastAsia"/>
                <w:color w:val="000000"/>
                <w:sz w:val="24"/>
                <w:szCs w:val="24"/>
              </w:rPr>
              <w:t>排气筒</w:t>
            </w:r>
            <w:r>
              <w:rPr>
                <w:rFonts w:hint="eastAsia"/>
                <w:color w:val="000000"/>
                <w:sz w:val="24"/>
                <w:szCs w:val="24"/>
                <w:lang w:eastAsia="zh-CN"/>
              </w:rPr>
              <w:t>（</w:t>
            </w:r>
            <w:r>
              <w:rPr>
                <w:rFonts w:hint="eastAsia"/>
                <w:color w:val="000000"/>
                <w:sz w:val="24"/>
                <w:szCs w:val="24"/>
                <w:lang w:val="en-US" w:eastAsia="zh-CN"/>
              </w:rPr>
              <w:t>DA002</w:t>
            </w:r>
            <w:r>
              <w:rPr>
                <w:rFonts w:hint="eastAsia"/>
                <w:color w:val="000000"/>
                <w:sz w:val="24"/>
                <w:szCs w:val="24"/>
                <w:lang w:eastAsia="zh-CN"/>
              </w:rPr>
              <w:t>）</w:t>
            </w:r>
            <w:r>
              <w:rPr>
                <w:rFonts w:hint="eastAsia" w:hAnsi="宋体"/>
                <w:sz w:val="24"/>
                <w:szCs w:val="24"/>
              </w:rPr>
              <w:t>排放。</w:t>
            </w:r>
          </w:p>
        </w:tc>
        <w:tc>
          <w:tcPr>
            <w:tcW w:w="1986" w:type="dxa"/>
            <w:vMerge w:val="continue"/>
            <w:vAlign w:val="center"/>
          </w:tcPr>
          <w:p>
            <w:pPr>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14" w:type="dxa"/>
            <w:vMerge w:val="continue"/>
            <w:vAlign w:val="center"/>
          </w:tcPr>
          <w:p>
            <w:pPr>
              <w:adjustRightInd w:val="0"/>
              <w:snapToGrid w:val="0"/>
              <w:jc w:val="center"/>
              <w:rPr>
                <w:rFonts w:hAnsi="宋体"/>
                <w:sz w:val="24"/>
                <w:szCs w:val="24"/>
              </w:rPr>
            </w:pPr>
          </w:p>
        </w:tc>
        <w:tc>
          <w:tcPr>
            <w:tcW w:w="1543" w:type="dxa"/>
            <w:tcBorders>
              <w:top w:val="single" w:color="auto" w:sz="4" w:space="0"/>
            </w:tcBorders>
            <w:vAlign w:val="center"/>
          </w:tcPr>
          <w:p>
            <w:pPr>
              <w:jc w:val="center"/>
              <w:rPr>
                <w:rFonts w:hint="default" w:eastAsia="宋体"/>
                <w:sz w:val="24"/>
                <w:szCs w:val="24"/>
                <w:lang w:val="en-US" w:eastAsia="zh-CN"/>
              </w:rPr>
            </w:pPr>
            <w:r>
              <w:rPr>
                <w:rFonts w:hint="eastAsia"/>
                <w:sz w:val="24"/>
                <w:szCs w:val="24"/>
              </w:rPr>
              <w:t>搅拌系统粉尘</w:t>
            </w:r>
            <w:r>
              <w:rPr>
                <w:rFonts w:hint="eastAsia"/>
                <w:sz w:val="24"/>
                <w:szCs w:val="24"/>
                <w:lang w:val="en-US" w:eastAsia="zh-CN"/>
              </w:rPr>
              <w:t>DA003</w:t>
            </w:r>
          </w:p>
        </w:tc>
        <w:tc>
          <w:tcPr>
            <w:tcW w:w="1302" w:type="dxa"/>
            <w:tcBorders>
              <w:top w:val="single" w:color="auto" w:sz="4" w:space="0"/>
            </w:tcBorders>
            <w:vAlign w:val="center"/>
          </w:tcPr>
          <w:p>
            <w:pPr>
              <w:adjustRightInd w:val="0"/>
              <w:snapToGrid w:val="0"/>
              <w:jc w:val="center"/>
              <w:rPr>
                <w:sz w:val="24"/>
                <w:szCs w:val="24"/>
              </w:rPr>
            </w:pPr>
            <w:r>
              <w:rPr>
                <w:rFonts w:hint="eastAsia"/>
                <w:sz w:val="24"/>
                <w:szCs w:val="24"/>
              </w:rPr>
              <w:t>粉尘</w:t>
            </w:r>
          </w:p>
        </w:tc>
        <w:tc>
          <w:tcPr>
            <w:tcW w:w="3065" w:type="dxa"/>
            <w:tcBorders>
              <w:top w:val="single" w:color="auto" w:sz="4" w:space="0"/>
            </w:tcBorders>
            <w:vAlign w:val="center"/>
          </w:tcPr>
          <w:p>
            <w:pPr>
              <w:adjustRightInd w:val="0"/>
              <w:snapToGrid w:val="0"/>
              <w:jc w:val="center"/>
              <w:rPr>
                <w:sz w:val="24"/>
                <w:szCs w:val="24"/>
              </w:rPr>
            </w:pPr>
            <w:r>
              <w:rPr>
                <w:rFonts w:hint="eastAsia"/>
                <w:color w:val="000000"/>
                <w:sz w:val="24"/>
                <w:szCs w:val="24"/>
                <w:lang w:val="en-US" w:eastAsia="zh-CN"/>
              </w:rPr>
              <w:t>搅拌工序在</w:t>
            </w:r>
            <w:r>
              <w:rPr>
                <w:rFonts w:hint="eastAsia"/>
                <w:color w:val="000000"/>
                <w:sz w:val="24"/>
                <w:szCs w:val="24"/>
              </w:rPr>
              <w:t>密闭搅拌楼</w:t>
            </w:r>
            <w:r>
              <w:rPr>
                <w:rFonts w:hint="eastAsia"/>
                <w:color w:val="000000"/>
                <w:sz w:val="24"/>
                <w:szCs w:val="24"/>
                <w:lang w:val="en-US" w:eastAsia="zh-CN"/>
              </w:rPr>
              <w:t>中进行</w:t>
            </w:r>
            <w:r>
              <w:rPr>
                <w:rFonts w:hint="eastAsia"/>
                <w:color w:val="000000"/>
                <w:sz w:val="24"/>
                <w:szCs w:val="24"/>
              </w:rPr>
              <w:t>，搅拌楼顶部设置密闭负压管道</w:t>
            </w:r>
            <w:r>
              <w:rPr>
                <w:rFonts w:hint="eastAsia"/>
                <w:color w:val="000000"/>
                <w:sz w:val="24"/>
                <w:szCs w:val="24"/>
                <w:lang w:val="en-US" w:eastAsia="zh-CN"/>
              </w:rPr>
              <w:t>收集进料</w:t>
            </w:r>
            <w:r>
              <w:rPr>
                <w:rFonts w:hint="eastAsia"/>
                <w:color w:val="000000"/>
                <w:sz w:val="24"/>
                <w:szCs w:val="24"/>
              </w:rPr>
              <w:t>废气，收集后废气引至</w:t>
            </w:r>
            <w:r>
              <w:rPr>
                <w:rFonts w:hint="eastAsia"/>
                <w:color w:val="000000"/>
                <w:sz w:val="24"/>
                <w:szCs w:val="24"/>
                <w:lang w:val="en-US" w:eastAsia="zh-CN"/>
              </w:rPr>
              <w:t>脉冲</w:t>
            </w:r>
            <w:r>
              <w:rPr>
                <w:rFonts w:hint="eastAsia"/>
                <w:color w:val="000000"/>
                <w:sz w:val="24"/>
                <w:szCs w:val="24"/>
              </w:rPr>
              <w:t>袋式除尘器</w:t>
            </w:r>
            <w:r>
              <w:rPr>
                <w:rFonts w:hint="eastAsia"/>
                <w:color w:val="000000"/>
                <w:sz w:val="24"/>
                <w:szCs w:val="24"/>
                <w:lang w:eastAsia="zh-CN"/>
              </w:rPr>
              <w:t>（</w:t>
            </w:r>
            <w:r>
              <w:rPr>
                <w:rFonts w:hint="eastAsia"/>
                <w:color w:val="000000"/>
                <w:sz w:val="24"/>
                <w:szCs w:val="24"/>
                <w:lang w:val="en-US" w:eastAsia="zh-CN"/>
              </w:rPr>
              <w:t>TA011</w:t>
            </w:r>
            <w:r>
              <w:rPr>
                <w:rFonts w:hint="eastAsia"/>
                <w:color w:val="000000"/>
                <w:sz w:val="24"/>
                <w:szCs w:val="24"/>
                <w:lang w:eastAsia="zh-CN"/>
              </w:rPr>
              <w:t>）</w:t>
            </w:r>
            <w:r>
              <w:rPr>
                <w:rFonts w:hint="eastAsia"/>
                <w:color w:val="000000"/>
                <w:sz w:val="24"/>
                <w:szCs w:val="24"/>
              </w:rPr>
              <w:t>处理，处理后</w:t>
            </w:r>
            <w:r>
              <w:rPr>
                <w:rFonts w:hint="eastAsia"/>
                <w:color w:val="000000"/>
                <w:sz w:val="24"/>
                <w:szCs w:val="24"/>
                <w:lang w:val="en-US" w:eastAsia="zh-CN"/>
              </w:rPr>
              <w:t>尾气</w:t>
            </w:r>
            <w:r>
              <w:rPr>
                <w:rFonts w:hint="eastAsia"/>
                <w:color w:val="000000"/>
                <w:sz w:val="24"/>
                <w:szCs w:val="24"/>
              </w:rPr>
              <w:t>经15m高排气筒</w:t>
            </w:r>
            <w:r>
              <w:rPr>
                <w:rFonts w:hint="eastAsia"/>
                <w:color w:val="000000"/>
                <w:sz w:val="24"/>
                <w:szCs w:val="24"/>
                <w:lang w:eastAsia="zh-CN"/>
              </w:rPr>
              <w:t>（</w:t>
            </w:r>
            <w:r>
              <w:rPr>
                <w:rFonts w:hint="eastAsia"/>
                <w:color w:val="000000"/>
                <w:sz w:val="24"/>
                <w:szCs w:val="24"/>
                <w:lang w:val="en-US" w:eastAsia="zh-CN"/>
              </w:rPr>
              <w:t>DA003</w:t>
            </w:r>
            <w:r>
              <w:rPr>
                <w:rFonts w:hint="eastAsia"/>
                <w:color w:val="000000"/>
                <w:sz w:val="24"/>
                <w:szCs w:val="24"/>
                <w:lang w:eastAsia="zh-CN"/>
              </w:rPr>
              <w:t>）</w:t>
            </w:r>
            <w:r>
              <w:rPr>
                <w:rFonts w:hint="eastAsia"/>
                <w:color w:val="000000"/>
                <w:sz w:val="24"/>
                <w:szCs w:val="24"/>
              </w:rPr>
              <w:t>排放</w:t>
            </w:r>
          </w:p>
        </w:tc>
        <w:tc>
          <w:tcPr>
            <w:tcW w:w="1986" w:type="dxa"/>
            <w:vMerge w:val="continue"/>
            <w:vAlign w:val="center"/>
          </w:tcPr>
          <w:p>
            <w:pPr>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14" w:type="dxa"/>
            <w:vMerge w:val="continue"/>
            <w:vAlign w:val="center"/>
          </w:tcPr>
          <w:p>
            <w:pPr>
              <w:adjustRightInd w:val="0"/>
              <w:snapToGrid w:val="0"/>
              <w:jc w:val="center"/>
              <w:rPr>
                <w:rFonts w:hAnsi="宋体"/>
                <w:sz w:val="24"/>
                <w:szCs w:val="24"/>
              </w:rPr>
            </w:pPr>
          </w:p>
        </w:tc>
        <w:tc>
          <w:tcPr>
            <w:tcW w:w="1543" w:type="dxa"/>
            <w:tcBorders>
              <w:top w:val="single" w:color="auto" w:sz="4" w:space="0"/>
            </w:tcBorders>
            <w:vAlign w:val="center"/>
          </w:tcPr>
          <w:p>
            <w:pPr>
              <w:adjustRightInd w:val="0"/>
              <w:snapToGrid w:val="0"/>
              <w:jc w:val="center"/>
              <w:rPr>
                <w:color w:val="333333"/>
                <w:kern w:val="0"/>
                <w:sz w:val="24"/>
                <w:szCs w:val="24"/>
              </w:rPr>
            </w:pPr>
            <w:r>
              <w:rPr>
                <w:rFonts w:hint="eastAsia" w:hAnsi="宋体"/>
                <w:kern w:val="0"/>
                <w:sz w:val="24"/>
                <w:szCs w:val="24"/>
              </w:rPr>
              <w:t>无组织</w:t>
            </w:r>
          </w:p>
        </w:tc>
        <w:tc>
          <w:tcPr>
            <w:tcW w:w="1302" w:type="dxa"/>
            <w:tcBorders>
              <w:top w:val="single" w:color="auto" w:sz="4" w:space="0"/>
            </w:tcBorders>
            <w:vAlign w:val="center"/>
          </w:tcPr>
          <w:p>
            <w:pPr>
              <w:adjustRightInd w:val="0"/>
              <w:snapToGrid w:val="0"/>
              <w:jc w:val="center"/>
              <w:rPr>
                <w:color w:val="333333"/>
                <w:kern w:val="0"/>
                <w:sz w:val="24"/>
                <w:szCs w:val="24"/>
              </w:rPr>
            </w:pPr>
            <w:r>
              <w:rPr>
                <w:rFonts w:hint="eastAsia" w:hAnsi="宋体"/>
                <w:sz w:val="24"/>
                <w:szCs w:val="24"/>
              </w:rPr>
              <w:t>粉尘</w:t>
            </w:r>
          </w:p>
        </w:tc>
        <w:tc>
          <w:tcPr>
            <w:tcW w:w="3065" w:type="dxa"/>
            <w:tcBorders>
              <w:top w:val="single" w:color="auto" w:sz="4" w:space="0"/>
            </w:tcBorders>
            <w:vAlign w:val="center"/>
          </w:tcPr>
          <w:p>
            <w:pPr>
              <w:adjustRightInd w:val="0"/>
              <w:snapToGrid w:val="0"/>
              <w:jc w:val="center"/>
              <w:rPr>
                <w:rFonts w:hint="eastAsia" w:hAnsi="宋体"/>
                <w:kern w:val="36"/>
                <w:sz w:val="24"/>
                <w:szCs w:val="24"/>
              </w:rPr>
            </w:pPr>
            <w:r>
              <w:rPr>
                <w:bCs/>
                <w:color w:val="000000"/>
                <w:kern w:val="24"/>
                <w:sz w:val="24"/>
                <w:szCs w:val="24"/>
              </w:rPr>
              <w:t>原料库</w:t>
            </w:r>
            <w:r>
              <w:rPr>
                <w:rFonts w:hint="eastAsia"/>
                <w:bCs/>
                <w:color w:val="000000"/>
                <w:kern w:val="24"/>
                <w:sz w:val="24"/>
                <w:szCs w:val="24"/>
                <w:lang w:val="en-US" w:eastAsia="zh-CN"/>
              </w:rPr>
              <w:t>必须</w:t>
            </w:r>
            <w:r>
              <w:rPr>
                <w:bCs/>
                <w:color w:val="000000"/>
                <w:kern w:val="24"/>
                <w:sz w:val="24"/>
                <w:szCs w:val="24"/>
              </w:rPr>
              <w:t>全密闭</w:t>
            </w:r>
            <w:r>
              <w:rPr>
                <w:rFonts w:hint="eastAsia"/>
                <w:bCs/>
                <w:color w:val="000000"/>
                <w:kern w:val="24"/>
                <w:sz w:val="24"/>
                <w:szCs w:val="24"/>
                <w:lang w:eastAsia="zh-CN"/>
              </w:rPr>
              <w:t>，</w:t>
            </w:r>
            <w:r>
              <w:rPr>
                <w:rFonts w:hint="eastAsia" w:hAnsi="宋体"/>
                <w:kern w:val="36"/>
                <w:sz w:val="24"/>
                <w:szCs w:val="24"/>
              </w:rPr>
              <w:t>原料</w:t>
            </w:r>
            <w:r>
              <w:rPr>
                <w:rFonts w:hint="eastAsia" w:hAnsi="宋体"/>
                <w:kern w:val="36"/>
                <w:sz w:val="24"/>
                <w:szCs w:val="24"/>
                <w:lang w:val="en-US" w:eastAsia="zh-CN"/>
              </w:rPr>
              <w:t>库需</w:t>
            </w:r>
            <w:r>
              <w:rPr>
                <w:rFonts w:hint="eastAsia" w:hAnsi="宋体"/>
                <w:kern w:val="36"/>
                <w:sz w:val="24"/>
                <w:szCs w:val="24"/>
              </w:rPr>
              <w:t>设置</w:t>
            </w:r>
            <w:r>
              <w:rPr>
                <w:rFonts w:hint="eastAsia" w:hAnsi="宋体"/>
                <w:kern w:val="36"/>
                <w:sz w:val="24"/>
                <w:szCs w:val="24"/>
                <w:lang w:val="en-US" w:eastAsia="zh-CN"/>
              </w:rPr>
              <w:t>水喷淋系统洒水抑尘</w:t>
            </w:r>
            <w:r>
              <w:rPr>
                <w:rFonts w:hint="eastAsia" w:hAnsi="宋体"/>
                <w:kern w:val="36"/>
                <w:sz w:val="24"/>
                <w:szCs w:val="24"/>
              </w:rPr>
              <w:t>；</w:t>
            </w:r>
            <w:r>
              <w:rPr>
                <w:rFonts w:hint="eastAsia" w:hAnsi="宋体"/>
                <w:kern w:val="36"/>
                <w:sz w:val="24"/>
                <w:szCs w:val="24"/>
                <w:lang w:val="en-US" w:eastAsia="zh-CN"/>
              </w:rPr>
              <w:t>料库</w:t>
            </w:r>
            <w:r>
              <w:rPr>
                <w:bCs/>
                <w:color w:val="000000"/>
                <w:kern w:val="24"/>
                <w:sz w:val="24"/>
                <w:szCs w:val="24"/>
              </w:rPr>
              <w:t>出入口加装</w:t>
            </w:r>
            <w:r>
              <w:rPr>
                <w:rFonts w:hint="eastAsia"/>
                <w:bCs/>
                <w:color w:val="000000"/>
                <w:kern w:val="24"/>
                <w:sz w:val="24"/>
                <w:szCs w:val="24"/>
              </w:rPr>
              <w:t>卷帘门</w:t>
            </w:r>
            <w:r>
              <w:rPr>
                <w:bCs/>
                <w:color w:val="000000"/>
                <w:kern w:val="24"/>
                <w:sz w:val="24"/>
                <w:szCs w:val="24"/>
              </w:rPr>
              <w:t>，无车辆出入时保持关闭状态；汽车卸料时尽量降低落差；卸车时开启喷雾洒水装置，物料不得露天转运</w:t>
            </w:r>
            <w:r>
              <w:rPr>
                <w:rFonts w:hint="eastAsia"/>
                <w:bCs/>
                <w:color w:val="000000"/>
                <w:kern w:val="24"/>
                <w:sz w:val="24"/>
                <w:szCs w:val="24"/>
                <w:lang w:eastAsia="zh-CN"/>
              </w:rPr>
              <w:t>，</w:t>
            </w:r>
            <w:r>
              <w:rPr>
                <w:rFonts w:hint="eastAsia" w:hAnsi="宋体"/>
                <w:kern w:val="36"/>
                <w:sz w:val="24"/>
                <w:szCs w:val="24"/>
              </w:rPr>
              <w:t>厂区</w:t>
            </w:r>
            <w:r>
              <w:rPr>
                <w:rFonts w:hint="eastAsia" w:hAnsi="宋体"/>
                <w:kern w:val="36"/>
                <w:sz w:val="24"/>
                <w:szCs w:val="24"/>
                <w:lang w:val="en-US" w:eastAsia="zh-CN"/>
              </w:rPr>
              <w:t>进出口</w:t>
            </w:r>
            <w:r>
              <w:rPr>
                <w:rFonts w:hint="eastAsia" w:hAnsi="宋体"/>
                <w:kern w:val="36"/>
                <w:sz w:val="24"/>
                <w:szCs w:val="24"/>
              </w:rPr>
              <w:t>安装车辆自动冲洗装置；厂区主要道路硬化、未硬化的全部绿化，不允许有裸露土地，定期洒水保湿；物料输送环节需使用密闭皮带输送，除尘器卸灰区密闭，防止除尘灰落在地面，减少无组织排放。</w:t>
            </w:r>
          </w:p>
        </w:tc>
        <w:tc>
          <w:tcPr>
            <w:tcW w:w="1986" w:type="dxa"/>
            <w:vAlign w:val="center"/>
          </w:tcPr>
          <w:p>
            <w:pPr>
              <w:jc w:val="center"/>
              <w:rPr>
                <w:sz w:val="24"/>
                <w:szCs w:val="24"/>
              </w:rPr>
            </w:pPr>
            <w:r>
              <w:rPr>
                <w:rFonts w:hint="eastAsia"/>
                <w:sz w:val="24"/>
              </w:rPr>
              <w:t>《水泥工业大气污染物排放标准》（DB41/1953</w:t>
            </w:r>
            <w:r>
              <w:rPr>
                <w:sz w:val="24"/>
              </w:rPr>
              <w:t>-20</w:t>
            </w:r>
            <w:r>
              <w:rPr>
                <w:rFonts w:hint="eastAsia"/>
                <w:sz w:val="24"/>
              </w:rPr>
              <w:t>20）表2颗粒物无组织排放浓度限值0.5</w:t>
            </w:r>
            <w:r>
              <w:rPr>
                <w:bCs/>
                <w:sz w:val="24"/>
              </w:rPr>
              <w:t>mg/m</w:t>
            </w:r>
            <w:r>
              <w:rPr>
                <w:bCs/>
                <w:sz w:val="24"/>
                <w:vertAlign w:val="superscript"/>
              </w:rPr>
              <w:t>3</w:t>
            </w:r>
            <w:r>
              <w:rPr>
                <w:rFonts w:hint="eastAsia"/>
                <w:bCs/>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14" w:type="dxa"/>
            <w:vMerge w:val="restart"/>
            <w:vAlign w:val="center"/>
          </w:tcPr>
          <w:p>
            <w:pPr>
              <w:adjustRightInd w:val="0"/>
              <w:snapToGrid w:val="0"/>
              <w:jc w:val="center"/>
              <w:rPr>
                <w:rFonts w:hAnsi="宋体"/>
                <w:sz w:val="24"/>
                <w:szCs w:val="24"/>
              </w:rPr>
            </w:pPr>
            <w:r>
              <w:rPr>
                <w:rFonts w:hAnsi="宋体"/>
                <w:sz w:val="24"/>
                <w:szCs w:val="24"/>
              </w:rPr>
              <w:t>地表水</w:t>
            </w:r>
          </w:p>
          <w:p>
            <w:pPr>
              <w:adjustRightInd w:val="0"/>
              <w:snapToGrid w:val="0"/>
              <w:jc w:val="center"/>
              <w:rPr>
                <w:sz w:val="24"/>
                <w:szCs w:val="24"/>
              </w:rPr>
            </w:pPr>
            <w:r>
              <w:rPr>
                <w:rFonts w:hAnsi="宋体"/>
                <w:sz w:val="24"/>
                <w:szCs w:val="24"/>
              </w:rPr>
              <w:t>环境</w:t>
            </w:r>
          </w:p>
        </w:tc>
        <w:tc>
          <w:tcPr>
            <w:tcW w:w="1543" w:type="dxa"/>
            <w:tcBorders>
              <w:top w:val="single" w:color="auto" w:sz="4" w:space="0"/>
            </w:tcBorders>
            <w:vAlign w:val="center"/>
          </w:tcPr>
          <w:p>
            <w:pPr>
              <w:jc w:val="center"/>
            </w:pPr>
            <w:r>
              <w:rPr>
                <w:rFonts w:hint="eastAsia" w:hAnsi="宋体"/>
                <w:sz w:val="24"/>
                <w:szCs w:val="24"/>
              </w:rPr>
              <w:t>生活污水</w:t>
            </w:r>
          </w:p>
        </w:tc>
        <w:tc>
          <w:tcPr>
            <w:tcW w:w="1302" w:type="dxa"/>
            <w:tcBorders>
              <w:top w:val="single" w:color="auto" w:sz="4" w:space="0"/>
            </w:tcBorders>
            <w:vAlign w:val="center"/>
          </w:tcPr>
          <w:p>
            <w:pPr>
              <w:jc w:val="center"/>
              <w:rPr>
                <w:color w:val="333333"/>
                <w:sz w:val="24"/>
                <w:szCs w:val="24"/>
              </w:rPr>
            </w:pPr>
            <w:r>
              <w:rPr>
                <w:sz w:val="24"/>
                <w:szCs w:val="24"/>
              </w:rPr>
              <w:t>COD</w:t>
            </w:r>
            <w:r>
              <w:rPr>
                <w:rFonts w:hint="eastAsia"/>
                <w:sz w:val="24"/>
                <w:szCs w:val="24"/>
              </w:rPr>
              <w:t>、</w:t>
            </w:r>
            <w:r>
              <w:rPr>
                <w:sz w:val="24"/>
                <w:szCs w:val="24"/>
              </w:rPr>
              <w:t>SS</w:t>
            </w:r>
            <w:r>
              <w:rPr>
                <w:rFonts w:hint="eastAsia"/>
                <w:sz w:val="24"/>
                <w:szCs w:val="24"/>
              </w:rPr>
              <w:t>、氨氮、</w:t>
            </w:r>
            <w:r>
              <w:rPr>
                <w:sz w:val="24"/>
                <w:szCs w:val="24"/>
              </w:rPr>
              <w:t>TP</w:t>
            </w:r>
            <w:r>
              <w:rPr>
                <w:rFonts w:hint="eastAsia"/>
                <w:sz w:val="24"/>
                <w:szCs w:val="24"/>
              </w:rPr>
              <w:t>、</w:t>
            </w:r>
            <w:r>
              <w:rPr>
                <w:sz w:val="24"/>
                <w:szCs w:val="24"/>
              </w:rPr>
              <w:t>TN</w:t>
            </w:r>
          </w:p>
        </w:tc>
        <w:tc>
          <w:tcPr>
            <w:tcW w:w="3065" w:type="dxa"/>
            <w:tcBorders>
              <w:top w:val="single" w:color="auto" w:sz="4" w:space="0"/>
            </w:tcBorders>
            <w:vAlign w:val="center"/>
          </w:tcPr>
          <w:p>
            <w:pPr>
              <w:jc w:val="center"/>
              <w:rPr>
                <w:sz w:val="24"/>
                <w:szCs w:val="24"/>
              </w:rPr>
            </w:pPr>
            <w:r>
              <w:rPr>
                <w:rFonts w:hint="eastAsia" w:hAnsi="宋体"/>
                <w:sz w:val="24"/>
                <w:szCs w:val="24"/>
              </w:rPr>
              <w:t>排入化粪池，定期清理外运。</w:t>
            </w:r>
          </w:p>
        </w:tc>
        <w:tc>
          <w:tcPr>
            <w:tcW w:w="1986" w:type="dxa"/>
            <w:vMerge w:val="restart"/>
            <w:tcBorders>
              <w:top w:val="single" w:color="auto" w:sz="4" w:space="0"/>
            </w:tcBorders>
            <w:vAlign w:val="center"/>
          </w:tcPr>
          <w:p>
            <w:pPr>
              <w:rPr>
                <w:sz w:val="24"/>
                <w:szCs w:val="24"/>
              </w:rPr>
            </w:pPr>
            <w:r>
              <w:rPr>
                <w:rFonts w:hint="eastAsia"/>
                <w:sz w:val="24"/>
                <w:szCs w:val="24"/>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14" w:type="dxa"/>
            <w:vMerge w:val="continue"/>
            <w:vAlign w:val="center"/>
          </w:tcPr>
          <w:p>
            <w:pPr>
              <w:adjustRightInd w:val="0"/>
              <w:snapToGrid w:val="0"/>
              <w:jc w:val="center"/>
              <w:rPr>
                <w:rFonts w:hAnsi="宋体"/>
                <w:sz w:val="24"/>
                <w:szCs w:val="24"/>
              </w:rPr>
            </w:pPr>
          </w:p>
        </w:tc>
        <w:tc>
          <w:tcPr>
            <w:tcW w:w="1543" w:type="dxa"/>
            <w:tcBorders>
              <w:top w:val="single" w:color="auto" w:sz="4" w:space="0"/>
            </w:tcBorders>
            <w:vAlign w:val="center"/>
          </w:tcPr>
          <w:p>
            <w:pPr>
              <w:adjustRightInd w:val="0"/>
              <w:snapToGrid w:val="0"/>
              <w:jc w:val="center"/>
              <w:rPr>
                <w:color w:val="333333"/>
                <w:sz w:val="24"/>
                <w:szCs w:val="24"/>
              </w:rPr>
            </w:pPr>
            <w:r>
              <w:rPr>
                <w:rFonts w:hint="eastAsia" w:hAnsi="宋体"/>
                <w:sz w:val="24"/>
                <w:szCs w:val="24"/>
              </w:rPr>
              <w:t>设备清洗废水、车辆冲洗</w:t>
            </w:r>
          </w:p>
          <w:p>
            <w:pPr>
              <w:adjustRightInd w:val="0"/>
              <w:snapToGrid w:val="0"/>
              <w:jc w:val="center"/>
              <w:rPr>
                <w:color w:val="333333"/>
                <w:sz w:val="24"/>
                <w:szCs w:val="24"/>
              </w:rPr>
            </w:pPr>
            <w:r>
              <w:rPr>
                <w:rFonts w:hint="eastAsia" w:hAnsi="宋体"/>
                <w:sz w:val="24"/>
                <w:szCs w:val="24"/>
              </w:rPr>
              <w:t>废水</w:t>
            </w:r>
          </w:p>
        </w:tc>
        <w:tc>
          <w:tcPr>
            <w:tcW w:w="1302" w:type="dxa"/>
            <w:tcBorders>
              <w:top w:val="single" w:color="auto" w:sz="4" w:space="0"/>
            </w:tcBorders>
            <w:vAlign w:val="center"/>
          </w:tcPr>
          <w:p>
            <w:pPr>
              <w:jc w:val="center"/>
              <w:rPr>
                <w:color w:val="333333"/>
                <w:sz w:val="24"/>
                <w:szCs w:val="24"/>
              </w:rPr>
            </w:pPr>
            <w:r>
              <w:rPr>
                <w:sz w:val="24"/>
                <w:szCs w:val="24"/>
              </w:rPr>
              <w:t>COD</w:t>
            </w:r>
            <w:r>
              <w:rPr>
                <w:rFonts w:hint="eastAsia"/>
                <w:sz w:val="24"/>
                <w:szCs w:val="24"/>
              </w:rPr>
              <w:t>、</w:t>
            </w:r>
            <w:r>
              <w:rPr>
                <w:sz w:val="24"/>
                <w:szCs w:val="24"/>
              </w:rPr>
              <w:t>SS</w:t>
            </w:r>
          </w:p>
        </w:tc>
        <w:tc>
          <w:tcPr>
            <w:tcW w:w="3065" w:type="dxa"/>
            <w:tcBorders>
              <w:top w:val="single" w:color="auto" w:sz="4" w:space="0"/>
            </w:tcBorders>
            <w:vAlign w:val="center"/>
          </w:tcPr>
          <w:p>
            <w:pPr>
              <w:adjustRightInd w:val="0"/>
              <w:snapToGrid w:val="0"/>
              <w:jc w:val="center"/>
              <w:rPr>
                <w:color w:val="333333"/>
                <w:sz w:val="24"/>
                <w:szCs w:val="24"/>
              </w:rPr>
            </w:pPr>
            <w:r>
              <w:rPr>
                <w:rFonts w:hint="eastAsia" w:hAnsi="宋体"/>
                <w:sz w:val="24"/>
                <w:szCs w:val="24"/>
              </w:rPr>
              <w:t>沉淀池收集沉淀后，回用于生产，定期补充。</w:t>
            </w:r>
          </w:p>
        </w:tc>
        <w:tc>
          <w:tcPr>
            <w:tcW w:w="1986" w:type="dxa"/>
            <w:vMerge w:val="continue"/>
            <w:vAlign w:val="center"/>
          </w:tcPr>
          <w:p>
            <w:pPr>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1114" w:type="dxa"/>
            <w:vAlign w:val="center"/>
          </w:tcPr>
          <w:p>
            <w:pPr>
              <w:adjustRightInd w:val="0"/>
              <w:snapToGrid w:val="0"/>
              <w:jc w:val="center"/>
              <w:rPr>
                <w:sz w:val="24"/>
                <w:szCs w:val="24"/>
              </w:rPr>
            </w:pPr>
            <w:r>
              <w:rPr>
                <w:rFonts w:hAnsi="宋体"/>
                <w:sz w:val="24"/>
                <w:szCs w:val="24"/>
              </w:rPr>
              <w:t>声环境</w:t>
            </w:r>
          </w:p>
        </w:tc>
        <w:tc>
          <w:tcPr>
            <w:tcW w:w="1543" w:type="dxa"/>
            <w:vAlign w:val="center"/>
          </w:tcPr>
          <w:p>
            <w:pPr>
              <w:jc w:val="center"/>
              <w:rPr>
                <w:sz w:val="24"/>
                <w:szCs w:val="24"/>
              </w:rPr>
            </w:pPr>
            <w:r>
              <w:rPr>
                <w:rFonts w:hint="eastAsia"/>
                <w:sz w:val="24"/>
                <w:szCs w:val="24"/>
              </w:rPr>
              <w:t>搅拌机、配料机等</w:t>
            </w:r>
          </w:p>
        </w:tc>
        <w:tc>
          <w:tcPr>
            <w:tcW w:w="1302" w:type="dxa"/>
            <w:vAlign w:val="center"/>
          </w:tcPr>
          <w:p>
            <w:pPr>
              <w:jc w:val="center"/>
              <w:rPr>
                <w:sz w:val="24"/>
                <w:szCs w:val="24"/>
              </w:rPr>
            </w:pPr>
            <w:r>
              <w:rPr>
                <w:rFonts w:hint="eastAsia"/>
                <w:sz w:val="24"/>
                <w:szCs w:val="24"/>
              </w:rPr>
              <w:t>噪声</w:t>
            </w:r>
          </w:p>
        </w:tc>
        <w:tc>
          <w:tcPr>
            <w:tcW w:w="3065" w:type="dxa"/>
            <w:vAlign w:val="center"/>
          </w:tcPr>
          <w:p>
            <w:pPr>
              <w:jc w:val="center"/>
              <w:rPr>
                <w:sz w:val="24"/>
                <w:szCs w:val="24"/>
              </w:rPr>
            </w:pPr>
            <w:r>
              <w:rPr>
                <w:rFonts w:hint="eastAsia"/>
                <w:kern w:val="0"/>
                <w:sz w:val="24"/>
                <w:szCs w:val="24"/>
              </w:rPr>
              <w:t>厂房密闭隔音、距离衰减</w:t>
            </w:r>
          </w:p>
        </w:tc>
        <w:tc>
          <w:tcPr>
            <w:tcW w:w="1986" w:type="dxa"/>
            <w:vAlign w:val="center"/>
          </w:tcPr>
          <w:p>
            <w:pPr>
              <w:jc w:val="center"/>
              <w:rPr>
                <w:sz w:val="24"/>
                <w:szCs w:val="24"/>
              </w:rPr>
            </w:pPr>
            <w:r>
              <w:rPr>
                <w:rFonts w:hint="eastAsia"/>
                <w:sz w:val="24"/>
                <w:szCs w:val="24"/>
              </w:rPr>
              <w:t>《工业企业厂界环境噪声排放标准》（</w:t>
            </w:r>
            <w:r>
              <w:rPr>
                <w:sz w:val="24"/>
                <w:szCs w:val="24"/>
              </w:rPr>
              <w:t>GB12348-2008</w:t>
            </w:r>
            <w:r>
              <w:rPr>
                <w:rFonts w:hint="eastAsia"/>
                <w:sz w:val="24"/>
                <w:szCs w:val="24"/>
              </w:rPr>
              <w:t>）</w:t>
            </w:r>
            <w:r>
              <w:rPr>
                <w:sz w:val="24"/>
                <w:szCs w:val="24"/>
              </w:rPr>
              <w:t>2</w:t>
            </w:r>
            <w:r>
              <w:rPr>
                <w:rFonts w:hint="eastAsia"/>
                <w:sz w:val="24"/>
                <w:szCs w:val="24"/>
              </w:rPr>
              <w:t>类昼间</w:t>
            </w:r>
            <w:r>
              <w:rPr>
                <w:sz w:val="24"/>
                <w:szCs w:val="24"/>
              </w:rPr>
              <w:t>60dB</w:t>
            </w:r>
            <w:r>
              <w:rPr>
                <w:rFonts w:hint="eastAsia"/>
                <w:sz w:val="24"/>
                <w:szCs w:val="24"/>
              </w:rPr>
              <w:t>（</w:t>
            </w:r>
            <w:r>
              <w:rPr>
                <w:sz w:val="24"/>
                <w:szCs w:val="24"/>
              </w:rPr>
              <w:t>A</w:t>
            </w:r>
            <w:r>
              <w:rPr>
                <w:rFonts w:hint="eastAsia"/>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14" w:type="dxa"/>
            <w:vAlign w:val="center"/>
          </w:tcPr>
          <w:p>
            <w:pPr>
              <w:adjustRightInd w:val="0"/>
              <w:snapToGrid w:val="0"/>
              <w:jc w:val="center"/>
              <w:rPr>
                <w:sz w:val="24"/>
                <w:szCs w:val="24"/>
              </w:rPr>
            </w:pPr>
            <w:r>
              <w:rPr>
                <w:rFonts w:hAnsi="宋体"/>
                <w:sz w:val="24"/>
                <w:szCs w:val="24"/>
              </w:rPr>
              <w:t>电磁辐射</w:t>
            </w:r>
          </w:p>
        </w:tc>
        <w:tc>
          <w:tcPr>
            <w:tcW w:w="1543" w:type="dxa"/>
            <w:vAlign w:val="center"/>
          </w:tcPr>
          <w:p>
            <w:pPr>
              <w:jc w:val="center"/>
            </w:pPr>
            <w:r>
              <w:rPr>
                <w:rFonts w:hint="eastAsia"/>
              </w:rPr>
              <w:t>/</w:t>
            </w:r>
          </w:p>
        </w:tc>
        <w:tc>
          <w:tcPr>
            <w:tcW w:w="1302" w:type="dxa"/>
            <w:vAlign w:val="center"/>
          </w:tcPr>
          <w:p>
            <w:pPr>
              <w:adjustRightInd w:val="0"/>
              <w:snapToGrid w:val="0"/>
              <w:jc w:val="center"/>
              <w:rPr>
                <w:sz w:val="24"/>
                <w:szCs w:val="24"/>
              </w:rPr>
            </w:pPr>
            <w:r>
              <w:rPr>
                <w:rFonts w:hint="eastAsia"/>
                <w:sz w:val="24"/>
                <w:szCs w:val="24"/>
              </w:rPr>
              <w:t>/</w:t>
            </w:r>
          </w:p>
        </w:tc>
        <w:tc>
          <w:tcPr>
            <w:tcW w:w="3065" w:type="dxa"/>
            <w:vAlign w:val="center"/>
          </w:tcPr>
          <w:p>
            <w:pPr>
              <w:adjustRightInd w:val="0"/>
              <w:snapToGrid w:val="0"/>
              <w:jc w:val="center"/>
              <w:rPr>
                <w:sz w:val="24"/>
                <w:szCs w:val="24"/>
              </w:rPr>
            </w:pPr>
            <w:r>
              <w:rPr>
                <w:rFonts w:hint="eastAsia"/>
                <w:sz w:val="24"/>
                <w:szCs w:val="24"/>
              </w:rPr>
              <w:t>/</w:t>
            </w:r>
          </w:p>
        </w:tc>
        <w:tc>
          <w:tcPr>
            <w:tcW w:w="1986" w:type="dxa"/>
            <w:vAlign w:val="center"/>
          </w:tcPr>
          <w:p>
            <w:pPr>
              <w:adjustRightInd w:val="0"/>
              <w:snapToGrid w:val="0"/>
              <w:jc w:val="center"/>
              <w:rPr>
                <w:sz w:val="24"/>
                <w:szCs w:val="24"/>
              </w:rPr>
            </w:pPr>
            <w:r>
              <w:rPr>
                <w:rFonts w:hint="eastAsia"/>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14" w:type="dxa"/>
            <w:vMerge w:val="restart"/>
            <w:vAlign w:val="center"/>
          </w:tcPr>
          <w:p>
            <w:pPr>
              <w:adjustRightInd w:val="0"/>
              <w:snapToGrid w:val="0"/>
              <w:jc w:val="center"/>
              <w:rPr>
                <w:sz w:val="24"/>
                <w:szCs w:val="24"/>
              </w:rPr>
            </w:pPr>
            <w:r>
              <w:rPr>
                <w:rFonts w:hAnsi="宋体"/>
                <w:sz w:val="24"/>
                <w:szCs w:val="24"/>
              </w:rPr>
              <w:t>固体废物</w:t>
            </w:r>
          </w:p>
        </w:tc>
        <w:tc>
          <w:tcPr>
            <w:tcW w:w="1543" w:type="dxa"/>
            <w:vAlign w:val="center"/>
          </w:tcPr>
          <w:p>
            <w:pPr>
              <w:spacing w:line="440" w:lineRule="exact"/>
              <w:jc w:val="center"/>
              <w:rPr>
                <w:sz w:val="24"/>
                <w:szCs w:val="24"/>
              </w:rPr>
            </w:pPr>
            <w:r>
              <w:rPr>
                <w:rFonts w:hint="eastAsia"/>
                <w:sz w:val="24"/>
                <w:szCs w:val="24"/>
                <w:lang w:val="en-US" w:eastAsia="zh-CN"/>
              </w:rPr>
              <w:t>脉冲</w:t>
            </w:r>
            <w:r>
              <w:rPr>
                <w:rFonts w:hint="eastAsia"/>
                <w:sz w:val="24"/>
                <w:szCs w:val="24"/>
              </w:rPr>
              <w:t>袋式除尘器收集</w:t>
            </w:r>
          </w:p>
        </w:tc>
        <w:tc>
          <w:tcPr>
            <w:tcW w:w="1302" w:type="dxa"/>
            <w:vAlign w:val="center"/>
          </w:tcPr>
          <w:p>
            <w:pPr>
              <w:spacing w:line="440" w:lineRule="exact"/>
              <w:jc w:val="center"/>
              <w:rPr>
                <w:sz w:val="24"/>
                <w:szCs w:val="24"/>
              </w:rPr>
            </w:pPr>
            <w:r>
              <w:rPr>
                <w:rFonts w:hint="eastAsia"/>
                <w:sz w:val="24"/>
                <w:szCs w:val="24"/>
              </w:rPr>
              <w:t>除尘灰</w:t>
            </w:r>
          </w:p>
        </w:tc>
        <w:tc>
          <w:tcPr>
            <w:tcW w:w="3065" w:type="dxa"/>
            <w:vMerge w:val="restart"/>
            <w:vAlign w:val="center"/>
          </w:tcPr>
          <w:p>
            <w:pPr>
              <w:spacing w:line="440" w:lineRule="exact"/>
              <w:jc w:val="center"/>
              <w:rPr>
                <w:sz w:val="24"/>
                <w:szCs w:val="24"/>
              </w:rPr>
            </w:pPr>
            <w:r>
              <w:rPr>
                <w:rFonts w:hint="eastAsia"/>
                <w:sz w:val="24"/>
                <w:szCs w:val="24"/>
              </w:rPr>
              <w:t>可作为原料回用于生产，不外排。</w:t>
            </w:r>
          </w:p>
        </w:tc>
        <w:tc>
          <w:tcPr>
            <w:tcW w:w="1986"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4"/>
                <w:szCs w:val="24"/>
              </w:rPr>
            </w:pPr>
            <w:r>
              <w:rPr>
                <w:rFonts w:hint="eastAsia"/>
                <w:sz w:val="24"/>
                <w:szCs w:val="24"/>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14" w:type="dxa"/>
            <w:vMerge w:val="continue"/>
            <w:vAlign w:val="center"/>
          </w:tcPr>
          <w:p>
            <w:pPr>
              <w:adjustRightInd w:val="0"/>
              <w:snapToGrid w:val="0"/>
              <w:jc w:val="center"/>
              <w:rPr>
                <w:rFonts w:hAnsi="宋体"/>
                <w:sz w:val="24"/>
                <w:szCs w:val="24"/>
              </w:rPr>
            </w:pPr>
          </w:p>
        </w:tc>
        <w:tc>
          <w:tcPr>
            <w:tcW w:w="1543" w:type="dxa"/>
            <w:vAlign w:val="center"/>
          </w:tcPr>
          <w:p>
            <w:pPr>
              <w:spacing w:line="440" w:lineRule="exact"/>
              <w:jc w:val="center"/>
              <w:rPr>
                <w:sz w:val="24"/>
                <w:szCs w:val="24"/>
              </w:rPr>
            </w:pPr>
            <w:r>
              <w:rPr>
                <w:rFonts w:hint="eastAsia"/>
                <w:sz w:val="24"/>
                <w:szCs w:val="24"/>
              </w:rPr>
              <w:t>沉淀池</w:t>
            </w:r>
          </w:p>
        </w:tc>
        <w:tc>
          <w:tcPr>
            <w:tcW w:w="1302" w:type="dxa"/>
            <w:vAlign w:val="center"/>
          </w:tcPr>
          <w:p>
            <w:pPr>
              <w:spacing w:line="440" w:lineRule="exact"/>
              <w:jc w:val="center"/>
              <w:rPr>
                <w:sz w:val="24"/>
                <w:szCs w:val="24"/>
              </w:rPr>
            </w:pPr>
            <w:r>
              <w:rPr>
                <w:rFonts w:hint="eastAsia"/>
                <w:sz w:val="24"/>
                <w:szCs w:val="24"/>
              </w:rPr>
              <w:t>沉渣</w:t>
            </w:r>
          </w:p>
        </w:tc>
        <w:tc>
          <w:tcPr>
            <w:tcW w:w="3065" w:type="dxa"/>
            <w:vMerge w:val="continue"/>
            <w:tcBorders>
              <w:bottom w:val="single" w:color="auto" w:sz="8" w:space="0"/>
            </w:tcBorders>
            <w:vAlign w:val="center"/>
          </w:tcPr>
          <w:p>
            <w:pPr>
              <w:spacing w:line="440" w:lineRule="exact"/>
              <w:jc w:val="center"/>
              <w:rPr>
                <w:sz w:val="24"/>
                <w:szCs w:val="24"/>
              </w:rPr>
            </w:pPr>
          </w:p>
        </w:tc>
        <w:tc>
          <w:tcPr>
            <w:tcW w:w="1986" w:type="dxa"/>
            <w:vMerge w:val="continue"/>
            <w:vAlign w:val="center"/>
          </w:tcPr>
          <w:p>
            <w:pPr>
              <w:spacing w:line="440" w:lineRule="exact"/>
              <w:jc w:val="center"/>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14" w:type="dxa"/>
            <w:vAlign w:val="center"/>
          </w:tcPr>
          <w:p>
            <w:pPr>
              <w:adjustRightInd w:val="0"/>
              <w:snapToGrid w:val="0"/>
              <w:jc w:val="center"/>
              <w:rPr>
                <w:sz w:val="24"/>
                <w:szCs w:val="24"/>
              </w:rPr>
            </w:pPr>
            <w:r>
              <w:rPr>
                <w:rFonts w:hAnsi="宋体"/>
                <w:sz w:val="24"/>
                <w:szCs w:val="24"/>
              </w:rPr>
              <w:t>土壤及地下水</w:t>
            </w:r>
          </w:p>
          <w:p>
            <w:pPr>
              <w:adjustRightInd w:val="0"/>
              <w:snapToGrid w:val="0"/>
              <w:jc w:val="center"/>
              <w:rPr>
                <w:sz w:val="24"/>
                <w:szCs w:val="24"/>
              </w:rPr>
            </w:pPr>
            <w:r>
              <w:rPr>
                <w:rFonts w:hAnsi="宋体"/>
                <w:sz w:val="24"/>
                <w:szCs w:val="24"/>
              </w:rPr>
              <w:t>污染防治措施</w:t>
            </w:r>
          </w:p>
        </w:tc>
        <w:tc>
          <w:tcPr>
            <w:tcW w:w="7896" w:type="dxa"/>
            <w:gridSpan w:val="4"/>
            <w:vAlign w:val="center"/>
          </w:tcPr>
          <w:p>
            <w:pPr>
              <w:spacing w:line="440" w:lineRule="exact"/>
              <w:ind w:firstLine="480" w:firstLineChars="200"/>
              <w:rPr>
                <w:rFonts w:hAnsi="宋体"/>
                <w:sz w:val="24"/>
              </w:rPr>
            </w:pPr>
            <w:r>
              <w:rPr>
                <w:rFonts w:hint="eastAsia" w:hAnsi="宋体"/>
                <w:sz w:val="24"/>
              </w:rPr>
              <w:t>企业应加强管理，定期检查生产车间地面状况，预防地面破损、开裂；并对生产设备定期检查维护，防止物料渗漏而影响地下水和土壤。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14" w:type="dxa"/>
            <w:vAlign w:val="center"/>
          </w:tcPr>
          <w:p>
            <w:pPr>
              <w:adjustRightInd w:val="0"/>
              <w:snapToGrid w:val="0"/>
              <w:jc w:val="center"/>
              <w:rPr>
                <w:sz w:val="24"/>
                <w:szCs w:val="24"/>
              </w:rPr>
            </w:pPr>
            <w:r>
              <w:rPr>
                <w:rFonts w:hAnsi="宋体"/>
                <w:sz w:val="24"/>
                <w:szCs w:val="24"/>
              </w:rPr>
              <w:t>生态保护措施</w:t>
            </w:r>
          </w:p>
        </w:tc>
        <w:tc>
          <w:tcPr>
            <w:tcW w:w="7896" w:type="dxa"/>
            <w:gridSpan w:val="4"/>
            <w:vAlign w:val="center"/>
          </w:tcPr>
          <w:p>
            <w:pPr>
              <w:spacing w:line="440" w:lineRule="exact"/>
              <w:ind w:firstLine="480" w:firstLineChars="200"/>
              <w:jc w:val="center"/>
              <w:rPr>
                <w:sz w:val="24"/>
                <w:szCs w:val="24"/>
              </w:rPr>
            </w:pPr>
            <w:r>
              <w:rPr>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4" w:type="dxa"/>
            <w:vAlign w:val="center"/>
          </w:tcPr>
          <w:p>
            <w:pPr>
              <w:adjustRightInd w:val="0"/>
              <w:snapToGrid w:val="0"/>
              <w:jc w:val="center"/>
              <w:rPr>
                <w:spacing w:val="-8"/>
                <w:sz w:val="24"/>
                <w:szCs w:val="24"/>
              </w:rPr>
            </w:pPr>
            <w:r>
              <w:rPr>
                <w:rFonts w:hAnsi="宋体"/>
                <w:spacing w:val="-8"/>
                <w:sz w:val="24"/>
                <w:szCs w:val="24"/>
              </w:rPr>
              <w:t>环境风险</w:t>
            </w:r>
          </w:p>
          <w:p>
            <w:pPr>
              <w:adjustRightInd w:val="0"/>
              <w:snapToGrid w:val="0"/>
              <w:jc w:val="center"/>
              <w:rPr>
                <w:spacing w:val="-8"/>
                <w:sz w:val="24"/>
                <w:szCs w:val="24"/>
              </w:rPr>
            </w:pPr>
            <w:r>
              <w:rPr>
                <w:rFonts w:hAnsi="宋体"/>
                <w:spacing w:val="-8"/>
                <w:sz w:val="24"/>
                <w:szCs w:val="24"/>
              </w:rPr>
              <w:t>防范措施</w:t>
            </w:r>
          </w:p>
        </w:tc>
        <w:tc>
          <w:tcPr>
            <w:tcW w:w="7896" w:type="dxa"/>
            <w:gridSpan w:val="4"/>
            <w:vAlign w:val="center"/>
          </w:tcPr>
          <w:p>
            <w:pPr>
              <w:spacing w:line="360" w:lineRule="auto"/>
              <w:ind w:firstLine="480" w:firstLineChars="200"/>
              <w:jc w:val="center"/>
              <w:rPr>
                <w:kern w:val="0"/>
                <w:sz w:val="24"/>
                <w:szCs w:val="24"/>
              </w:rPr>
            </w:pPr>
            <w:r>
              <w:rPr>
                <w:rFonts w:hint="eastAsia"/>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14" w:type="dxa"/>
            <w:vAlign w:val="center"/>
          </w:tcPr>
          <w:p>
            <w:pPr>
              <w:adjustRightInd w:val="0"/>
              <w:snapToGrid w:val="0"/>
              <w:jc w:val="center"/>
              <w:rPr>
                <w:spacing w:val="-8"/>
                <w:sz w:val="21"/>
                <w:szCs w:val="21"/>
              </w:rPr>
            </w:pPr>
            <w:r>
              <w:rPr>
                <w:rFonts w:hAnsi="宋体"/>
                <w:spacing w:val="-8"/>
                <w:sz w:val="21"/>
                <w:szCs w:val="21"/>
              </w:rPr>
              <w:t>其他环境</w:t>
            </w:r>
          </w:p>
          <w:p>
            <w:pPr>
              <w:adjustRightInd w:val="0"/>
              <w:snapToGrid w:val="0"/>
              <w:jc w:val="center"/>
              <w:rPr>
                <w:spacing w:val="-8"/>
                <w:sz w:val="21"/>
                <w:szCs w:val="21"/>
              </w:rPr>
            </w:pPr>
            <w:r>
              <w:rPr>
                <w:rFonts w:hAnsi="宋体"/>
                <w:spacing w:val="-8"/>
                <w:sz w:val="21"/>
                <w:szCs w:val="21"/>
              </w:rPr>
              <w:t>管理要求</w:t>
            </w:r>
          </w:p>
        </w:tc>
        <w:tc>
          <w:tcPr>
            <w:tcW w:w="7896" w:type="dxa"/>
            <w:gridSpan w:val="4"/>
            <w:vAlign w:val="center"/>
          </w:tcPr>
          <w:p>
            <w:pPr>
              <w:adjustRightInd w:val="0"/>
              <w:snapToGrid w:val="0"/>
              <w:spacing w:line="460" w:lineRule="exact"/>
              <w:ind w:left="478" w:leftChars="85" w:hanging="240" w:hangingChars="100"/>
              <w:rPr>
                <w:rFonts w:hint="eastAsia"/>
                <w:sz w:val="24"/>
                <w:szCs w:val="24"/>
              </w:rPr>
            </w:pPr>
            <w:r>
              <w:rPr>
                <w:rFonts w:hint="eastAsia"/>
                <w:sz w:val="24"/>
                <w:szCs w:val="24"/>
              </w:rPr>
              <w:t>（1）</w:t>
            </w:r>
            <w:r>
              <w:rPr>
                <w:rFonts w:hint="eastAsia"/>
                <w:sz w:val="24"/>
                <w:szCs w:val="24"/>
                <w:lang w:val="en-US" w:eastAsia="zh-CN"/>
              </w:rPr>
              <w:t>环保管理要求</w:t>
            </w:r>
            <w:r>
              <w:rPr>
                <w:rFonts w:hint="eastAsia"/>
                <w:sz w:val="24"/>
                <w:szCs w:val="24"/>
                <w:lang w:val="en-US" w:eastAsia="zh-CN"/>
              </w:rPr>
              <w:br w:type="textWrapping"/>
            </w:r>
            <w:r>
              <w:rPr>
                <w:rFonts w:hint="eastAsia"/>
                <w:sz w:val="24"/>
                <w:szCs w:val="24"/>
                <w:lang w:val="en-US" w:eastAsia="zh-CN"/>
              </w:rPr>
              <w:t>1、</w:t>
            </w:r>
            <w:r>
              <w:rPr>
                <w:rFonts w:hint="eastAsia"/>
                <w:sz w:val="24"/>
                <w:szCs w:val="24"/>
              </w:rPr>
              <w:t>建设</w:t>
            </w:r>
            <w:r>
              <w:rPr>
                <w:rFonts w:hint="eastAsia"/>
                <w:sz w:val="24"/>
                <w:szCs w:val="24"/>
                <w:lang w:val="en-US" w:eastAsia="zh-CN"/>
              </w:rPr>
              <w:t>项目</w:t>
            </w:r>
            <w:r>
              <w:rPr>
                <w:rFonts w:hint="eastAsia"/>
                <w:sz w:val="24"/>
                <w:szCs w:val="24"/>
              </w:rPr>
              <w:t>完成后及时办理排污许可证，并按照监测计划要求定期进行监测；按“三同时”要求进行竣工环保验收。</w:t>
            </w:r>
          </w:p>
          <w:p>
            <w:pPr>
              <w:adjustRightInd w:val="0"/>
              <w:snapToGrid w:val="0"/>
              <w:spacing w:line="460" w:lineRule="exact"/>
              <w:ind w:firstLine="480" w:firstLineChars="200"/>
              <w:rPr>
                <w:rFonts w:hint="eastAsia"/>
                <w:sz w:val="24"/>
                <w:szCs w:val="24"/>
              </w:rPr>
            </w:pPr>
            <w:r>
              <w:rPr>
                <w:rFonts w:hint="eastAsia"/>
                <w:sz w:val="24"/>
                <w:szCs w:val="24"/>
              </w:rPr>
              <w:t>2、按照排污许可证申请与核发技术规范、重污染天气应急减排措施制定技术指南、年度污染防治攻坚方案等要求安装相应的监测及监控设施，并与生态环境部门联网。</w:t>
            </w:r>
            <w:r>
              <w:rPr>
                <w:rFonts w:hint="eastAsia"/>
                <w:sz w:val="24"/>
                <w:szCs w:val="24"/>
              </w:rPr>
              <w:br w:type="textWrapping"/>
            </w:r>
            <w:r>
              <w:rPr>
                <w:rFonts w:hint="eastAsia"/>
                <w:sz w:val="24"/>
                <w:szCs w:val="24"/>
                <w:lang w:val="en-US" w:eastAsia="zh-CN"/>
              </w:rPr>
              <w:t xml:space="preserve">  </w:t>
            </w: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rPr>
              <w:t>无组织颗粒物管理要求</w:t>
            </w:r>
          </w:p>
          <w:p>
            <w:pPr>
              <w:adjustRightInd w:val="0"/>
              <w:snapToGrid w:val="0"/>
              <w:spacing w:line="460" w:lineRule="exact"/>
              <w:ind w:firstLine="480" w:firstLineChars="200"/>
            </w:pPr>
            <w:r>
              <w:rPr>
                <w:rFonts w:hint="eastAsia"/>
                <w:sz w:val="24"/>
                <w:szCs w:val="24"/>
              </w:rPr>
              <w:t>①原料库</w:t>
            </w:r>
            <w:r>
              <w:rPr>
                <w:rFonts w:hint="eastAsia"/>
                <w:sz w:val="24"/>
                <w:szCs w:val="24"/>
                <w:lang w:val="en-US" w:eastAsia="zh-CN"/>
              </w:rPr>
              <w:t>必须</w:t>
            </w:r>
            <w:r>
              <w:rPr>
                <w:rFonts w:hint="eastAsia"/>
                <w:sz w:val="24"/>
                <w:szCs w:val="24"/>
              </w:rPr>
              <w:t>全密闭</w:t>
            </w:r>
            <w:r>
              <w:rPr>
                <w:rFonts w:hint="eastAsia"/>
                <w:sz w:val="24"/>
                <w:szCs w:val="24"/>
                <w:lang w:eastAsia="zh-CN"/>
              </w:rPr>
              <w:t>，</w:t>
            </w:r>
            <w:r>
              <w:rPr>
                <w:rFonts w:hint="eastAsia"/>
                <w:sz w:val="24"/>
                <w:szCs w:val="24"/>
              </w:rPr>
              <w:t>原料</w:t>
            </w:r>
            <w:r>
              <w:rPr>
                <w:rFonts w:hint="eastAsia"/>
                <w:sz w:val="24"/>
                <w:szCs w:val="24"/>
                <w:lang w:val="en-US" w:eastAsia="zh-CN"/>
              </w:rPr>
              <w:t>库需</w:t>
            </w:r>
            <w:r>
              <w:rPr>
                <w:rFonts w:hint="eastAsia"/>
                <w:sz w:val="24"/>
                <w:szCs w:val="24"/>
              </w:rPr>
              <w:t>设置</w:t>
            </w:r>
            <w:r>
              <w:rPr>
                <w:rFonts w:hint="eastAsia"/>
                <w:sz w:val="24"/>
                <w:szCs w:val="24"/>
                <w:lang w:val="en-US" w:eastAsia="zh-CN"/>
              </w:rPr>
              <w:t>水喷淋系统洒水抑尘</w:t>
            </w:r>
            <w:r>
              <w:rPr>
                <w:rFonts w:hint="eastAsia"/>
                <w:sz w:val="24"/>
                <w:szCs w:val="24"/>
              </w:rPr>
              <w:t>；</w:t>
            </w:r>
          </w:p>
          <w:p>
            <w:pPr>
              <w:adjustRightInd w:val="0"/>
              <w:snapToGrid w:val="0"/>
              <w:spacing w:line="460" w:lineRule="exact"/>
              <w:ind w:firstLine="480" w:firstLineChars="200"/>
              <w:rPr>
                <w:rFonts w:hint="default"/>
                <w:sz w:val="24"/>
                <w:szCs w:val="24"/>
                <w:lang w:val="en-US" w:eastAsia="zh-CN"/>
              </w:rPr>
            </w:pPr>
            <w:r>
              <w:rPr>
                <w:rFonts w:hint="eastAsia"/>
                <w:sz w:val="24"/>
                <w:szCs w:val="24"/>
              </w:rPr>
              <w:t>②</w:t>
            </w:r>
            <w:r>
              <w:rPr>
                <w:rFonts w:hint="eastAsia"/>
                <w:sz w:val="24"/>
                <w:szCs w:val="24"/>
                <w:lang w:val="en-US" w:eastAsia="zh-CN"/>
              </w:rPr>
              <w:t>原料输送</w:t>
            </w:r>
            <w:r>
              <w:rPr>
                <w:rFonts w:hint="eastAsia"/>
                <w:sz w:val="24"/>
                <w:szCs w:val="24"/>
              </w:rPr>
              <w:t>环节需使用密闭皮带输送，除尘器卸灰区密闭，防止除尘灰落在地面，减少无组织排放。</w:t>
            </w:r>
          </w:p>
          <w:p>
            <w:pPr>
              <w:adjustRightInd w:val="0"/>
              <w:snapToGrid w:val="0"/>
              <w:spacing w:line="460" w:lineRule="exact"/>
              <w:ind w:firstLine="480" w:firstLineChars="200"/>
              <w:rPr>
                <w:sz w:val="24"/>
                <w:szCs w:val="24"/>
              </w:rPr>
            </w:pPr>
            <w:r>
              <w:rPr>
                <w:rFonts w:hint="eastAsia"/>
                <w:sz w:val="24"/>
                <w:szCs w:val="24"/>
              </w:rPr>
              <w:t>③车间四面密闭，</w:t>
            </w:r>
            <w:r>
              <w:rPr>
                <w:rFonts w:hint="eastAsia"/>
                <w:sz w:val="24"/>
                <w:szCs w:val="24"/>
                <w:lang w:val="en-US" w:eastAsia="zh-CN"/>
              </w:rPr>
              <w:t>车间入口安装卷帘门</w:t>
            </w:r>
            <w:r>
              <w:rPr>
                <w:rFonts w:hint="eastAsia"/>
                <w:sz w:val="24"/>
                <w:szCs w:val="24"/>
              </w:rPr>
              <w:t>；</w:t>
            </w:r>
          </w:p>
          <w:p>
            <w:pPr>
              <w:adjustRightInd w:val="0"/>
              <w:snapToGrid w:val="0"/>
              <w:spacing w:line="460" w:lineRule="exact"/>
              <w:ind w:firstLine="480" w:firstLineChars="200"/>
              <w:rPr>
                <w:sz w:val="24"/>
                <w:szCs w:val="24"/>
              </w:rPr>
            </w:pPr>
            <w:r>
              <w:rPr>
                <w:rFonts w:hint="eastAsia"/>
                <w:sz w:val="24"/>
                <w:szCs w:val="24"/>
              </w:rPr>
              <w:t>④厂内道路硬化，厂区无裸露空地，闲置裸露空地绿化，并每日对厂区道路洒水清扫；</w:t>
            </w:r>
          </w:p>
          <w:p>
            <w:pPr>
              <w:adjustRightInd w:val="0"/>
              <w:snapToGrid w:val="0"/>
              <w:spacing w:line="460" w:lineRule="exact"/>
              <w:ind w:firstLine="480" w:firstLineChars="200"/>
              <w:rPr>
                <w:sz w:val="24"/>
                <w:szCs w:val="24"/>
              </w:rPr>
            </w:pPr>
            <w:r>
              <w:rPr>
                <w:rFonts w:hint="eastAsia"/>
                <w:sz w:val="24"/>
                <w:szCs w:val="24"/>
              </w:rPr>
              <w:t>⑤运输车辆采用篷布遮盖运输，最高点不超过车辆槽帮上沿</w:t>
            </w:r>
            <w:r>
              <w:rPr>
                <w:sz w:val="24"/>
                <w:szCs w:val="24"/>
              </w:rPr>
              <w:t>40</w:t>
            </w:r>
            <w:r>
              <w:rPr>
                <w:rFonts w:hint="eastAsia"/>
                <w:sz w:val="24"/>
                <w:szCs w:val="24"/>
              </w:rPr>
              <w:t>厘米，两侧边缘低于槽帮上缘</w:t>
            </w:r>
            <w:r>
              <w:rPr>
                <w:sz w:val="24"/>
                <w:szCs w:val="24"/>
              </w:rPr>
              <w:t>10</w:t>
            </w:r>
            <w:r>
              <w:rPr>
                <w:rFonts w:hint="eastAsia"/>
                <w:sz w:val="24"/>
                <w:szCs w:val="24"/>
              </w:rPr>
              <w:t>厘米，不在厂区内露天转运散状物料；</w:t>
            </w:r>
          </w:p>
          <w:p>
            <w:pPr>
              <w:adjustRightInd w:val="0"/>
              <w:snapToGrid w:val="0"/>
              <w:spacing w:line="460" w:lineRule="exact"/>
              <w:ind w:firstLine="480" w:firstLineChars="200"/>
              <w:rPr>
                <w:sz w:val="24"/>
                <w:szCs w:val="24"/>
              </w:rPr>
            </w:pPr>
            <w:r>
              <w:rPr>
                <w:rFonts w:hint="default"/>
                <w:sz w:val="24"/>
                <w:szCs w:val="24"/>
              </w:rPr>
              <w:t>⑥</w:t>
            </w:r>
            <w:r>
              <w:rPr>
                <w:rFonts w:hint="eastAsia"/>
                <w:sz w:val="24"/>
                <w:szCs w:val="24"/>
              </w:rPr>
              <w:t>厂区出口设置洗车平台，配备高压清洗装置对所有车辆车轮、底盘进行冲洗，严禁带泥上路。</w:t>
            </w:r>
          </w:p>
          <w:p>
            <w:pPr>
              <w:adjustRightInd w:val="0"/>
              <w:snapToGrid w:val="0"/>
              <w:spacing w:line="460" w:lineRule="exact"/>
              <w:ind w:firstLine="560" w:firstLineChars="200"/>
            </w:pPr>
          </w:p>
          <w:p>
            <w:pPr>
              <w:adjustRightInd w:val="0"/>
              <w:snapToGrid w:val="0"/>
              <w:spacing w:line="420" w:lineRule="exact"/>
            </w:pPr>
          </w:p>
          <w:p>
            <w:pPr>
              <w:adjustRightInd w:val="0"/>
              <w:snapToGrid w:val="0"/>
              <w:spacing w:line="420" w:lineRule="exact"/>
            </w:pPr>
          </w:p>
          <w:p>
            <w:pPr>
              <w:adjustRightInd w:val="0"/>
              <w:snapToGrid w:val="0"/>
              <w:spacing w:line="420" w:lineRule="exact"/>
            </w:pPr>
          </w:p>
          <w:p>
            <w:pPr>
              <w:adjustRightInd w:val="0"/>
              <w:snapToGrid w:val="0"/>
              <w:spacing w:line="420" w:lineRule="exact"/>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br w:type="textWrapping"/>
            </w:r>
            <w:r>
              <w:br w:type="textWrapping"/>
            </w:r>
            <w:r>
              <w:br w:type="textWrapping"/>
            </w:r>
            <w:r>
              <w:br w:type="textWrapping"/>
            </w:r>
            <w:r>
              <w:br w:type="textWrapping"/>
            </w:r>
            <w:r>
              <w:br w:type="textWrapping"/>
            </w:r>
            <w:r>
              <w:br w:type="textWrapping"/>
            </w:r>
          </w:p>
        </w:tc>
      </w:tr>
    </w:tbl>
    <w:p>
      <w:pPr>
        <w:adjustRightInd w:val="0"/>
        <w:snapToGrid w:val="0"/>
        <w:jc w:val="center"/>
        <w:rPr>
          <w:b/>
          <w:color w:val="000000"/>
        </w:rPr>
      </w:pPr>
      <w:r>
        <w:rPr>
          <w:rFonts w:hint="eastAsia"/>
          <w:b/>
          <w:color w:val="000000"/>
        </w:rPr>
        <w:t>六、结论</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tcBorders>
              <w:top w:val="single" w:color="auto" w:sz="8" w:space="0"/>
              <w:left w:val="single" w:color="auto" w:sz="8" w:space="0"/>
              <w:bottom w:val="single" w:color="auto" w:sz="8" w:space="0"/>
              <w:right w:val="single" w:color="auto" w:sz="8" w:space="0"/>
            </w:tcBorders>
          </w:tcPr>
          <w:p>
            <w:pPr>
              <w:adjustRightInd w:val="0"/>
              <w:snapToGrid w:val="0"/>
              <w:spacing w:line="440" w:lineRule="exact"/>
              <w:ind w:firstLine="480" w:firstLineChars="200"/>
              <w:jc w:val="left"/>
              <w:rPr>
                <w:sz w:val="24"/>
                <w:szCs w:val="24"/>
              </w:rPr>
            </w:pPr>
            <w:r>
              <w:rPr>
                <w:rFonts w:hint="eastAsia"/>
                <w:sz w:val="24"/>
              </w:rPr>
              <w:t>新乡市鑫瑞新型建材有限公司</w:t>
            </w:r>
            <w:r>
              <w:rPr>
                <w:rFonts w:hint="eastAsia"/>
                <w:sz w:val="24"/>
                <w:lang w:eastAsia="zh-CN"/>
              </w:rPr>
              <w:t>年生产</w:t>
            </w:r>
            <w:r>
              <w:rPr>
                <w:rFonts w:hint="eastAsia"/>
                <w:sz w:val="24"/>
              </w:rPr>
              <w:t>60万立方米商品混凝土项目</w:t>
            </w:r>
            <w:r>
              <w:rPr>
                <w:rFonts w:hint="eastAsia"/>
                <w:sz w:val="24"/>
                <w:szCs w:val="24"/>
              </w:rPr>
              <w:t>，符合国家的产业政策，厂址所在地符合当地规划要求，选址可行。营运过程中产生的污染物经治理后均能够达标排放，固废处置措施可行。建设单位应认真做好环评中提出的各项污染防治措施，确保各项污染物达标排放。从环保角度分析，该项目可行。</w:t>
            </w:r>
          </w:p>
          <w:p>
            <w:pPr>
              <w:adjustRightInd w:val="0"/>
              <w:snapToGrid w:val="0"/>
              <w:spacing w:line="440" w:lineRule="exact"/>
              <w:ind w:firstLine="480" w:firstLineChars="200"/>
              <w:jc w:val="left"/>
              <w:rPr>
                <w:sz w:val="24"/>
                <w:szCs w:val="24"/>
              </w:rPr>
            </w:pPr>
          </w:p>
          <w:p>
            <w:pPr>
              <w:adjustRightInd w:val="0"/>
              <w:snapToGrid w:val="0"/>
              <w:spacing w:line="440" w:lineRule="exact"/>
              <w:ind w:firstLine="480" w:firstLineChars="200"/>
              <w:jc w:val="left"/>
              <w:rPr>
                <w:sz w:val="24"/>
                <w:szCs w:val="24"/>
              </w:rPr>
            </w:pPr>
          </w:p>
          <w:p>
            <w:pPr>
              <w:adjustRightInd w:val="0"/>
              <w:snapToGrid w:val="0"/>
              <w:spacing w:line="440" w:lineRule="exact"/>
              <w:ind w:firstLine="480" w:firstLineChars="200"/>
              <w:jc w:val="left"/>
              <w:rPr>
                <w:sz w:val="24"/>
                <w:szCs w:val="24"/>
              </w:rPr>
            </w:pPr>
          </w:p>
          <w:p>
            <w:pPr>
              <w:adjustRightInd w:val="0"/>
              <w:snapToGrid w:val="0"/>
              <w:spacing w:line="440" w:lineRule="exact"/>
              <w:ind w:firstLine="480" w:firstLineChars="200"/>
              <w:jc w:val="left"/>
              <w:rPr>
                <w:sz w:val="24"/>
                <w:szCs w:val="24"/>
              </w:rPr>
            </w:pPr>
          </w:p>
          <w:p>
            <w:pPr>
              <w:adjustRightInd w:val="0"/>
              <w:snapToGrid w:val="0"/>
              <w:spacing w:line="500" w:lineRule="exact"/>
              <w:ind w:firstLine="480" w:firstLineChars="200"/>
              <w:jc w:val="left"/>
              <w:rPr>
                <w:rFonts w:hint="eastAsia" w:eastAsia="宋体"/>
                <w:sz w:val="24"/>
                <w:szCs w:val="24"/>
                <w:lang w:eastAsia="zh-CN"/>
              </w:rPr>
            </w:pPr>
            <w:r>
              <w:rPr>
                <w:rFonts w:hint="eastAsia"/>
                <w:sz w:val="24"/>
                <w:szCs w:val="24"/>
              </w:rPr>
              <w:t xml:space="preserve">                                        新乡市</w:t>
            </w:r>
            <w:r>
              <w:rPr>
                <w:rFonts w:hint="eastAsia"/>
                <w:sz w:val="24"/>
                <w:szCs w:val="24"/>
                <w:lang w:val="en-US" w:eastAsia="zh-CN"/>
              </w:rPr>
              <w:t>译洋</w:t>
            </w:r>
            <w:r>
              <w:rPr>
                <w:rFonts w:hint="eastAsia"/>
                <w:sz w:val="24"/>
                <w:szCs w:val="24"/>
              </w:rPr>
              <w:t>环保技术有限公司</w:t>
            </w:r>
          </w:p>
          <w:p>
            <w:pPr>
              <w:adjustRightInd w:val="0"/>
              <w:snapToGrid w:val="0"/>
              <w:spacing w:line="500" w:lineRule="exact"/>
              <w:ind w:firstLine="480" w:firstLineChars="200"/>
              <w:jc w:val="left"/>
              <w:rPr>
                <w:sz w:val="24"/>
                <w:szCs w:val="24"/>
              </w:rPr>
            </w:pPr>
            <w:r>
              <w:rPr>
                <w:rFonts w:hint="eastAsia"/>
                <w:sz w:val="24"/>
                <w:szCs w:val="24"/>
              </w:rPr>
              <w:t xml:space="preserve">                                               </w:t>
            </w:r>
            <w:r>
              <w:rPr>
                <w:rFonts w:hint="eastAsia"/>
                <w:sz w:val="24"/>
                <w:szCs w:val="24"/>
                <w:lang w:val="en-US" w:eastAsia="zh-CN"/>
              </w:rPr>
              <w:t>2023</w:t>
            </w:r>
            <w:r>
              <w:rPr>
                <w:rFonts w:hint="eastAsia"/>
                <w:sz w:val="24"/>
                <w:szCs w:val="24"/>
              </w:rPr>
              <w:t>年</w:t>
            </w:r>
            <w:r>
              <w:rPr>
                <w:rFonts w:hint="eastAsia"/>
                <w:sz w:val="24"/>
                <w:szCs w:val="24"/>
                <w:lang w:val="en-US" w:eastAsia="zh-CN"/>
              </w:rPr>
              <w:t>10</w:t>
            </w:r>
            <w:r>
              <w:rPr>
                <w:rFonts w:hint="eastAsia"/>
                <w:sz w:val="24"/>
                <w:szCs w:val="24"/>
              </w:rPr>
              <w:t>月</w:t>
            </w: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jc w:val="left"/>
              <w:rPr>
                <w:b/>
                <w:color w:val="000000"/>
              </w:rPr>
            </w:pPr>
            <w:r>
              <w:rPr>
                <w:b/>
                <w:color w:val="000000"/>
              </w:rPr>
              <w:br w:type="textWrapping"/>
            </w:r>
            <w:r>
              <w:rPr>
                <w:b/>
                <w:color w:val="000000"/>
              </w:rPr>
              <w:br w:type="textWrapping"/>
            </w:r>
            <w:r>
              <w:rPr>
                <w:b/>
                <w:color w:val="000000"/>
              </w:rPr>
              <w:br w:type="textWrapping"/>
            </w:r>
            <w:r>
              <w:rPr>
                <w:b/>
                <w:color w:val="000000"/>
              </w:rPr>
              <w:br w:type="textWrapping"/>
            </w:r>
          </w:p>
        </w:tc>
      </w:tr>
    </w:tbl>
    <w:p>
      <w:pPr>
        <w:adjustRightInd w:val="0"/>
        <w:snapToGrid w:val="0"/>
        <w:jc w:val="left"/>
        <w:rPr>
          <w:b/>
          <w:color w:val="000000"/>
        </w:rPr>
        <w:sectPr>
          <w:pgSz w:w="11906" w:h="16838"/>
          <w:pgMar w:top="1440" w:right="1588" w:bottom="1440" w:left="1644" w:header="851" w:footer="992" w:gutter="0"/>
          <w:pgBorders>
            <w:top w:val="none" w:sz="0" w:space="0"/>
            <w:left w:val="none" w:sz="0" w:space="0"/>
            <w:bottom w:val="none" w:sz="0" w:space="0"/>
            <w:right w:val="none" w:sz="0" w:space="0"/>
          </w:pgBorders>
          <w:cols w:space="425" w:num="1"/>
          <w:docGrid w:type="lines" w:linePitch="312" w:charSpace="0"/>
        </w:sectPr>
      </w:pPr>
    </w:p>
    <w:p>
      <w:pPr>
        <w:pStyle w:val="21"/>
        <w:adjustRightInd w:val="0"/>
        <w:snapToGrid w:val="0"/>
        <w:spacing w:before="0" w:beforeAutospacing="0" w:after="0" w:afterAutospacing="0" w:line="500" w:lineRule="exact"/>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21"/>
        <w:adjustRightInd w:val="0"/>
        <w:snapToGrid w:val="0"/>
        <w:spacing w:before="0" w:beforeAutospacing="0" w:after="0" w:afterAutospacing="0" w:line="500" w:lineRule="exact"/>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 xml:space="preserve">            建设项目污染物排放量汇总表                     </w:t>
      </w:r>
      <w:r>
        <w:rPr>
          <w:rFonts w:hint="eastAsia" w:ascii="Times New Roman" w:hAnsi="Times New Roman" w:eastAsia="方正小标宋_GBK" w:cs="Times New Roman"/>
          <w:snapToGrid w:val="0"/>
          <w:sz w:val="21"/>
          <w:szCs w:val="21"/>
        </w:rPr>
        <w:t>单位</w:t>
      </w:r>
      <w:r>
        <w:rPr>
          <w:rFonts w:ascii="Times New Roman" w:hAnsi="Times New Roman" w:eastAsia="方正小标宋_GBK" w:cs="Times New Roman"/>
          <w:snapToGrid w:val="0"/>
          <w:sz w:val="21"/>
          <w:szCs w:val="21"/>
        </w:rPr>
        <w:t>: t/a</w:t>
      </w:r>
    </w:p>
    <w:tbl>
      <w:tblPr>
        <w:tblStyle w:val="24"/>
        <w:tblW w:w="1378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416"/>
        <w:gridCol w:w="1700"/>
        <w:gridCol w:w="1276"/>
        <w:gridCol w:w="1701"/>
        <w:gridCol w:w="1559"/>
        <w:gridCol w:w="1761"/>
        <w:gridCol w:w="1783"/>
        <w:gridCol w:w="10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7"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114"/>
              <w:spacing w:before="38" w:after="38" w:line="240" w:lineRule="auto"/>
              <w:jc w:val="center"/>
              <w:rPr>
                <w:rFonts w:cs="Times New Roman" w:asciiTheme="majorEastAsia" w:hAnsiTheme="majorEastAsia" w:eastAsiaTheme="majorEastAsia"/>
                <w:b/>
                <w:snapToGrid w:val="0"/>
                <w:color w:val="000000"/>
                <w:spacing w:val="-6"/>
                <w:kern w:val="21"/>
                <w:szCs w:val="21"/>
              </w:rPr>
            </w:pPr>
            <w:r>
              <w:rPr>
                <w:szCs w:val="21"/>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19050</wp:posOffset>
                      </wp:positionV>
                      <wp:extent cx="990600" cy="561975"/>
                      <wp:effectExtent l="2540" t="4445" r="16510" b="5080"/>
                      <wp:wrapNone/>
                      <wp:docPr id="1" name="自选图形 120"/>
                      <wp:cNvGraphicFramePr/>
                      <a:graphic xmlns:a="http://schemas.openxmlformats.org/drawingml/2006/main">
                        <a:graphicData uri="http://schemas.microsoft.com/office/word/2010/wordprocessingShape">
                          <wps:wsp>
                            <wps:cNvCnPr/>
                            <wps:spPr>
                              <a:xfrm>
                                <a:off x="0" y="0"/>
                                <a:ext cx="990600" cy="5619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20" o:spid="_x0000_s1026" o:spt="32" type="#_x0000_t32" style="position:absolute;left:0pt;margin-left:-0.75pt;margin-top:1.5pt;height:44.25pt;width:78pt;z-index:251660288;mso-width-relative:page;mso-height-relative:page;" filled="f" stroked="t" coordsize="21600,21600" o:gfxdata="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qorDdUAAAAHAQAADwAAAAAAAAABACAAAAAiAAAAZHJzL2Rvd25yZXYueG1sUEsBAhQA&#10;FAAAAAgAh07iQDbjB4P1AQAA6QMAAA4AAAAAAAAAAQAgAAAAJAEAAGRycy9lMm9Eb2MueG1sUEsF&#10;BgAAAAAGAAYAWQEAAIsFAAAAAA==&#10;">
                      <v:fill on="f" focussize="0,0"/>
                      <v:stroke color="#000000" joinstyle="round"/>
                      <v:imagedata o:title=""/>
                      <o:lock v:ext="edit" aspectratio="f"/>
                    </v:shape>
                  </w:pict>
                </mc:Fallback>
              </mc:AlternateContent>
            </w:r>
            <w:r>
              <w:rPr>
                <w:rFonts w:hint="eastAsia" w:cs="Times New Roman" w:asciiTheme="majorEastAsia" w:hAnsiTheme="majorEastAsia" w:eastAsiaTheme="majorEastAsia"/>
                <w:b/>
                <w:snapToGrid w:val="0"/>
                <w:color w:val="000000"/>
                <w:spacing w:val="-6"/>
                <w:kern w:val="21"/>
                <w:szCs w:val="21"/>
                <w:lang w:val="en-US" w:eastAsia="zh-CN"/>
              </w:rPr>
              <w:t xml:space="preserve">    </w:t>
            </w:r>
            <w:r>
              <w:rPr>
                <w:rFonts w:hint="eastAsia" w:cs="Times New Roman" w:asciiTheme="majorEastAsia" w:hAnsiTheme="majorEastAsia" w:eastAsiaTheme="majorEastAsia"/>
                <w:b/>
                <w:snapToGrid w:val="0"/>
                <w:color w:val="000000"/>
                <w:spacing w:val="-6"/>
                <w:kern w:val="21"/>
                <w:szCs w:val="21"/>
              </w:rPr>
              <w:t>项目</w:t>
            </w:r>
          </w:p>
          <w:p>
            <w:pPr>
              <w:pStyle w:val="114"/>
              <w:spacing w:before="38" w:after="38" w:line="240" w:lineRule="auto"/>
              <w:ind w:left="409" w:leftChars="75" w:hanging="199" w:hangingChars="100"/>
              <w:jc w:val="left"/>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br w:type="textWrapping"/>
            </w:r>
            <w:r>
              <w:rPr>
                <w:rFonts w:hint="eastAsia" w:cs="Times New Roman" w:asciiTheme="majorEastAsia" w:hAnsiTheme="majorEastAsia" w:eastAsiaTheme="majorEastAsia"/>
                <w:b/>
                <w:snapToGrid w:val="0"/>
                <w:color w:val="000000"/>
                <w:spacing w:val="-6"/>
                <w:kern w:val="21"/>
                <w:szCs w:val="21"/>
              </w:rPr>
              <w:t>分类</w:t>
            </w:r>
          </w:p>
        </w:tc>
        <w:tc>
          <w:tcPr>
            <w:tcW w:w="141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14"/>
              <w:spacing w:before="38" w:after="38" w:line="240" w:lineRule="auto"/>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t>污染物名称</w:t>
            </w:r>
          </w:p>
        </w:tc>
        <w:tc>
          <w:tcPr>
            <w:tcW w:w="1700"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14"/>
              <w:spacing w:before="38" w:after="38" w:line="240" w:lineRule="auto"/>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t>现有工程</w:t>
            </w:r>
          </w:p>
          <w:p>
            <w:pPr>
              <w:pStyle w:val="114"/>
              <w:spacing w:before="38" w:after="38" w:line="240" w:lineRule="auto"/>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t>排放量（固体废物产生量）</w:t>
            </w:r>
            <w:r>
              <w:rPr>
                <w:rFonts w:hint="eastAsia" w:cs="Times New Roman" w:asciiTheme="majorEastAsia" w:hAnsiTheme="majorEastAsia" w:eastAsiaTheme="majorEastAsia"/>
                <w:b/>
                <w:snapToGrid w:val="0"/>
                <w:color w:val="000000"/>
                <w:spacing w:val="-6"/>
                <w:kern w:val="21"/>
                <w:szCs w:val="21"/>
              </w:rPr>
              <w:fldChar w:fldCharType="begin"/>
            </w:r>
            <w:r>
              <w:rPr>
                <w:rFonts w:hint="eastAsia" w:cs="Times New Roman" w:asciiTheme="majorEastAsia" w:hAnsiTheme="majorEastAsia" w:eastAsiaTheme="majorEastAsia"/>
                <w:b/>
                <w:snapToGrid w:val="0"/>
                <w:color w:val="000000"/>
                <w:spacing w:val="-6"/>
                <w:kern w:val="21"/>
                <w:szCs w:val="21"/>
              </w:rPr>
              <w:instrText xml:space="preserve"> = 1 \* GB3 \* MERGEFORMAT </w:instrText>
            </w:r>
            <w:r>
              <w:rPr>
                <w:rFonts w:hint="eastAsia" w:cs="Times New Roman" w:asciiTheme="majorEastAsia" w:hAnsiTheme="majorEastAsia" w:eastAsiaTheme="majorEastAsia"/>
                <w:b/>
                <w:snapToGrid w:val="0"/>
                <w:color w:val="000000"/>
                <w:spacing w:val="-6"/>
                <w:kern w:val="21"/>
                <w:szCs w:val="21"/>
              </w:rPr>
              <w:fldChar w:fldCharType="separate"/>
            </w:r>
            <w:r>
              <w:rPr>
                <w:rFonts w:hint="eastAsia" w:cs="Times New Roman" w:asciiTheme="majorEastAsia" w:hAnsiTheme="majorEastAsia" w:eastAsiaTheme="majorEastAsia"/>
                <w:b/>
                <w:szCs w:val="21"/>
              </w:rPr>
              <w:t>①</w:t>
            </w:r>
            <w:r>
              <w:rPr>
                <w:rFonts w:hint="eastAsia" w:cs="Times New Roman" w:asciiTheme="majorEastAsia" w:hAnsiTheme="majorEastAsia" w:eastAsiaTheme="majorEastAsia"/>
                <w:b/>
                <w:snapToGrid w:val="0"/>
                <w:color w:val="000000"/>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14"/>
              <w:spacing w:before="38" w:after="38" w:line="240" w:lineRule="auto"/>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t>现有工程</w:t>
            </w:r>
          </w:p>
          <w:p>
            <w:pPr>
              <w:pStyle w:val="114"/>
              <w:spacing w:before="38" w:after="38" w:line="240" w:lineRule="auto"/>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t>许可排放量</w:t>
            </w:r>
          </w:p>
          <w:p>
            <w:pPr>
              <w:pStyle w:val="114"/>
              <w:spacing w:before="38" w:after="38"/>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fldChar w:fldCharType="begin"/>
            </w:r>
            <w:r>
              <w:rPr>
                <w:rFonts w:hint="eastAsia" w:cs="Times New Roman" w:asciiTheme="majorEastAsia" w:hAnsiTheme="majorEastAsia" w:eastAsiaTheme="majorEastAsia"/>
                <w:b/>
                <w:snapToGrid w:val="0"/>
                <w:color w:val="000000"/>
                <w:spacing w:val="-6"/>
                <w:kern w:val="21"/>
                <w:szCs w:val="21"/>
              </w:rPr>
              <w:instrText xml:space="preserve"> = 2 \* GB3 \* MERGEFORMAT </w:instrText>
            </w:r>
            <w:r>
              <w:rPr>
                <w:rFonts w:hint="eastAsia" w:cs="Times New Roman" w:asciiTheme="majorEastAsia" w:hAnsiTheme="majorEastAsia" w:eastAsiaTheme="majorEastAsia"/>
                <w:b/>
                <w:snapToGrid w:val="0"/>
                <w:color w:val="000000"/>
                <w:spacing w:val="-6"/>
                <w:kern w:val="21"/>
                <w:szCs w:val="21"/>
              </w:rPr>
              <w:fldChar w:fldCharType="separate"/>
            </w:r>
            <w:r>
              <w:rPr>
                <w:rFonts w:hint="eastAsia" w:cs="Times New Roman" w:asciiTheme="majorEastAsia" w:hAnsiTheme="majorEastAsia" w:eastAsiaTheme="majorEastAsia"/>
                <w:b/>
                <w:snapToGrid w:val="0"/>
                <w:color w:val="000000"/>
                <w:spacing w:val="-6"/>
                <w:kern w:val="21"/>
                <w:szCs w:val="21"/>
              </w:rPr>
              <w:t>②</w:t>
            </w:r>
            <w:r>
              <w:rPr>
                <w:rFonts w:hint="eastAsia" w:cs="Times New Roman" w:asciiTheme="majorEastAsia" w:hAnsiTheme="majorEastAsia" w:eastAsiaTheme="majorEastAsia"/>
                <w:b/>
                <w:snapToGrid w:val="0"/>
                <w:color w:val="000000"/>
                <w:spacing w:val="-6"/>
                <w:kern w:val="21"/>
                <w:szCs w:val="21"/>
              </w:rPr>
              <w:fldChar w:fldCharType="end"/>
            </w:r>
          </w:p>
        </w:tc>
        <w:tc>
          <w:tcPr>
            <w:tcW w:w="170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14"/>
              <w:spacing w:before="38" w:after="38" w:line="240" w:lineRule="auto"/>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t>在建工程</w:t>
            </w:r>
          </w:p>
          <w:p>
            <w:pPr>
              <w:pStyle w:val="114"/>
              <w:spacing w:before="38" w:after="38" w:line="240" w:lineRule="auto"/>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t>排放量（固体废物产生量）</w:t>
            </w:r>
            <w:r>
              <w:rPr>
                <w:rFonts w:hint="eastAsia" w:cs="Times New Roman" w:asciiTheme="majorEastAsia" w:hAnsiTheme="majorEastAsia" w:eastAsiaTheme="majorEastAsia"/>
                <w:b/>
                <w:snapToGrid w:val="0"/>
                <w:color w:val="000000"/>
                <w:spacing w:val="-6"/>
                <w:kern w:val="21"/>
                <w:szCs w:val="21"/>
              </w:rPr>
              <w:fldChar w:fldCharType="begin"/>
            </w:r>
            <w:r>
              <w:rPr>
                <w:rFonts w:hint="eastAsia" w:cs="Times New Roman" w:asciiTheme="majorEastAsia" w:hAnsiTheme="majorEastAsia" w:eastAsiaTheme="majorEastAsia"/>
                <w:b/>
                <w:snapToGrid w:val="0"/>
                <w:color w:val="000000"/>
                <w:spacing w:val="-6"/>
                <w:kern w:val="21"/>
                <w:szCs w:val="21"/>
              </w:rPr>
              <w:instrText xml:space="preserve"> = 3 \* GB3 \* MERGEFORMAT </w:instrText>
            </w:r>
            <w:r>
              <w:rPr>
                <w:rFonts w:hint="eastAsia" w:cs="Times New Roman" w:asciiTheme="majorEastAsia" w:hAnsiTheme="majorEastAsia" w:eastAsiaTheme="majorEastAsia"/>
                <w:b/>
                <w:snapToGrid w:val="0"/>
                <w:color w:val="000000"/>
                <w:spacing w:val="-6"/>
                <w:kern w:val="21"/>
                <w:szCs w:val="21"/>
              </w:rPr>
              <w:fldChar w:fldCharType="separate"/>
            </w:r>
            <w:r>
              <w:rPr>
                <w:rFonts w:hint="eastAsia" w:cs="Times New Roman" w:asciiTheme="majorEastAsia" w:hAnsiTheme="majorEastAsia" w:eastAsiaTheme="majorEastAsia"/>
                <w:b/>
                <w:szCs w:val="21"/>
              </w:rPr>
              <w:t>③</w:t>
            </w:r>
            <w:r>
              <w:rPr>
                <w:rFonts w:hint="eastAsia" w:cs="Times New Roman" w:asciiTheme="majorEastAsia" w:hAnsiTheme="majorEastAsia" w:eastAsiaTheme="majorEastAsia"/>
                <w:b/>
                <w:snapToGrid w:val="0"/>
                <w:color w:val="000000"/>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14"/>
              <w:spacing w:before="38" w:after="38" w:line="240" w:lineRule="auto"/>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t>本项目</w:t>
            </w:r>
          </w:p>
          <w:p>
            <w:pPr>
              <w:pStyle w:val="114"/>
              <w:spacing w:before="38" w:after="38" w:line="240" w:lineRule="auto"/>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t>排放量（固体废物产生量）</w:t>
            </w:r>
            <w:r>
              <w:rPr>
                <w:rFonts w:hint="eastAsia" w:cs="Times New Roman" w:asciiTheme="majorEastAsia" w:hAnsiTheme="majorEastAsia" w:eastAsiaTheme="majorEastAsia"/>
                <w:b/>
                <w:snapToGrid w:val="0"/>
                <w:color w:val="000000"/>
                <w:spacing w:val="-6"/>
                <w:kern w:val="21"/>
                <w:szCs w:val="21"/>
              </w:rPr>
              <w:fldChar w:fldCharType="begin"/>
            </w:r>
            <w:r>
              <w:rPr>
                <w:rFonts w:hint="eastAsia" w:cs="Times New Roman" w:asciiTheme="majorEastAsia" w:hAnsiTheme="majorEastAsia" w:eastAsiaTheme="majorEastAsia"/>
                <w:b/>
                <w:snapToGrid w:val="0"/>
                <w:color w:val="000000"/>
                <w:spacing w:val="-6"/>
                <w:kern w:val="21"/>
                <w:szCs w:val="21"/>
              </w:rPr>
              <w:instrText xml:space="preserve"> = 4 \* GB3 \* MERGEFORMAT </w:instrText>
            </w:r>
            <w:r>
              <w:rPr>
                <w:rFonts w:hint="eastAsia" w:cs="Times New Roman" w:asciiTheme="majorEastAsia" w:hAnsiTheme="majorEastAsia" w:eastAsiaTheme="majorEastAsia"/>
                <w:b/>
                <w:snapToGrid w:val="0"/>
                <w:color w:val="000000"/>
                <w:spacing w:val="-6"/>
                <w:kern w:val="21"/>
                <w:szCs w:val="21"/>
              </w:rPr>
              <w:fldChar w:fldCharType="separate"/>
            </w:r>
            <w:r>
              <w:rPr>
                <w:rFonts w:hint="eastAsia" w:cs="Times New Roman" w:asciiTheme="majorEastAsia" w:hAnsiTheme="majorEastAsia" w:eastAsiaTheme="majorEastAsia"/>
                <w:b/>
                <w:szCs w:val="21"/>
              </w:rPr>
              <w:t>④</w:t>
            </w:r>
            <w:r>
              <w:rPr>
                <w:rFonts w:hint="eastAsia" w:cs="Times New Roman" w:asciiTheme="majorEastAsia" w:hAnsiTheme="majorEastAsia" w:eastAsiaTheme="majorEastAsia"/>
                <w:b/>
                <w:snapToGrid w:val="0"/>
                <w:color w:val="000000"/>
                <w:spacing w:val="-6"/>
                <w:kern w:val="21"/>
                <w:szCs w:val="21"/>
              </w:rPr>
              <w:fldChar w:fldCharType="end"/>
            </w:r>
          </w:p>
        </w:tc>
        <w:tc>
          <w:tcPr>
            <w:tcW w:w="176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14"/>
              <w:spacing w:before="38" w:after="38" w:line="240" w:lineRule="auto"/>
              <w:rPr>
                <w:rFonts w:cs="Times New Roman" w:asciiTheme="majorEastAsia" w:hAnsiTheme="majorEastAsia" w:eastAsiaTheme="majorEastAsia"/>
                <w:b/>
                <w:snapToGrid w:val="0"/>
                <w:color w:val="000000"/>
                <w:spacing w:val="-16"/>
                <w:kern w:val="21"/>
                <w:szCs w:val="21"/>
              </w:rPr>
            </w:pPr>
            <w:r>
              <w:rPr>
                <w:rFonts w:hint="eastAsia" w:cs="Times New Roman" w:asciiTheme="majorEastAsia" w:hAnsiTheme="majorEastAsia" w:eastAsiaTheme="majorEastAsia"/>
                <w:b/>
                <w:snapToGrid w:val="0"/>
                <w:color w:val="000000"/>
                <w:spacing w:val="-16"/>
                <w:kern w:val="21"/>
                <w:szCs w:val="21"/>
              </w:rPr>
              <w:t>以新带老削减量</w:t>
            </w:r>
          </w:p>
          <w:p>
            <w:pPr>
              <w:pStyle w:val="114"/>
              <w:spacing w:before="38" w:after="38" w:line="240" w:lineRule="auto"/>
              <w:rPr>
                <w:rFonts w:cs="Times New Roman" w:asciiTheme="majorEastAsia" w:hAnsiTheme="majorEastAsia" w:eastAsiaTheme="majorEastAsia"/>
                <w:b/>
                <w:snapToGrid w:val="0"/>
                <w:color w:val="000000"/>
                <w:spacing w:val="-16"/>
                <w:kern w:val="21"/>
                <w:szCs w:val="21"/>
              </w:rPr>
            </w:pPr>
            <w:r>
              <w:rPr>
                <w:rFonts w:hint="eastAsia" w:cs="Times New Roman" w:asciiTheme="majorEastAsia" w:hAnsiTheme="majorEastAsia" w:eastAsiaTheme="majorEastAsia"/>
                <w:b/>
                <w:snapToGrid w:val="0"/>
                <w:color w:val="000000"/>
                <w:spacing w:val="-16"/>
                <w:kern w:val="21"/>
                <w:szCs w:val="21"/>
              </w:rPr>
              <w:t>（新建项目不填）</w:t>
            </w:r>
            <w:r>
              <w:rPr>
                <w:rFonts w:hint="eastAsia" w:cs="Times New Roman" w:asciiTheme="majorEastAsia" w:hAnsiTheme="majorEastAsia" w:eastAsiaTheme="majorEastAsia"/>
                <w:b/>
                <w:snapToGrid w:val="0"/>
                <w:color w:val="000000"/>
                <w:spacing w:val="-16"/>
                <w:kern w:val="21"/>
                <w:szCs w:val="21"/>
              </w:rPr>
              <w:fldChar w:fldCharType="begin"/>
            </w:r>
            <w:r>
              <w:rPr>
                <w:rFonts w:hint="eastAsia" w:cs="Times New Roman" w:asciiTheme="majorEastAsia" w:hAnsiTheme="majorEastAsia" w:eastAsiaTheme="majorEastAsia"/>
                <w:b/>
                <w:snapToGrid w:val="0"/>
                <w:color w:val="000000"/>
                <w:spacing w:val="-16"/>
                <w:kern w:val="21"/>
                <w:szCs w:val="21"/>
              </w:rPr>
              <w:instrText xml:space="preserve"> = 5 \* GB3 \* MERGEFORMAT </w:instrText>
            </w:r>
            <w:r>
              <w:rPr>
                <w:rFonts w:hint="eastAsia" w:cs="Times New Roman" w:asciiTheme="majorEastAsia" w:hAnsiTheme="majorEastAsia" w:eastAsiaTheme="majorEastAsia"/>
                <w:b/>
                <w:snapToGrid w:val="0"/>
                <w:color w:val="000000"/>
                <w:spacing w:val="-16"/>
                <w:kern w:val="21"/>
                <w:szCs w:val="21"/>
              </w:rPr>
              <w:fldChar w:fldCharType="separate"/>
            </w:r>
            <w:r>
              <w:rPr>
                <w:rFonts w:hint="eastAsia" w:cs="Times New Roman" w:asciiTheme="majorEastAsia" w:hAnsiTheme="majorEastAsia" w:eastAsiaTheme="majorEastAsia"/>
                <w:b/>
                <w:szCs w:val="21"/>
              </w:rPr>
              <w:t>⑤</w:t>
            </w:r>
            <w:r>
              <w:rPr>
                <w:rFonts w:hint="eastAsia" w:cs="Times New Roman" w:asciiTheme="majorEastAsia" w:hAnsiTheme="majorEastAsia" w:eastAsiaTheme="majorEastAsia"/>
                <w:b/>
                <w:snapToGrid w:val="0"/>
                <w:color w:val="000000"/>
                <w:spacing w:val="-16"/>
                <w:kern w:val="21"/>
                <w:szCs w:val="21"/>
              </w:rPr>
              <w:fldChar w:fldCharType="end"/>
            </w:r>
          </w:p>
        </w:tc>
        <w:tc>
          <w:tcPr>
            <w:tcW w:w="178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14"/>
              <w:spacing w:before="38" w:after="38" w:line="240" w:lineRule="auto"/>
              <w:rPr>
                <w:rFonts w:cs="Times New Roman" w:asciiTheme="majorEastAsia" w:hAnsiTheme="majorEastAsia" w:eastAsiaTheme="majorEastAsia"/>
                <w:b/>
                <w:snapToGrid w:val="0"/>
                <w:color w:val="000000"/>
                <w:spacing w:val="-16"/>
                <w:kern w:val="21"/>
                <w:szCs w:val="21"/>
              </w:rPr>
            </w:pPr>
            <w:r>
              <w:rPr>
                <w:rFonts w:hint="eastAsia" w:cs="Times New Roman" w:asciiTheme="majorEastAsia" w:hAnsiTheme="majorEastAsia" w:eastAsiaTheme="majorEastAsia"/>
                <w:b/>
                <w:snapToGrid w:val="0"/>
                <w:color w:val="000000"/>
                <w:spacing w:val="-16"/>
                <w:kern w:val="21"/>
                <w:szCs w:val="21"/>
              </w:rPr>
              <w:t>本项目建成后</w:t>
            </w:r>
          </w:p>
          <w:p>
            <w:pPr>
              <w:pStyle w:val="114"/>
              <w:spacing w:before="38" w:after="38" w:line="240" w:lineRule="auto"/>
              <w:rPr>
                <w:rFonts w:cs="Times New Roman" w:asciiTheme="majorEastAsia" w:hAnsiTheme="majorEastAsia" w:eastAsiaTheme="majorEastAsia"/>
                <w:b/>
                <w:snapToGrid w:val="0"/>
                <w:color w:val="000000"/>
                <w:spacing w:val="-16"/>
                <w:kern w:val="21"/>
                <w:szCs w:val="21"/>
              </w:rPr>
            </w:pPr>
            <w:r>
              <w:rPr>
                <w:rFonts w:hint="eastAsia" w:cs="Times New Roman" w:asciiTheme="majorEastAsia" w:hAnsiTheme="majorEastAsia" w:eastAsiaTheme="majorEastAsia"/>
                <w:b/>
                <w:snapToGrid w:val="0"/>
                <w:color w:val="000000"/>
                <w:spacing w:val="-16"/>
                <w:kern w:val="21"/>
                <w:szCs w:val="21"/>
              </w:rPr>
              <w:t>全厂排放量（固体废物产生量）</w:t>
            </w:r>
            <w:r>
              <w:rPr>
                <w:rFonts w:hint="eastAsia" w:cs="Times New Roman" w:asciiTheme="majorEastAsia" w:hAnsiTheme="majorEastAsia" w:eastAsiaTheme="majorEastAsia"/>
                <w:b/>
                <w:snapToGrid w:val="0"/>
                <w:color w:val="000000"/>
                <w:spacing w:val="-16"/>
                <w:kern w:val="21"/>
                <w:szCs w:val="21"/>
              </w:rPr>
              <w:fldChar w:fldCharType="begin"/>
            </w:r>
            <w:r>
              <w:rPr>
                <w:rFonts w:hint="eastAsia" w:cs="Times New Roman" w:asciiTheme="majorEastAsia" w:hAnsiTheme="majorEastAsia" w:eastAsiaTheme="majorEastAsia"/>
                <w:b/>
                <w:snapToGrid w:val="0"/>
                <w:color w:val="000000"/>
                <w:spacing w:val="-16"/>
                <w:kern w:val="21"/>
                <w:szCs w:val="21"/>
              </w:rPr>
              <w:instrText xml:space="preserve"> = 6 \* GB3 \* MERGEFORMAT </w:instrText>
            </w:r>
            <w:r>
              <w:rPr>
                <w:rFonts w:hint="eastAsia" w:cs="Times New Roman" w:asciiTheme="majorEastAsia" w:hAnsiTheme="majorEastAsia" w:eastAsiaTheme="majorEastAsia"/>
                <w:b/>
                <w:snapToGrid w:val="0"/>
                <w:color w:val="000000"/>
                <w:spacing w:val="-16"/>
                <w:kern w:val="21"/>
                <w:szCs w:val="21"/>
              </w:rPr>
              <w:fldChar w:fldCharType="separate"/>
            </w:r>
            <w:r>
              <w:rPr>
                <w:rFonts w:hint="eastAsia" w:cs="Times New Roman" w:asciiTheme="majorEastAsia" w:hAnsiTheme="majorEastAsia" w:eastAsiaTheme="majorEastAsia"/>
                <w:b/>
                <w:szCs w:val="21"/>
              </w:rPr>
              <w:t>⑥</w:t>
            </w:r>
            <w:r>
              <w:rPr>
                <w:rFonts w:hint="eastAsia" w:cs="Times New Roman" w:asciiTheme="majorEastAsia" w:hAnsiTheme="majorEastAsia" w:eastAsiaTheme="majorEastAsia"/>
                <w:b/>
                <w:snapToGrid w:val="0"/>
                <w:color w:val="000000"/>
                <w:spacing w:val="-16"/>
                <w:kern w:val="21"/>
                <w:szCs w:val="21"/>
              </w:rPr>
              <w:fldChar w:fldCharType="end"/>
            </w:r>
          </w:p>
        </w:tc>
        <w:tc>
          <w:tcPr>
            <w:tcW w:w="1002"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pStyle w:val="114"/>
              <w:spacing w:before="38" w:after="38" w:line="240" w:lineRule="auto"/>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t>变化量</w:t>
            </w:r>
          </w:p>
          <w:p>
            <w:pPr>
              <w:pStyle w:val="114"/>
              <w:spacing w:before="38" w:after="38" w:line="240" w:lineRule="auto"/>
              <w:rPr>
                <w:rFonts w:cs="Times New Roman" w:asciiTheme="majorEastAsia" w:hAnsiTheme="majorEastAsia" w:eastAsiaTheme="majorEastAsia"/>
                <w:b/>
                <w:snapToGrid w:val="0"/>
                <w:color w:val="000000"/>
                <w:spacing w:val="-6"/>
                <w:kern w:val="21"/>
                <w:szCs w:val="21"/>
              </w:rPr>
            </w:pPr>
            <w:r>
              <w:rPr>
                <w:rFonts w:hint="eastAsia" w:cs="Times New Roman" w:asciiTheme="majorEastAsia" w:hAnsiTheme="majorEastAsia" w:eastAsiaTheme="majorEastAsia"/>
                <w:b/>
                <w:snapToGrid w:val="0"/>
                <w:color w:val="000000"/>
                <w:spacing w:val="-6"/>
                <w:kern w:val="21"/>
                <w:szCs w:val="21"/>
              </w:rPr>
              <w:fldChar w:fldCharType="begin"/>
            </w:r>
            <w:r>
              <w:rPr>
                <w:rFonts w:hint="eastAsia" w:cs="Times New Roman" w:asciiTheme="majorEastAsia" w:hAnsiTheme="majorEastAsia" w:eastAsiaTheme="majorEastAsia"/>
                <w:b/>
                <w:snapToGrid w:val="0"/>
                <w:color w:val="000000"/>
                <w:spacing w:val="-6"/>
                <w:kern w:val="21"/>
                <w:szCs w:val="21"/>
              </w:rPr>
              <w:instrText xml:space="preserve"> = 7 \* GB3 \* MERGEFORMAT </w:instrText>
            </w:r>
            <w:r>
              <w:rPr>
                <w:rFonts w:hint="eastAsia" w:cs="Times New Roman" w:asciiTheme="majorEastAsia" w:hAnsiTheme="majorEastAsia" w:eastAsiaTheme="majorEastAsia"/>
                <w:b/>
                <w:snapToGrid w:val="0"/>
                <w:color w:val="000000"/>
                <w:spacing w:val="-6"/>
                <w:kern w:val="21"/>
                <w:szCs w:val="21"/>
              </w:rPr>
              <w:fldChar w:fldCharType="separate"/>
            </w:r>
            <w:r>
              <w:rPr>
                <w:rFonts w:hint="eastAsia" w:cs="Times New Roman" w:asciiTheme="majorEastAsia" w:hAnsiTheme="majorEastAsia" w:eastAsiaTheme="majorEastAsia"/>
                <w:b/>
                <w:szCs w:val="21"/>
              </w:rPr>
              <w:t>⑦</w:t>
            </w:r>
            <w:r>
              <w:rPr>
                <w:rFonts w:hint="eastAsia" w:cs="Times New Roman" w:asciiTheme="majorEastAsia" w:hAnsiTheme="majorEastAsia" w:eastAsiaTheme="majorEastAsia"/>
                <w:b/>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restart"/>
            <w:tcBorders>
              <w:top w:val="single" w:color="auto" w:sz="4" w:space="0"/>
              <w:left w:val="single" w:color="auto" w:sz="8"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hint="eastAsia" w:ascii="Times New Roman" w:cs="Times New Roman" w:hAnsiTheme="minorEastAsia"/>
                <w:snapToGrid w:val="0"/>
                <w:color w:val="000000"/>
                <w:kern w:val="21"/>
                <w:szCs w:val="21"/>
              </w:rPr>
              <w:t>废气</w:t>
            </w:r>
          </w:p>
        </w:tc>
        <w:tc>
          <w:tcPr>
            <w:tcW w:w="1416" w:type="dxa"/>
            <w:tcBorders>
              <w:top w:val="single" w:color="auto" w:sz="4" w:space="0"/>
              <w:left w:val="single" w:color="auto" w:sz="4" w:space="0"/>
              <w:bottom w:val="single" w:color="auto" w:sz="4" w:space="0"/>
              <w:right w:val="single" w:color="auto" w:sz="4" w:space="0"/>
            </w:tcBorders>
            <w:vAlign w:val="center"/>
          </w:tcPr>
          <w:p>
            <w:pPr>
              <w:pStyle w:val="116"/>
              <w:spacing w:before="93" w:after="93"/>
              <w:rPr>
                <w:rFonts w:ascii="Times New Roman" w:hAnsi="Times New Roman" w:cs="Times New Roman"/>
                <w:kern w:val="2"/>
              </w:rPr>
            </w:pPr>
            <w:r>
              <w:rPr>
                <w:rFonts w:hint="eastAsia" w:ascii="Times New Roman" w:cs="Times New Roman" w:hAnsiTheme="minorEastAsia"/>
              </w:rPr>
              <w:t>颗粒物</w:t>
            </w:r>
          </w:p>
        </w:tc>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24"/>
                <w:sz w:val="21"/>
                <w:szCs w:val="21"/>
              </w:rPr>
            </w:pPr>
            <w:r>
              <w:rPr>
                <w:kern w:val="24"/>
                <w:sz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kern w:val="24"/>
                <w:sz w:val="21"/>
                <w:szCs w:val="21"/>
              </w:rPr>
            </w:pPr>
            <w:r>
              <w:rPr>
                <w:kern w:val="24"/>
                <w:sz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inorEastAsia"/>
                <w:color w:val="000000"/>
                <w:sz w:val="21"/>
                <w:szCs w:val="21"/>
                <w:lang w:val="en-US" w:eastAsia="zh-CN"/>
              </w:rPr>
            </w:pPr>
            <w:r>
              <w:rPr>
                <w:rFonts w:hint="eastAsia" w:eastAsiaTheme="minorEastAsia"/>
                <w:color w:val="000000"/>
                <w:sz w:val="21"/>
                <w:szCs w:val="21"/>
                <w:lang w:val="en-US" w:eastAsia="zh-CN"/>
              </w:rPr>
              <w:t>0.3703</w:t>
            </w:r>
          </w:p>
        </w:tc>
        <w:tc>
          <w:tcPr>
            <w:tcW w:w="1761" w:type="dxa"/>
            <w:tcBorders>
              <w:top w:val="single" w:color="auto" w:sz="4" w:space="0"/>
              <w:left w:val="single" w:color="auto" w:sz="4" w:space="0"/>
              <w:bottom w:val="single" w:color="auto" w:sz="4" w:space="0"/>
              <w:right w:val="single" w:color="auto" w:sz="4" w:space="0"/>
            </w:tcBorders>
            <w:vAlign w:val="center"/>
          </w:tcPr>
          <w:p>
            <w:pPr>
              <w:pStyle w:val="116"/>
              <w:spacing w:before="93" w:after="93"/>
              <w:rPr>
                <w:rFonts w:ascii="Times New Roman" w:hAnsi="Times New Roman" w:cs="Times New Roman"/>
                <w:color w:val="auto"/>
                <w:kern w:val="2"/>
              </w:rPr>
            </w:pPr>
            <w:r>
              <w:rPr>
                <w:rFonts w:ascii="Times New Roman" w:hAnsi="Times New Roman" w:cs="Times New Roman"/>
                <w:color w:val="auto"/>
              </w:rPr>
              <w:t>/</w:t>
            </w:r>
          </w:p>
        </w:tc>
        <w:tc>
          <w:tcPr>
            <w:tcW w:w="1783"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inorEastAsia"/>
                <w:sz w:val="21"/>
                <w:szCs w:val="21"/>
                <w:lang w:val="en-US"/>
              </w:rPr>
            </w:pPr>
            <w:r>
              <w:rPr>
                <w:rFonts w:hint="eastAsia" w:eastAsiaTheme="minorEastAsia"/>
                <w:color w:val="000000"/>
                <w:sz w:val="21"/>
                <w:szCs w:val="21"/>
                <w:lang w:val="en-US" w:eastAsia="zh-CN"/>
              </w:rPr>
              <w:t>0.3703</w:t>
            </w:r>
          </w:p>
        </w:tc>
        <w:tc>
          <w:tcPr>
            <w:tcW w:w="1002" w:type="dxa"/>
            <w:tcBorders>
              <w:top w:val="single" w:color="auto" w:sz="4" w:space="0"/>
              <w:left w:val="single" w:color="auto" w:sz="4" w:space="0"/>
              <w:bottom w:val="single" w:color="auto" w:sz="4" w:space="0"/>
              <w:right w:val="single" w:color="auto" w:sz="8" w:space="0"/>
            </w:tcBorders>
            <w:vAlign w:val="center"/>
          </w:tcPr>
          <w:p>
            <w:pPr>
              <w:jc w:val="center"/>
              <w:rPr>
                <w:rFonts w:eastAsiaTheme="minorEastAsia"/>
                <w:color w:val="000000"/>
                <w:sz w:val="21"/>
                <w:szCs w:val="21"/>
              </w:rPr>
            </w:pPr>
            <w:r>
              <w:rPr>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eastAsiaTheme="minorEastAsia"/>
                <w:snapToGrid w:val="0"/>
                <w:color w:val="000000"/>
                <w:kern w:val="21"/>
                <w:sz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pStyle w:val="116"/>
              <w:spacing w:before="93" w:after="93"/>
              <w:rPr>
                <w:rFonts w:ascii="Times New Roman" w:hAnsi="Times New Roman" w:cs="Times New Roman"/>
                <w:kern w:val="2"/>
              </w:rPr>
            </w:pPr>
            <w:r>
              <w:rPr>
                <w:rFonts w:ascii="Times New Roman" w:hAnsi="Times New Roman" w:cs="Times New Roman"/>
              </w:rPr>
              <w:t>VOCs</w:t>
            </w:r>
          </w:p>
        </w:tc>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sz w:val="21"/>
                <w:szCs w:val="21"/>
              </w:rPr>
            </w:pPr>
            <w:r>
              <w:rPr>
                <w:color w:val="000000"/>
                <w:sz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sz w:val="21"/>
                <w:szCs w:val="21"/>
              </w:rPr>
            </w:pPr>
            <w:r>
              <w:rPr>
                <w:color w:val="000000"/>
                <w:sz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sz w:val="21"/>
                <w:szCs w:val="21"/>
              </w:rPr>
            </w:pPr>
            <w:r>
              <w:rPr>
                <w:color w:val="000000"/>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sz w:val="21"/>
                <w:szCs w:val="21"/>
              </w:rPr>
            </w:pPr>
            <w:r>
              <w:rPr>
                <w:color w:val="000000"/>
                <w:sz w:val="21"/>
                <w:szCs w:val="21"/>
              </w:rPr>
              <w:t>/</w:t>
            </w:r>
          </w:p>
        </w:tc>
        <w:tc>
          <w:tcPr>
            <w:tcW w:w="176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sz w:val="21"/>
                <w:szCs w:val="21"/>
              </w:rPr>
            </w:pPr>
            <w:r>
              <w:rPr>
                <w:color w:val="000000"/>
                <w:sz w:val="21"/>
                <w:szCs w:val="21"/>
              </w:rPr>
              <w:t>/</w:t>
            </w:r>
          </w:p>
        </w:tc>
        <w:tc>
          <w:tcPr>
            <w:tcW w:w="1783"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sz w:val="21"/>
                <w:szCs w:val="21"/>
              </w:rPr>
            </w:pPr>
            <w:r>
              <w:rPr>
                <w:color w:val="000000"/>
                <w:sz w:val="21"/>
                <w:szCs w:val="21"/>
              </w:rPr>
              <w:t>/</w:t>
            </w:r>
          </w:p>
        </w:tc>
        <w:tc>
          <w:tcPr>
            <w:tcW w:w="1002" w:type="dxa"/>
            <w:tcBorders>
              <w:top w:val="single" w:color="auto" w:sz="4" w:space="0"/>
              <w:left w:val="single" w:color="auto" w:sz="4" w:space="0"/>
              <w:bottom w:val="single" w:color="auto" w:sz="4" w:space="0"/>
              <w:right w:val="single" w:color="auto" w:sz="8" w:space="0"/>
            </w:tcBorders>
            <w:vAlign w:val="center"/>
          </w:tcPr>
          <w:p>
            <w:pPr>
              <w:jc w:val="center"/>
              <w:rPr>
                <w:rFonts w:eastAsiaTheme="minorEastAsia"/>
                <w:color w:val="000000"/>
                <w:sz w:val="21"/>
                <w:szCs w:val="21"/>
              </w:rPr>
            </w:pPr>
            <w:r>
              <w:rPr>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restart"/>
            <w:tcBorders>
              <w:top w:val="single" w:color="auto" w:sz="4" w:space="0"/>
              <w:left w:val="single" w:color="auto" w:sz="8"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hint="eastAsia" w:ascii="Times New Roman" w:cs="Times New Roman" w:hAnsiTheme="minorEastAsia"/>
                <w:snapToGrid w:val="0"/>
                <w:color w:val="000000"/>
                <w:kern w:val="21"/>
                <w:szCs w:val="21"/>
              </w:rPr>
              <w:t>废水</w:t>
            </w:r>
          </w:p>
        </w:tc>
        <w:tc>
          <w:tcPr>
            <w:tcW w:w="1416" w:type="dxa"/>
            <w:tcBorders>
              <w:top w:val="single" w:color="auto" w:sz="4" w:space="0"/>
              <w:left w:val="single" w:color="auto" w:sz="4" w:space="0"/>
              <w:bottom w:val="single" w:color="auto" w:sz="4" w:space="0"/>
              <w:right w:val="single" w:color="auto" w:sz="4" w:space="0"/>
            </w:tcBorders>
            <w:vAlign w:val="center"/>
          </w:tcPr>
          <w:p>
            <w:pPr>
              <w:pStyle w:val="116"/>
              <w:spacing w:before="93" w:after="93"/>
              <w:rPr>
                <w:rFonts w:ascii="Times New Roman" w:hAnsi="Times New Roman" w:cs="Times New Roman"/>
                <w:color w:val="auto"/>
                <w:kern w:val="2"/>
              </w:rPr>
            </w:pPr>
            <w:r>
              <w:rPr>
                <w:rFonts w:ascii="Times New Roman" w:hAnsi="Times New Roman" w:cs="Times New Roman"/>
              </w:rPr>
              <w:t>COD</w:t>
            </w:r>
          </w:p>
        </w:tc>
        <w:tc>
          <w:tcPr>
            <w:tcW w:w="1700"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0</w:t>
            </w:r>
          </w:p>
        </w:tc>
        <w:tc>
          <w:tcPr>
            <w:tcW w:w="1761"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783"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0</w:t>
            </w:r>
          </w:p>
        </w:tc>
        <w:tc>
          <w:tcPr>
            <w:tcW w:w="1002" w:type="dxa"/>
            <w:tcBorders>
              <w:top w:val="single" w:color="auto" w:sz="4" w:space="0"/>
              <w:left w:val="single" w:color="auto" w:sz="4" w:space="0"/>
              <w:bottom w:val="single" w:color="auto" w:sz="4" w:space="0"/>
              <w:right w:val="single" w:color="auto" w:sz="8"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eastAsiaTheme="minorEastAsia"/>
                <w:snapToGrid w:val="0"/>
                <w:color w:val="000000"/>
                <w:kern w:val="21"/>
                <w:sz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pStyle w:val="116"/>
              <w:spacing w:before="93" w:after="93"/>
              <w:rPr>
                <w:rFonts w:ascii="Times New Roman" w:hAnsi="Times New Roman" w:cs="Times New Roman"/>
                <w:kern w:val="2"/>
              </w:rPr>
            </w:pPr>
            <w:r>
              <w:rPr>
                <w:rFonts w:hint="eastAsia" w:ascii="Times New Roman" w:cs="Times New Roman" w:hAnsiTheme="minorEastAsia"/>
              </w:rPr>
              <w:t>氨氮</w:t>
            </w:r>
          </w:p>
        </w:tc>
        <w:tc>
          <w:tcPr>
            <w:tcW w:w="1700"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0</w:t>
            </w:r>
          </w:p>
        </w:tc>
        <w:tc>
          <w:tcPr>
            <w:tcW w:w="1761"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783"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0</w:t>
            </w:r>
          </w:p>
        </w:tc>
        <w:tc>
          <w:tcPr>
            <w:tcW w:w="1002" w:type="dxa"/>
            <w:tcBorders>
              <w:top w:val="single" w:color="auto" w:sz="4" w:space="0"/>
              <w:left w:val="single" w:color="auto" w:sz="4" w:space="0"/>
              <w:bottom w:val="single" w:color="auto" w:sz="4" w:space="0"/>
              <w:right w:val="single" w:color="auto" w:sz="8"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eastAsiaTheme="minorEastAsia"/>
                <w:snapToGrid w:val="0"/>
                <w:color w:val="000000"/>
                <w:kern w:val="21"/>
                <w:sz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pStyle w:val="116"/>
              <w:spacing w:before="93" w:after="93"/>
              <w:rPr>
                <w:rFonts w:ascii="Times New Roman" w:hAnsi="Times New Roman" w:cs="Times New Roman"/>
                <w:kern w:val="2"/>
              </w:rPr>
            </w:pPr>
            <w:r>
              <w:rPr>
                <w:rFonts w:hint="eastAsia" w:ascii="Times New Roman" w:cs="Times New Roman" w:hAnsiTheme="minorEastAsia"/>
              </w:rPr>
              <w:t>总磷</w:t>
            </w:r>
          </w:p>
        </w:tc>
        <w:tc>
          <w:tcPr>
            <w:tcW w:w="1700"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0</w:t>
            </w:r>
          </w:p>
        </w:tc>
        <w:tc>
          <w:tcPr>
            <w:tcW w:w="1761"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783"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0</w:t>
            </w:r>
          </w:p>
        </w:tc>
        <w:tc>
          <w:tcPr>
            <w:tcW w:w="1002" w:type="dxa"/>
            <w:tcBorders>
              <w:top w:val="single" w:color="auto" w:sz="4" w:space="0"/>
              <w:left w:val="single" w:color="auto" w:sz="4" w:space="0"/>
              <w:bottom w:val="single" w:color="auto" w:sz="4" w:space="0"/>
              <w:right w:val="single" w:color="auto" w:sz="8"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eastAsiaTheme="minorEastAsia"/>
                <w:snapToGrid w:val="0"/>
                <w:color w:val="000000"/>
                <w:kern w:val="21"/>
                <w:sz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pStyle w:val="116"/>
              <w:spacing w:before="93" w:after="93"/>
              <w:rPr>
                <w:rFonts w:ascii="Times New Roman" w:hAnsi="Times New Roman" w:cs="Times New Roman"/>
                <w:kern w:val="2"/>
              </w:rPr>
            </w:pPr>
            <w:r>
              <w:rPr>
                <w:rFonts w:hint="eastAsia" w:ascii="Times New Roman" w:cs="Times New Roman" w:hAnsiTheme="minorEastAsia"/>
              </w:rPr>
              <w:t>总氮</w:t>
            </w:r>
          </w:p>
        </w:tc>
        <w:tc>
          <w:tcPr>
            <w:tcW w:w="1700"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0</w:t>
            </w:r>
          </w:p>
        </w:tc>
        <w:tc>
          <w:tcPr>
            <w:tcW w:w="1761"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783"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0</w:t>
            </w:r>
          </w:p>
        </w:tc>
        <w:tc>
          <w:tcPr>
            <w:tcW w:w="1002" w:type="dxa"/>
            <w:tcBorders>
              <w:top w:val="single" w:color="auto" w:sz="4" w:space="0"/>
              <w:left w:val="single" w:color="auto" w:sz="4" w:space="0"/>
              <w:bottom w:val="single" w:color="auto" w:sz="4" w:space="0"/>
              <w:right w:val="single" w:color="auto" w:sz="8"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restart"/>
            <w:tcBorders>
              <w:top w:val="single" w:color="auto" w:sz="4" w:space="0"/>
              <w:left w:val="single" w:color="auto" w:sz="8"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hint="eastAsia" w:ascii="Times New Roman" w:cs="Times New Roman" w:hAnsiTheme="minorEastAsia"/>
                <w:snapToGrid w:val="0"/>
                <w:color w:val="000000"/>
                <w:kern w:val="21"/>
                <w:szCs w:val="21"/>
              </w:rPr>
              <w:t>一般工业</w:t>
            </w:r>
          </w:p>
          <w:p>
            <w:pPr>
              <w:pStyle w:val="114"/>
              <w:spacing w:before="38" w:after="38" w:line="240" w:lineRule="auto"/>
              <w:rPr>
                <w:rFonts w:ascii="Times New Roman" w:hAnsi="Times New Roman" w:cs="Times New Roman"/>
                <w:snapToGrid w:val="0"/>
                <w:color w:val="000000"/>
                <w:kern w:val="21"/>
                <w:szCs w:val="21"/>
              </w:rPr>
            </w:pPr>
            <w:r>
              <w:rPr>
                <w:rFonts w:hint="eastAsia" w:ascii="Times New Roman" w:cs="Times New Roman" w:hAnsiTheme="minorEastAsia"/>
                <w:snapToGrid w:val="0"/>
                <w:color w:val="000000"/>
                <w:kern w:val="21"/>
                <w:szCs w:val="21"/>
              </w:rPr>
              <w:t>固体废物</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hint="eastAsia" w:hAnsiTheme="minorEastAsia"/>
                <w:sz w:val="21"/>
                <w:szCs w:val="21"/>
              </w:rPr>
              <w:t>除尘灰</w:t>
            </w:r>
          </w:p>
        </w:tc>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sz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sz w:val="21"/>
                <w:szCs w:val="21"/>
              </w:rPr>
            </w:pPr>
            <w:r>
              <w:rPr>
                <w:color w:val="000000"/>
                <w:sz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00"/>
                <w:sz w:val="21"/>
                <w:szCs w:val="21"/>
              </w:rPr>
            </w:pPr>
            <w:r>
              <w:rPr>
                <w:color w:val="000000"/>
                <w:sz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inorEastAsia"/>
                <w:sz w:val="21"/>
                <w:szCs w:val="21"/>
                <w:lang w:val="en-US" w:eastAsia="zh-CN"/>
              </w:rPr>
            </w:pPr>
            <w:r>
              <w:rPr>
                <w:rFonts w:hint="eastAsia" w:eastAsiaTheme="minorEastAsia"/>
                <w:sz w:val="21"/>
                <w:szCs w:val="21"/>
                <w:lang w:val="en-US" w:eastAsia="zh-CN"/>
              </w:rPr>
              <w:t>47</w:t>
            </w:r>
          </w:p>
        </w:tc>
        <w:tc>
          <w:tcPr>
            <w:tcW w:w="1761"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000000"/>
                <w:sz w:val="21"/>
                <w:szCs w:val="21"/>
                <w:lang w:val="en-US" w:eastAsia="zh-CN"/>
              </w:rPr>
            </w:pPr>
            <w:r>
              <w:rPr>
                <w:rFonts w:hint="eastAsia" w:eastAsiaTheme="minorEastAsia"/>
                <w:color w:val="000000"/>
                <w:sz w:val="21"/>
                <w:szCs w:val="21"/>
                <w:lang w:val="en-US" w:eastAsia="zh-CN"/>
              </w:rPr>
              <w:t>/</w:t>
            </w:r>
          </w:p>
        </w:tc>
        <w:tc>
          <w:tcPr>
            <w:tcW w:w="1783"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inorEastAsia"/>
                <w:sz w:val="21"/>
                <w:szCs w:val="21"/>
                <w:lang w:val="en-US" w:eastAsia="zh-CN"/>
              </w:rPr>
            </w:pPr>
            <w:r>
              <w:rPr>
                <w:rFonts w:hint="eastAsia" w:eastAsiaTheme="minorEastAsia"/>
                <w:sz w:val="21"/>
                <w:szCs w:val="21"/>
                <w:lang w:val="en-US" w:eastAsia="zh-CN"/>
              </w:rPr>
              <w:t>47</w:t>
            </w:r>
          </w:p>
        </w:tc>
        <w:tc>
          <w:tcPr>
            <w:tcW w:w="1002" w:type="dxa"/>
            <w:tcBorders>
              <w:top w:val="single" w:color="auto" w:sz="4" w:space="0"/>
              <w:left w:val="single" w:color="auto" w:sz="4" w:space="0"/>
              <w:bottom w:val="single" w:color="auto" w:sz="4" w:space="0"/>
              <w:right w:val="single" w:color="auto" w:sz="8"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eastAsiaTheme="minorEastAsia"/>
                <w:snapToGrid w:val="0"/>
                <w:color w:val="000000"/>
                <w:kern w:val="21"/>
                <w:sz w:val="21"/>
                <w:szCs w:val="21"/>
              </w:rPr>
            </w:pP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hint="eastAsia" w:hAnsiTheme="minorEastAsia"/>
                <w:sz w:val="21"/>
                <w:szCs w:val="21"/>
              </w:rPr>
              <w:t>沉淀沉渣</w:t>
            </w:r>
          </w:p>
        </w:tc>
        <w:tc>
          <w:tcPr>
            <w:tcW w:w="1700" w:type="dxa"/>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1"/>
                <w:szCs w:val="21"/>
              </w:rPr>
            </w:pPr>
            <w:r>
              <w:rPr>
                <w:rFonts w:hint="eastAsia" w:eastAsiaTheme="minorEastAsia"/>
                <w:sz w:val="21"/>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inorEastAsia"/>
                <w:sz w:val="21"/>
                <w:szCs w:val="21"/>
                <w:lang w:val="en-US" w:eastAsia="zh-CN"/>
              </w:rPr>
            </w:pPr>
            <w:r>
              <w:rPr>
                <w:rFonts w:hint="eastAsia" w:eastAsiaTheme="minorEastAsia"/>
                <w:sz w:val="21"/>
                <w:szCs w:val="21"/>
                <w:lang w:val="en-US" w:eastAsia="zh-CN"/>
              </w:rPr>
              <w:t>40</w:t>
            </w:r>
          </w:p>
        </w:tc>
        <w:tc>
          <w:tcPr>
            <w:tcW w:w="1761" w:type="dxa"/>
            <w:tcBorders>
              <w:top w:val="single" w:color="auto" w:sz="4" w:space="0"/>
              <w:left w:val="single" w:color="auto" w:sz="4" w:space="0"/>
              <w:bottom w:val="single" w:color="auto" w:sz="4"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rPr>
              <w:t>/</w:t>
            </w:r>
          </w:p>
        </w:tc>
        <w:tc>
          <w:tcPr>
            <w:tcW w:w="1783"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Theme="minorEastAsia"/>
                <w:sz w:val="21"/>
                <w:szCs w:val="21"/>
                <w:lang w:val="en-US" w:eastAsia="zh-CN"/>
              </w:rPr>
            </w:pPr>
            <w:r>
              <w:rPr>
                <w:rFonts w:hint="eastAsia" w:eastAsiaTheme="minorEastAsia"/>
                <w:sz w:val="21"/>
                <w:szCs w:val="21"/>
                <w:lang w:val="en-US" w:eastAsia="zh-CN"/>
              </w:rPr>
              <w:t>40</w:t>
            </w:r>
          </w:p>
        </w:tc>
        <w:tc>
          <w:tcPr>
            <w:tcW w:w="1002" w:type="dxa"/>
            <w:tcBorders>
              <w:top w:val="single" w:color="auto" w:sz="4" w:space="0"/>
              <w:left w:val="single" w:color="auto" w:sz="4" w:space="0"/>
              <w:bottom w:val="single" w:color="auto" w:sz="4" w:space="0"/>
              <w:right w:val="single" w:color="auto" w:sz="8"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tcBorders>
              <w:top w:val="single" w:color="auto" w:sz="4" w:space="0"/>
              <w:left w:val="single" w:color="auto" w:sz="8" w:space="0"/>
              <w:bottom w:val="single" w:color="auto" w:sz="8"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hint="eastAsia" w:ascii="Times New Roman" w:cs="Times New Roman" w:hAnsiTheme="minorEastAsia"/>
                <w:snapToGrid w:val="0"/>
                <w:color w:val="000000"/>
                <w:kern w:val="21"/>
                <w:szCs w:val="21"/>
              </w:rPr>
              <w:t>危险废物</w:t>
            </w:r>
          </w:p>
        </w:tc>
        <w:tc>
          <w:tcPr>
            <w:tcW w:w="1416" w:type="dxa"/>
            <w:tcBorders>
              <w:top w:val="single" w:color="auto" w:sz="4" w:space="0"/>
              <w:left w:val="single" w:color="auto" w:sz="4" w:space="0"/>
              <w:bottom w:val="single" w:color="auto" w:sz="8" w:space="0"/>
              <w:right w:val="single" w:color="auto" w:sz="4" w:space="0"/>
            </w:tcBorders>
            <w:vAlign w:val="center"/>
          </w:tcPr>
          <w:p>
            <w:pPr>
              <w:jc w:val="center"/>
              <w:rPr>
                <w:rFonts w:eastAsiaTheme="minorEastAsia"/>
                <w:sz w:val="21"/>
                <w:szCs w:val="21"/>
              </w:rPr>
            </w:pPr>
            <w:r>
              <w:rPr>
                <w:rFonts w:hint="eastAsia" w:eastAsiaTheme="minorEastAsia"/>
                <w:sz w:val="21"/>
                <w:szCs w:val="21"/>
              </w:rPr>
              <w:t>/</w:t>
            </w:r>
          </w:p>
        </w:tc>
        <w:tc>
          <w:tcPr>
            <w:tcW w:w="1700" w:type="dxa"/>
            <w:tcBorders>
              <w:top w:val="single" w:color="auto" w:sz="4" w:space="0"/>
              <w:left w:val="single" w:color="auto" w:sz="4" w:space="0"/>
              <w:bottom w:val="single" w:color="auto" w:sz="8" w:space="0"/>
              <w:right w:val="single" w:color="auto" w:sz="4" w:space="0"/>
            </w:tcBorders>
            <w:vAlign w:val="center"/>
          </w:tcPr>
          <w:p>
            <w:pPr>
              <w:jc w:val="center"/>
              <w:rPr>
                <w:rFonts w:eastAsiaTheme="minorEastAsia"/>
                <w:sz w:val="21"/>
                <w:szCs w:val="21"/>
              </w:rPr>
            </w:pPr>
            <w:r>
              <w:rPr>
                <w:rFonts w:hint="eastAsia" w:eastAsiaTheme="minorEastAsia"/>
                <w:sz w:val="21"/>
                <w:szCs w:val="21"/>
              </w:rPr>
              <w:t>/</w:t>
            </w:r>
          </w:p>
        </w:tc>
        <w:tc>
          <w:tcPr>
            <w:tcW w:w="1276" w:type="dxa"/>
            <w:tcBorders>
              <w:top w:val="single" w:color="auto" w:sz="4" w:space="0"/>
              <w:left w:val="single" w:color="auto" w:sz="4" w:space="0"/>
              <w:bottom w:val="single" w:color="auto" w:sz="8"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rPr>
              <w:t>/</w:t>
            </w:r>
          </w:p>
        </w:tc>
        <w:tc>
          <w:tcPr>
            <w:tcW w:w="1701" w:type="dxa"/>
            <w:tcBorders>
              <w:top w:val="single" w:color="auto" w:sz="4" w:space="0"/>
              <w:left w:val="single" w:color="auto" w:sz="4" w:space="0"/>
              <w:bottom w:val="single" w:color="auto" w:sz="8"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rPr>
              <w:t>/</w:t>
            </w:r>
          </w:p>
        </w:tc>
        <w:tc>
          <w:tcPr>
            <w:tcW w:w="1559" w:type="dxa"/>
            <w:tcBorders>
              <w:top w:val="single" w:color="auto" w:sz="4" w:space="0"/>
              <w:left w:val="single" w:color="auto" w:sz="4" w:space="0"/>
              <w:bottom w:val="single" w:color="auto" w:sz="8" w:space="0"/>
              <w:right w:val="single" w:color="auto" w:sz="4" w:space="0"/>
            </w:tcBorders>
            <w:vAlign w:val="center"/>
          </w:tcPr>
          <w:p>
            <w:pPr>
              <w:jc w:val="center"/>
              <w:rPr>
                <w:rFonts w:eastAsiaTheme="minorEastAsia"/>
                <w:sz w:val="21"/>
                <w:szCs w:val="21"/>
              </w:rPr>
            </w:pPr>
            <w:r>
              <w:rPr>
                <w:rFonts w:hint="eastAsia" w:eastAsiaTheme="minorEastAsia"/>
                <w:sz w:val="21"/>
                <w:szCs w:val="21"/>
              </w:rPr>
              <w:t>/</w:t>
            </w:r>
          </w:p>
        </w:tc>
        <w:tc>
          <w:tcPr>
            <w:tcW w:w="1761" w:type="dxa"/>
            <w:tcBorders>
              <w:top w:val="single" w:color="auto" w:sz="4" w:space="0"/>
              <w:left w:val="single" w:color="auto" w:sz="4" w:space="0"/>
              <w:bottom w:val="single" w:color="auto" w:sz="8" w:space="0"/>
              <w:right w:val="single" w:color="auto" w:sz="4"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rPr>
              <w:t>/</w:t>
            </w:r>
          </w:p>
        </w:tc>
        <w:tc>
          <w:tcPr>
            <w:tcW w:w="1783" w:type="dxa"/>
            <w:tcBorders>
              <w:top w:val="single" w:color="auto" w:sz="4" w:space="0"/>
              <w:left w:val="single" w:color="auto" w:sz="4" w:space="0"/>
              <w:bottom w:val="single" w:color="auto" w:sz="8" w:space="0"/>
              <w:right w:val="single" w:color="auto" w:sz="4" w:space="0"/>
            </w:tcBorders>
            <w:vAlign w:val="center"/>
          </w:tcPr>
          <w:p>
            <w:pPr>
              <w:jc w:val="center"/>
              <w:rPr>
                <w:rFonts w:eastAsiaTheme="minorEastAsia"/>
                <w:sz w:val="21"/>
                <w:szCs w:val="21"/>
              </w:rPr>
            </w:pPr>
            <w:r>
              <w:rPr>
                <w:rFonts w:hint="eastAsia" w:eastAsiaTheme="minorEastAsia"/>
                <w:sz w:val="21"/>
                <w:szCs w:val="21"/>
              </w:rPr>
              <w:t>/</w:t>
            </w:r>
          </w:p>
        </w:tc>
        <w:tc>
          <w:tcPr>
            <w:tcW w:w="1002" w:type="dxa"/>
            <w:tcBorders>
              <w:top w:val="single" w:color="auto" w:sz="4" w:space="0"/>
              <w:left w:val="single" w:color="auto" w:sz="4" w:space="0"/>
              <w:bottom w:val="single" w:color="auto" w:sz="8" w:space="0"/>
              <w:right w:val="single" w:color="auto" w:sz="8" w:space="0"/>
            </w:tcBorders>
            <w:vAlign w:val="center"/>
          </w:tcPr>
          <w:p>
            <w:pPr>
              <w:pStyle w:val="114"/>
              <w:spacing w:before="38" w:after="38"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r>
    </w:tbl>
    <w:p>
      <w:pPr>
        <w:rPr>
          <w:rFonts w:asciiTheme="minorHAnsi" w:hAnsiTheme="minorHAnsi" w:eastAsiaTheme="minorEastAsia" w:cstheme="minorBidi"/>
          <w:sz w:val="21"/>
          <w:szCs w:val="22"/>
        </w:rPr>
      </w:pPr>
    </w:p>
    <w:p>
      <w:pPr>
        <w:pStyle w:val="21"/>
        <w:adjustRightInd w:val="0"/>
        <w:snapToGrid w:val="0"/>
        <w:spacing w:before="0" w:beforeAutospacing="0" w:after="0" w:afterAutospacing="0" w:line="500" w:lineRule="exact"/>
        <w:outlineLvl w:val="0"/>
        <w:rPr>
          <w:color w:val="000000"/>
        </w:rPr>
        <w:sectPr>
          <w:pgSz w:w="16838" w:h="11906" w:orient="landscape"/>
          <w:pgMar w:top="709" w:right="1440" w:bottom="1800" w:left="1440" w:header="851" w:footer="992" w:gutter="0"/>
          <w:pgBorders>
            <w:top w:val="none" w:sz="0" w:space="0"/>
            <w:left w:val="none" w:sz="0" w:space="0"/>
            <w:bottom w:val="none" w:sz="0" w:space="0"/>
            <w:right w:val="none" w:sz="0" w:space="0"/>
          </w:pgBorders>
          <w:cols w:space="425" w:num="1"/>
          <w:docGrid w:type="lines" w:linePitch="381" w:charSpace="0"/>
        </w:sectPr>
      </w:pPr>
    </w:p>
    <w:p>
      <w:pPr>
        <w:pStyle w:val="21"/>
        <w:adjustRightInd w:val="0"/>
        <w:snapToGrid w:val="0"/>
        <w:spacing w:before="0" w:beforeAutospacing="0" w:after="0" w:afterAutospacing="0" w:line="240" w:lineRule="auto"/>
        <w:outlineLvl w:val="0"/>
        <w:rPr>
          <w:rFonts w:hint="eastAsia" w:eastAsia="宋体"/>
          <w:color w:val="000000"/>
          <w:lang w:eastAsia="zh-CN"/>
        </w:rPr>
      </w:pPr>
      <w:r>
        <w:rPr>
          <w:rFonts w:hint="eastAsia" w:eastAsia="宋体"/>
          <w:color w:val="000000"/>
          <w:lang w:eastAsia="zh-CN"/>
        </w:rPr>
        <w:drawing>
          <wp:inline distT="0" distB="0" distL="114300" distR="114300">
            <wp:extent cx="5963920" cy="8207375"/>
            <wp:effectExtent l="0" t="0" r="17780" b="3175"/>
            <wp:docPr id="69" name="图片 69"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003"/>
                    <pic:cNvPicPr>
                      <a:picLocks noChangeAspect="1"/>
                    </pic:cNvPicPr>
                  </pic:nvPicPr>
                  <pic:blipFill>
                    <a:blip r:embed="rId15"/>
                    <a:stretch>
                      <a:fillRect/>
                    </a:stretch>
                  </pic:blipFill>
                  <pic:spPr>
                    <a:xfrm>
                      <a:off x="0" y="0"/>
                      <a:ext cx="5963920" cy="8207375"/>
                    </a:xfrm>
                    <a:prstGeom prst="rect">
                      <a:avLst/>
                    </a:prstGeom>
                  </pic:spPr>
                </pic:pic>
              </a:graphicData>
            </a:graphic>
          </wp:inline>
        </w:drawing>
      </w:r>
      <w:r>
        <w:rPr>
          <w:rFonts w:hint="eastAsia" w:eastAsia="宋体"/>
          <w:color w:val="000000"/>
          <w:lang w:eastAsia="zh-CN"/>
        </w:rPr>
        <w:br w:type="textWrapping"/>
      </w:r>
    </w:p>
    <w:p>
      <w:pPr>
        <w:pStyle w:val="21"/>
        <w:adjustRightInd w:val="0"/>
        <w:snapToGrid w:val="0"/>
        <w:spacing w:before="0" w:beforeAutospacing="0" w:after="0" w:afterAutospacing="0" w:line="240" w:lineRule="auto"/>
        <w:outlineLvl w:val="0"/>
        <w:rPr>
          <w:rFonts w:hint="eastAsia" w:eastAsia="宋体"/>
          <w:color w:val="000000"/>
          <w:lang w:eastAsia="zh-CN"/>
        </w:rPr>
      </w:pPr>
    </w:p>
    <w:p>
      <w:pPr>
        <w:pStyle w:val="21"/>
        <w:adjustRightInd w:val="0"/>
        <w:snapToGrid w:val="0"/>
        <w:spacing w:before="0" w:beforeAutospacing="0" w:after="0" w:afterAutospacing="0" w:line="240" w:lineRule="auto"/>
        <w:outlineLvl w:val="0"/>
        <w:rPr>
          <w:rFonts w:hint="eastAsia" w:eastAsia="宋体"/>
          <w:color w:val="000000"/>
          <w:lang w:eastAsia="zh-CN"/>
        </w:rPr>
      </w:pPr>
    </w:p>
    <w:p>
      <w:pPr>
        <w:pStyle w:val="21"/>
        <w:adjustRightInd w:val="0"/>
        <w:snapToGrid w:val="0"/>
        <w:spacing w:before="0" w:beforeAutospacing="0" w:after="0" w:afterAutospacing="0" w:line="240" w:lineRule="auto"/>
        <w:outlineLvl w:val="0"/>
        <w:rPr>
          <w:rFonts w:hint="eastAsia" w:eastAsia="宋体"/>
          <w:color w:val="000000"/>
          <w:lang w:eastAsia="zh-CN"/>
        </w:rPr>
      </w:pPr>
      <w:r>
        <w:rPr>
          <w:rFonts w:hint="eastAsia" w:eastAsia="宋体"/>
          <w:color w:val="000000"/>
          <w:lang w:eastAsia="zh-CN"/>
        </w:rPr>
        <w:drawing>
          <wp:inline distT="0" distB="0" distL="114300" distR="114300">
            <wp:extent cx="5950585" cy="8339455"/>
            <wp:effectExtent l="0" t="0" r="12065" b="4445"/>
            <wp:docPr id="70" name="图片 70" descr="附件2 备案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附件2 备案证明"/>
                    <pic:cNvPicPr>
                      <a:picLocks noChangeAspect="1"/>
                    </pic:cNvPicPr>
                  </pic:nvPicPr>
                  <pic:blipFill>
                    <a:blip r:embed="rId16"/>
                    <a:stretch>
                      <a:fillRect/>
                    </a:stretch>
                  </pic:blipFill>
                  <pic:spPr>
                    <a:xfrm>
                      <a:off x="0" y="0"/>
                      <a:ext cx="5950585" cy="8339455"/>
                    </a:xfrm>
                    <a:prstGeom prst="rect">
                      <a:avLst/>
                    </a:prstGeom>
                  </pic:spPr>
                </pic:pic>
              </a:graphicData>
            </a:graphic>
          </wp:inline>
        </w:draw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drawing>
          <wp:inline distT="0" distB="0" distL="114300" distR="114300">
            <wp:extent cx="5961380" cy="8199120"/>
            <wp:effectExtent l="0" t="0" r="1270" b="11430"/>
            <wp:docPr id="71" name="图片 71" descr="附件3 租赁协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附件3 租赁协议"/>
                    <pic:cNvPicPr>
                      <a:picLocks noChangeAspect="1"/>
                    </pic:cNvPicPr>
                  </pic:nvPicPr>
                  <pic:blipFill>
                    <a:blip r:embed="rId17"/>
                    <a:stretch>
                      <a:fillRect/>
                    </a:stretch>
                  </pic:blipFill>
                  <pic:spPr>
                    <a:xfrm>
                      <a:off x="0" y="0"/>
                      <a:ext cx="5961380" cy="8199120"/>
                    </a:xfrm>
                    <a:prstGeom prst="rect">
                      <a:avLst/>
                    </a:prstGeom>
                  </pic:spPr>
                </pic:pic>
              </a:graphicData>
            </a:graphic>
          </wp:inline>
        </w:draw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drawing>
          <wp:inline distT="0" distB="0" distL="114300" distR="114300">
            <wp:extent cx="5966460" cy="8173720"/>
            <wp:effectExtent l="0" t="0" r="15240" b="17780"/>
            <wp:docPr id="81" name="图片 81" descr="169880066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698800665672"/>
                    <pic:cNvPicPr>
                      <a:picLocks noChangeAspect="1"/>
                    </pic:cNvPicPr>
                  </pic:nvPicPr>
                  <pic:blipFill>
                    <a:blip r:embed="rId18"/>
                    <a:stretch>
                      <a:fillRect/>
                    </a:stretch>
                  </pic:blipFill>
                  <pic:spPr>
                    <a:xfrm>
                      <a:off x="0" y="0"/>
                      <a:ext cx="5966460" cy="8173720"/>
                    </a:xfrm>
                    <a:prstGeom prst="rect">
                      <a:avLst/>
                    </a:prstGeom>
                  </pic:spPr>
                </pic:pic>
              </a:graphicData>
            </a:graphic>
          </wp:inline>
        </w:drawing>
      </w:r>
      <w:r>
        <w:rPr>
          <w:rFonts w:hint="eastAsia" w:eastAsia="宋体"/>
          <w:color w:val="000000"/>
          <w:lang w:eastAsia="zh-CN"/>
        </w:rPr>
        <w:br w:type="textWrapping"/>
      </w:r>
    </w:p>
    <w:p>
      <w:pPr>
        <w:pStyle w:val="21"/>
        <w:adjustRightInd w:val="0"/>
        <w:snapToGrid w:val="0"/>
        <w:spacing w:before="0" w:beforeAutospacing="0" w:after="0" w:afterAutospacing="0" w:line="240" w:lineRule="auto"/>
        <w:jc w:val="center"/>
        <w:outlineLvl w:val="0"/>
        <w:rPr>
          <w:rFonts w:hint="eastAsia" w:eastAsia="宋体"/>
          <w:color w:val="000000"/>
          <w:lang w:eastAsia="zh-CN"/>
        </w:rPr>
        <w:sectPr>
          <w:pgSz w:w="11906" w:h="16838"/>
          <w:pgMar w:top="1440" w:right="1800" w:bottom="1440" w:left="709" w:header="851" w:footer="992" w:gutter="0"/>
          <w:pgBorders>
            <w:top w:val="none" w:sz="0" w:space="0"/>
            <w:left w:val="none" w:sz="0" w:space="0"/>
            <w:bottom w:val="none" w:sz="0" w:space="0"/>
            <w:right w:val="none" w:sz="0" w:space="0"/>
          </w:pgBorders>
          <w:cols w:space="425" w:num="1"/>
          <w:docGrid w:type="lines" w:linePitch="381" w:charSpace="0"/>
        </w:sectPr>
      </w:pPr>
      <w:r>
        <w:rPr>
          <w:rFonts w:hint="eastAsia"/>
          <w:color w:val="000000"/>
          <w:lang w:val="en-US" w:eastAsia="zh-CN"/>
        </w:rPr>
        <w:t xml:space="preserve">    </w:t>
      </w:r>
      <w:r>
        <w:rPr>
          <w:rFonts w:hint="eastAsia" w:eastAsia="宋体"/>
          <w:color w:val="000000"/>
          <w:lang w:eastAsia="zh-CN"/>
        </w:rPr>
        <w:drawing>
          <wp:inline distT="0" distB="0" distL="114300" distR="114300">
            <wp:extent cx="5961380" cy="8199120"/>
            <wp:effectExtent l="0" t="0" r="1270" b="11430"/>
            <wp:docPr id="82" name="图片 82" descr="附件5 情况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附件5 情况说明"/>
                    <pic:cNvPicPr>
                      <a:picLocks noChangeAspect="1"/>
                    </pic:cNvPicPr>
                  </pic:nvPicPr>
                  <pic:blipFill>
                    <a:blip r:embed="rId19"/>
                    <a:stretch>
                      <a:fillRect/>
                    </a:stretch>
                  </pic:blipFill>
                  <pic:spPr>
                    <a:xfrm>
                      <a:off x="0" y="0"/>
                      <a:ext cx="5961380" cy="8199120"/>
                    </a:xfrm>
                    <a:prstGeom prst="rect">
                      <a:avLst/>
                    </a:prstGeom>
                  </pic:spPr>
                </pic:pic>
              </a:graphicData>
            </a:graphic>
          </wp:inline>
        </w:draw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drawing>
          <wp:inline distT="0" distB="0" distL="114300" distR="114300">
            <wp:extent cx="5966460" cy="3490595"/>
            <wp:effectExtent l="0" t="0" r="15240" b="14605"/>
            <wp:docPr id="83" name="图片 83" descr="附件6  罚款单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附件6  罚款单据"/>
                    <pic:cNvPicPr>
                      <a:picLocks noChangeAspect="1"/>
                    </pic:cNvPicPr>
                  </pic:nvPicPr>
                  <pic:blipFill>
                    <a:blip r:embed="rId20"/>
                    <a:stretch>
                      <a:fillRect/>
                    </a:stretch>
                  </pic:blipFill>
                  <pic:spPr>
                    <a:xfrm>
                      <a:off x="0" y="0"/>
                      <a:ext cx="5966460" cy="3490595"/>
                    </a:xfrm>
                    <a:prstGeom prst="rect">
                      <a:avLst/>
                    </a:prstGeom>
                  </pic:spPr>
                </pic:pic>
              </a:graphicData>
            </a:graphic>
          </wp:inline>
        </w:draw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drawing>
          <wp:inline distT="0" distB="0" distL="114300" distR="114300">
            <wp:extent cx="5964555" cy="8000365"/>
            <wp:effectExtent l="0" t="0" r="17145" b="635"/>
            <wp:docPr id="86" name="图片 86" descr="169880071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698800717047"/>
                    <pic:cNvPicPr>
                      <a:picLocks noChangeAspect="1"/>
                    </pic:cNvPicPr>
                  </pic:nvPicPr>
                  <pic:blipFill>
                    <a:blip r:embed="rId21"/>
                    <a:stretch>
                      <a:fillRect/>
                    </a:stretch>
                  </pic:blipFill>
                  <pic:spPr>
                    <a:xfrm>
                      <a:off x="0" y="0"/>
                      <a:ext cx="5964555" cy="8000365"/>
                    </a:xfrm>
                    <a:prstGeom prst="rect">
                      <a:avLst/>
                    </a:prstGeom>
                  </pic:spPr>
                </pic:pic>
              </a:graphicData>
            </a:graphic>
          </wp:inline>
        </w:draw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drawing>
          <wp:inline distT="0" distB="0" distL="114300" distR="114300">
            <wp:extent cx="5962015" cy="7663180"/>
            <wp:effectExtent l="0" t="0" r="635" b="13970"/>
            <wp:docPr id="91" name="图片 91" descr="169880073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698800733645"/>
                    <pic:cNvPicPr>
                      <a:picLocks noChangeAspect="1"/>
                    </pic:cNvPicPr>
                  </pic:nvPicPr>
                  <pic:blipFill>
                    <a:blip r:embed="rId22"/>
                    <a:stretch>
                      <a:fillRect/>
                    </a:stretch>
                  </pic:blipFill>
                  <pic:spPr>
                    <a:xfrm>
                      <a:off x="0" y="0"/>
                      <a:ext cx="5962015" cy="7663180"/>
                    </a:xfrm>
                    <a:prstGeom prst="rect">
                      <a:avLst/>
                    </a:prstGeom>
                  </pic:spPr>
                </pic:pic>
              </a:graphicData>
            </a:graphic>
          </wp:inline>
        </w:draw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drawing>
          <wp:inline distT="0" distB="0" distL="114300" distR="114300">
            <wp:extent cx="5905500" cy="8039100"/>
            <wp:effectExtent l="0" t="0" r="0" b="0"/>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pic:cNvPicPr>
                      <a:picLocks noChangeAspect="1"/>
                    </pic:cNvPicPr>
                  </pic:nvPicPr>
                  <pic:blipFill>
                    <a:blip r:embed="rId23"/>
                    <a:stretch>
                      <a:fillRect/>
                    </a:stretch>
                  </pic:blipFill>
                  <pic:spPr>
                    <a:xfrm>
                      <a:off x="0" y="0"/>
                      <a:ext cx="5905500" cy="8039100"/>
                    </a:xfrm>
                    <a:prstGeom prst="rect">
                      <a:avLst/>
                    </a:prstGeom>
                    <a:noFill/>
                    <a:ln>
                      <a:noFill/>
                    </a:ln>
                  </pic:spPr>
                </pic:pic>
              </a:graphicData>
            </a:graphic>
          </wp:inline>
        </w:drawing>
      </w:r>
      <w:r>
        <w:br w:type="textWrapping"/>
      </w:r>
      <w:r>
        <w:br w:type="textWrapping"/>
      </w:r>
      <w:r>
        <w:br w:type="textWrapping"/>
      </w:r>
      <w:r>
        <w:br w:type="textWrapping"/>
      </w:r>
      <w:r>
        <w:rPr>
          <w:rFonts w:hint="eastAsia" w:eastAsia="宋体"/>
          <w:color w:val="000000"/>
          <w:lang w:eastAsia="zh-CN"/>
        </w:rPr>
        <w:drawing>
          <wp:inline distT="0" distB="0" distL="114300" distR="114300">
            <wp:extent cx="5962015" cy="8021955"/>
            <wp:effectExtent l="0" t="0" r="635" b="17145"/>
            <wp:docPr id="105" name="图片 105" descr="169880077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1698800771592"/>
                    <pic:cNvPicPr>
                      <a:picLocks noChangeAspect="1"/>
                    </pic:cNvPicPr>
                  </pic:nvPicPr>
                  <pic:blipFill>
                    <a:blip r:embed="rId24"/>
                    <a:stretch>
                      <a:fillRect/>
                    </a:stretch>
                  </pic:blipFill>
                  <pic:spPr>
                    <a:xfrm>
                      <a:off x="0" y="0"/>
                      <a:ext cx="5962015" cy="8021955"/>
                    </a:xfrm>
                    <a:prstGeom prst="rect">
                      <a:avLst/>
                    </a:prstGeom>
                  </pic:spPr>
                </pic:pic>
              </a:graphicData>
            </a:graphic>
          </wp:inline>
        </w:draw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drawing>
          <wp:inline distT="0" distB="0" distL="114300" distR="114300">
            <wp:extent cx="5562600" cy="7848600"/>
            <wp:effectExtent l="0" t="0" r="0" b="0"/>
            <wp:docPr id="106" name="图片 106" descr="169880079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698800793121"/>
                    <pic:cNvPicPr>
                      <a:picLocks noChangeAspect="1"/>
                    </pic:cNvPicPr>
                  </pic:nvPicPr>
                  <pic:blipFill>
                    <a:blip r:embed="rId25"/>
                    <a:stretch>
                      <a:fillRect/>
                    </a:stretch>
                  </pic:blipFill>
                  <pic:spPr>
                    <a:xfrm>
                      <a:off x="0" y="0"/>
                      <a:ext cx="5562600" cy="7848600"/>
                    </a:xfrm>
                    <a:prstGeom prst="rect">
                      <a:avLst/>
                    </a:prstGeom>
                  </pic:spPr>
                </pic:pic>
              </a:graphicData>
            </a:graphic>
          </wp:inline>
        </w:drawing>
      </w:r>
      <w:r>
        <w:rPr>
          <w:rFonts w:hint="eastAsia" w:eastAsia="宋体"/>
          <w:color w:val="000000"/>
          <w:lang w:eastAsia="zh-CN"/>
        </w:rPr>
        <w:br w:type="textWrapping"/>
      </w:r>
      <w:r>
        <w:rPr>
          <w:rFonts w:hint="eastAsia" w:eastAsia="宋体"/>
          <w:color w:val="000000"/>
          <w:lang w:eastAsia="zh-CN"/>
        </w:rPr>
        <w:br w:type="textWrapping"/>
      </w:r>
      <w:r>
        <w:rPr>
          <w:rFonts w:hint="eastAsia" w:eastAsia="宋体"/>
          <w:color w:val="000000"/>
          <w:lang w:eastAsia="zh-CN"/>
        </w:rPr>
        <w:br w:type="textWrapping"/>
      </w:r>
    </w:p>
    <w:p>
      <w:pPr>
        <w:pStyle w:val="21"/>
        <w:adjustRightInd w:val="0"/>
        <w:snapToGrid w:val="0"/>
        <w:spacing w:before="0" w:beforeAutospacing="0" w:after="0" w:afterAutospacing="0" w:line="240" w:lineRule="auto"/>
        <w:outlineLvl w:val="0"/>
        <w:rPr>
          <w:rFonts w:hint="eastAsia" w:eastAsia="宋体"/>
          <w:color w:val="000000"/>
          <w:lang w:eastAsia="zh-CN"/>
        </w:rPr>
      </w:pPr>
      <w:r>
        <w:rPr>
          <w:rFonts w:hint="eastAsia" w:eastAsia="宋体"/>
          <w:color w:val="000000"/>
          <w:lang w:eastAsia="zh-CN"/>
        </w:rPr>
        <w:drawing>
          <wp:inline distT="0" distB="0" distL="114300" distR="114300">
            <wp:extent cx="8401050" cy="5797550"/>
            <wp:effectExtent l="0" t="0" r="0" b="12700"/>
            <wp:docPr id="123" name="图片 123" descr="169880081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698800810875"/>
                    <pic:cNvPicPr>
                      <a:picLocks noChangeAspect="1"/>
                    </pic:cNvPicPr>
                  </pic:nvPicPr>
                  <pic:blipFill>
                    <a:blip r:embed="rId26"/>
                    <a:stretch>
                      <a:fillRect/>
                    </a:stretch>
                  </pic:blipFill>
                  <pic:spPr>
                    <a:xfrm>
                      <a:off x="0" y="0"/>
                      <a:ext cx="8401050" cy="5797550"/>
                    </a:xfrm>
                    <a:prstGeom prst="rect">
                      <a:avLst/>
                    </a:prstGeom>
                  </pic:spPr>
                </pic:pic>
              </a:graphicData>
            </a:graphic>
          </wp:inline>
        </w:drawing>
      </w:r>
      <w:r>
        <w:rPr>
          <w:rFonts w:hint="eastAsia" w:eastAsia="宋体"/>
          <w:color w:val="000000"/>
          <w:lang w:eastAsia="zh-CN"/>
        </w:rPr>
        <w:br w:type="textWrapping"/>
      </w:r>
      <w:r>
        <w:rPr>
          <w:rFonts w:hint="eastAsia" w:eastAsia="宋体"/>
          <w:color w:val="000000"/>
          <w:lang w:eastAsia="zh-CN"/>
        </w:rPr>
        <w:drawing>
          <wp:inline distT="0" distB="0" distL="114300" distR="114300">
            <wp:extent cx="9257665" cy="5984875"/>
            <wp:effectExtent l="0" t="0" r="635" b="15875"/>
            <wp:docPr id="124" name="图片 124" descr="169880083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698800837418"/>
                    <pic:cNvPicPr>
                      <a:picLocks noChangeAspect="1"/>
                    </pic:cNvPicPr>
                  </pic:nvPicPr>
                  <pic:blipFill>
                    <a:blip r:embed="rId27"/>
                    <a:stretch>
                      <a:fillRect/>
                    </a:stretch>
                  </pic:blipFill>
                  <pic:spPr>
                    <a:xfrm>
                      <a:off x="0" y="0"/>
                      <a:ext cx="9257665" cy="5984875"/>
                    </a:xfrm>
                    <a:prstGeom prst="rect">
                      <a:avLst/>
                    </a:prstGeom>
                  </pic:spPr>
                </pic:pic>
              </a:graphicData>
            </a:graphic>
          </wp:inline>
        </w:drawing>
      </w:r>
    </w:p>
    <w:sectPr>
      <w:pgSz w:w="16838" w:h="11906" w:orient="landscape"/>
      <w:pgMar w:top="709" w:right="1440" w:bottom="1800" w:left="1440" w:header="851" w:footer="992" w:gutter="0"/>
      <w:pgBorders>
        <w:top w:val="none" w:sz="0" w:space="0"/>
        <w:left w:val="none" w:sz="0" w:space="0"/>
        <w:bottom w:val="none" w:sz="0" w:space="0"/>
        <w:right w:val="none" w:sz="0" w:space="0"/>
      </w:pgBorders>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PHQc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Dzx0HMQIAAGU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C85626"/>
    <w:multiLevelType w:val="singleLevel"/>
    <w:tmpl w:val="E2C85626"/>
    <w:lvl w:ilvl="0" w:tentative="0">
      <w:start w:val="1"/>
      <w:numFmt w:val="decimal"/>
      <w:suff w:val="nothing"/>
      <w:lvlText w:val="%1、"/>
      <w:lvlJc w:val="left"/>
    </w:lvl>
  </w:abstractNum>
  <w:abstractNum w:abstractNumId="1">
    <w:nsid w:val="F0B85524"/>
    <w:multiLevelType w:val="singleLevel"/>
    <w:tmpl w:val="F0B85524"/>
    <w:lvl w:ilvl="0" w:tentative="0">
      <w:start w:val="1"/>
      <w:numFmt w:val="decimal"/>
      <w:suff w:val="nothing"/>
      <w:lvlText w:val="%1、"/>
      <w:lvlJc w:val="left"/>
    </w:lvl>
  </w:abstractNum>
  <w:abstractNum w:abstractNumId="2">
    <w:nsid w:val="28941411"/>
    <w:multiLevelType w:val="singleLevel"/>
    <w:tmpl w:val="28941411"/>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hideSpellingError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ZjEyMjMwZjc0OWJkOTU3NDMxYTEwYTY3NTFiZTMifQ=="/>
  </w:docVars>
  <w:rsids>
    <w:rsidRoot w:val="00DE19B9"/>
    <w:rsid w:val="0000040A"/>
    <w:rsid w:val="000028BD"/>
    <w:rsid w:val="00002D92"/>
    <w:rsid w:val="00003148"/>
    <w:rsid w:val="00003280"/>
    <w:rsid w:val="000038A6"/>
    <w:rsid w:val="00003E76"/>
    <w:rsid w:val="00004499"/>
    <w:rsid w:val="00005DB6"/>
    <w:rsid w:val="00006197"/>
    <w:rsid w:val="0000651A"/>
    <w:rsid w:val="00010D6A"/>
    <w:rsid w:val="00010E70"/>
    <w:rsid w:val="00012CB4"/>
    <w:rsid w:val="00012FDF"/>
    <w:rsid w:val="000133C8"/>
    <w:rsid w:val="000135E8"/>
    <w:rsid w:val="000144DB"/>
    <w:rsid w:val="00015DE2"/>
    <w:rsid w:val="0001669A"/>
    <w:rsid w:val="000174C0"/>
    <w:rsid w:val="00021778"/>
    <w:rsid w:val="00021909"/>
    <w:rsid w:val="000222AA"/>
    <w:rsid w:val="00022A8E"/>
    <w:rsid w:val="000235A6"/>
    <w:rsid w:val="0002400D"/>
    <w:rsid w:val="000245BE"/>
    <w:rsid w:val="00024DDF"/>
    <w:rsid w:val="00027526"/>
    <w:rsid w:val="0003054F"/>
    <w:rsid w:val="0003121F"/>
    <w:rsid w:val="000318A9"/>
    <w:rsid w:val="00032793"/>
    <w:rsid w:val="00033F6F"/>
    <w:rsid w:val="00034AC1"/>
    <w:rsid w:val="000353B4"/>
    <w:rsid w:val="000359A3"/>
    <w:rsid w:val="00035E95"/>
    <w:rsid w:val="00035F6E"/>
    <w:rsid w:val="000364B3"/>
    <w:rsid w:val="00037729"/>
    <w:rsid w:val="00043099"/>
    <w:rsid w:val="000434E0"/>
    <w:rsid w:val="00044EDE"/>
    <w:rsid w:val="00045883"/>
    <w:rsid w:val="000458BD"/>
    <w:rsid w:val="00046B26"/>
    <w:rsid w:val="00047718"/>
    <w:rsid w:val="00047DF0"/>
    <w:rsid w:val="0005196A"/>
    <w:rsid w:val="000520E0"/>
    <w:rsid w:val="000524F5"/>
    <w:rsid w:val="000539FF"/>
    <w:rsid w:val="00053F89"/>
    <w:rsid w:val="000543E7"/>
    <w:rsid w:val="00054DC0"/>
    <w:rsid w:val="00054FE7"/>
    <w:rsid w:val="00055271"/>
    <w:rsid w:val="0005553F"/>
    <w:rsid w:val="000560DC"/>
    <w:rsid w:val="00056982"/>
    <w:rsid w:val="000570BC"/>
    <w:rsid w:val="0005789F"/>
    <w:rsid w:val="0005790C"/>
    <w:rsid w:val="00057A1A"/>
    <w:rsid w:val="00057FA9"/>
    <w:rsid w:val="00060011"/>
    <w:rsid w:val="00060A10"/>
    <w:rsid w:val="00060EF6"/>
    <w:rsid w:val="00066F26"/>
    <w:rsid w:val="00067280"/>
    <w:rsid w:val="00072D1F"/>
    <w:rsid w:val="00074717"/>
    <w:rsid w:val="00074AE8"/>
    <w:rsid w:val="000758F7"/>
    <w:rsid w:val="00076199"/>
    <w:rsid w:val="000764DC"/>
    <w:rsid w:val="00082EE7"/>
    <w:rsid w:val="0008390F"/>
    <w:rsid w:val="00083F00"/>
    <w:rsid w:val="00084E30"/>
    <w:rsid w:val="00085D60"/>
    <w:rsid w:val="0008628C"/>
    <w:rsid w:val="000872BD"/>
    <w:rsid w:val="0009082E"/>
    <w:rsid w:val="00091475"/>
    <w:rsid w:val="000915A9"/>
    <w:rsid w:val="00091CC1"/>
    <w:rsid w:val="000941F1"/>
    <w:rsid w:val="0009480F"/>
    <w:rsid w:val="00094A3E"/>
    <w:rsid w:val="00094C97"/>
    <w:rsid w:val="00095418"/>
    <w:rsid w:val="00097214"/>
    <w:rsid w:val="000A04B7"/>
    <w:rsid w:val="000A0619"/>
    <w:rsid w:val="000A4095"/>
    <w:rsid w:val="000A4AF7"/>
    <w:rsid w:val="000A4B69"/>
    <w:rsid w:val="000A51A7"/>
    <w:rsid w:val="000A55ED"/>
    <w:rsid w:val="000A5711"/>
    <w:rsid w:val="000A678F"/>
    <w:rsid w:val="000A6A9F"/>
    <w:rsid w:val="000A6E19"/>
    <w:rsid w:val="000A7318"/>
    <w:rsid w:val="000B0CA8"/>
    <w:rsid w:val="000B0D2A"/>
    <w:rsid w:val="000B1DC5"/>
    <w:rsid w:val="000B309D"/>
    <w:rsid w:val="000B3FEF"/>
    <w:rsid w:val="000B4E92"/>
    <w:rsid w:val="000B50BE"/>
    <w:rsid w:val="000B50D1"/>
    <w:rsid w:val="000B584A"/>
    <w:rsid w:val="000B59FF"/>
    <w:rsid w:val="000B5E28"/>
    <w:rsid w:val="000C04AE"/>
    <w:rsid w:val="000C0718"/>
    <w:rsid w:val="000C0932"/>
    <w:rsid w:val="000C09F4"/>
    <w:rsid w:val="000C0AF7"/>
    <w:rsid w:val="000C0D41"/>
    <w:rsid w:val="000C161E"/>
    <w:rsid w:val="000C18C6"/>
    <w:rsid w:val="000C236D"/>
    <w:rsid w:val="000C4270"/>
    <w:rsid w:val="000C535A"/>
    <w:rsid w:val="000C6B75"/>
    <w:rsid w:val="000C7ED1"/>
    <w:rsid w:val="000D009A"/>
    <w:rsid w:val="000D04B6"/>
    <w:rsid w:val="000D1293"/>
    <w:rsid w:val="000D5848"/>
    <w:rsid w:val="000D5B96"/>
    <w:rsid w:val="000D6179"/>
    <w:rsid w:val="000D725A"/>
    <w:rsid w:val="000D7ABE"/>
    <w:rsid w:val="000E15F9"/>
    <w:rsid w:val="000E286D"/>
    <w:rsid w:val="000E335D"/>
    <w:rsid w:val="000E3F81"/>
    <w:rsid w:val="000E5242"/>
    <w:rsid w:val="000E5C56"/>
    <w:rsid w:val="000E6337"/>
    <w:rsid w:val="000E6FC5"/>
    <w:rsid w:val="000E70EC"/>
    <w:rsid w:val="000F0966"/>
    <w:rsid w:val="000F1635"/>
    <w:rsid w:val="000F2746"/>
    <w:rsid w:val="000F3849"/>
    <w:rsid w:val="000F3BF3"/>
    <w:rsid w:val="000F5503"/>
    <w:rsid w:val="000F7300"/>
    <w:rsid w:val="000F7CCF"/>
    <w:rsid w:val="00100281"/>
    <w:rsid w:val="00100E44"/>
    <w:rsid w:val="0010121C"/>
    <w:rsid w:val="00101366"/>
    <w:rsid w:val="00102721"/>
    <w:rsid w:val="0010337D"/>
    <w:rsid w:val="00105E3B"/>
    <w:rsid w:val="00106392"/>
    <w:rsid w:val="00107347"/>
    <w:rsid w:val="00107CF3"/>
    <w:rsid w:val="00112424"/>
    <w:rsid w:val="00113D23"/>
    <w:rsid w:val="00114A4A"/>
    <w:rsid w:val="00114B42"/>
    <w:rsid w:val="00114FCD"/>
    <w:rsid w:val="00115D7C"/>
    <w:rsid w:val="0011674F"/>
    <w:rsid w:val="0011792C"/>
    <w:rsid w:val="00121688"/>
    <w:rsid w:val="0012270A"/>
    <w:rsid w:val="00123B91"/>
    <w:rsid w:val="00124DFD"/>
    <w:rsid w:val="00125B67"/>
    <w:rsid w:val="00125D23"/>
    <w:rsid w:val="00126055"/>
    <w:rsid w:val="00126CB5"/>
    <w:rsid w:val="00126D67"/>
    <w:rsid w:val="00127164"/>
    <w:rsid w:val="001310CA"/>
    <w:rsid w:val="0013135A"/>
    <w:rsid w:val="001319DB"/>
    <w:rsid w:val="0013212D"/>
    <w:rsid w:val="00132935"/>
    <w:rsid w:val="00133A67"/>
    <w:rsid w:val="00133B96"/>
    <w:rsid w:val="0013461D"/>
    <w:rsid w:val="00136891"/>
    <w:rsid w:val="00136AB1"/>
    <w:rsid w:val="001415CE"/>
    <w:rsid w:val="00141F87"/>
    <w:rsid w:val="00142585"/>
    <w:rsid w:val="00144F7E"/>
    <w:rsid w:val="001452F5"/>
    <w:rsid w:val="00145FAB"/>
    <w:rsid w:val="0014639E"/>
    <w:rsid w:val="00150AA4"/>
    <w:rsid w:val="001513B1"/>
    <w:rsid w:val="0015140E"/>
    <w:rsid w:val="00152299"/>
    <w:rsid w:val="00152629"/>
    <w:rsid w:val="001526F8"/>
    <w:rsid w:val="00155827"/>
    <w:rsid w:val="00155BC7"/>
    <w:rsid w:val="00155C33"/>
    <w:rsid w:val="00160F6C"/>
    <w:rsid w:val="00161129"/>
    <w:rsid w:val="0016174F"/>
    <w:rsid w:val="00162F2C"/>
    <w:rsid w:val="001639AA"/>
    <w:rsid w:val="00164666"/>
    <w:rsid w:val="00164FF7"/>
    <w:rsid w:val="00167C77"/>
    <w:rsid w:val="00170951"/>
    <w:rsid w:val="00170C65"/>
    <w:rsid w:val="00170C8C"/>
    <w:rsid w:val="00170E19"/>
    <w:rsid w:val="00170E30"/>
    <w:rsid w:val="00170FB1"/>
    <w:rsid w:val="0017308E"/>
    <w:rsid w:val="00173375"/>
    <w:rsid w:val="00173E85"/>
    <w:rsid w:val="001740DE"/>
    <w:rsid w:val="00175A9B"/>
    <w:rsid w:val="00177B2B"/>
    <w:rsid w:val="00177E9B"/>
    <w:rsid w:val="00180EAC"/>
    <w:rsid w:val="00181EC4"/>
    <w:rsid w:val="0018286C"/>
    <w:rsid w:val="00183042"/>
    <w:rsid w:val="00186633"/>
    <w:rsid w:val="00186FD6"/>
    <w:rsid w:val="001873F7"/>
    <w:rsid w:val="00187D65"/>
    <w:rsid w:val="00190E3E"/>
    <w:rsid w:val="00190F30"/>
    <w:rsid w:val="00191834"/>
    <w:rsid w:val="0019195B"/>
    <w:rsid w:val="0019258A"/>
    <w:rsid w:val="00192A79"/>
    <w:rsid w:val="001932A4"/>
    <w:rsid w:val="00193C79"/>
    <w:rsid w:val="00194639"/>
    <w:rsid w:val="001A0FAE"/>
    <w:rsid w:val="001A1A13"/>
    <w:rsid w:val="001A205E"/>
    <w:rsid w:val="001A279F"/>
    <w:rsid w:val="001A4323"/>
    <w:rsid w:val="001A53E7"/>
    <w:rsid w:val="001A6897"/>
    <w:rsid w:val="001B0185"/>
    <w:rsid w:val="001B4E64"/>
    <w:rsid w:val="001B5C3F"/>
    <w:rsid w:val="001B638B"/>
    <w:rsid w:val="001B74D6"/>
    <w:rsid w:val="001B75CB"/>
    <w:rsid w:val="001B7D37"/>
    <w:rsid w:val="001C0183"/>
    <w:rsid w:val="001C0F41"/>
    <w:rsid w:val="001C29FA"/>
    <w:rsid w:val="001C4C2E"/>
    <w:rsid w:val="001C57EC"/>
    <w:rsid w:val="001C646A"/>
    <w:rsid w:val="001C7C71"/>
    <w:rsid w:val="001C7DBD"/>
    <w:rsid w:val="001D0591"/>
    <w:rsid w:val="001D078A"/>
    <w:rsid w:val="001D3157"/>
    <w:rsid w:val="001D34D6"/>
    <w:rsid w:val="001D39AC"/>
    <w:rsid w:val="001D55C7"/>
    <w:rsid w:val="001D6BCA"/>
    <w:rsid w:val="001D74CA"/>
    <w:rsid w:val="001E06DA"/>
    <w:rsid w:val="001E1747"/>
    <w:rsid w:val="001E20E9"/>
    <w:rsid w:val="001E27AB"/>
    <w:rsid w:val="001E345D"/>
    <w:rsid w:val="001E5298"/>
    <w:rsid w:val="001E5536"/>
    <w:rsid w:val="001F0178"/>
    <w:rsid w:val="001F04E0"/>
    <w:rsid w:val="001F1CAE"/>
    <w:rsid w:val="001F323F"/>
    <w:rsid w:val="001F4172"/>
    <w:rsid w:val="001F4990"/>
    <w:rsid w:val="001F5A4F"/>
    <w:rsid w:val="001F5AA1"/>
    <w:rsid w:val="001F66F6"/>
    <w:rsid w:val="0020253A"/>
    <w:rsid w:val="002031CC"/>
    <w:rsid w:val="002036B9"/>
    <w:rsid w:val="00203B4E"/>
    <w:rsid w:val="0020486F"/>
    <w:rsid w:val="00204D9F"/>
    <w:rsid w:val="00204E68"/>
    <w:rsid w:val="00206111"/>
    <w:rsid w:val="00206379"/>
    <w:rsid w:val="00206B4B"/>
    <w:rsid w:val="002112BC"/>
    <w:rsid w:val="00211FB5"/>
    <w:rsid w:val="00215C79"/>
    <w:rsid w:val="0021644A"/>
    <w:rsid w:val="002173C2"/>
    <w:rsid w:val="00217E68"/>
    <w:rsid w:val="00217FF0"/>
    <w:rsid w:val="00220FC5"/>
    <w:rsid w:val="0022171B"/>
    <w:rsid w:val="00222C13"/>
    <w:rsid w:val="002252B6"/>
    <w:rsid w:val="002254C4"/>
    <w:rsid w:val="00225A20"/>
    <w:rsid w:val="002306D4"/>
    <w:rsid w:val="00232776"/>
    <w:rsid w:val="002351B8"/>
    <w:rsid w:val="00240A3E"/>
    <w:rsid w:val="00241140"/>
    <w:rsid w:val="002414F5"/>
    <w:rsid w:val="002419CF"/>
    <w:rsid w:val="00241BA2"/>
    <w:rsid w:val="00241EBB"/>
    <w:rsid w:val="00242855"/>
    <w:rsid w:val="00243405"/>
    <w:rsid w:val="00243F8A"/>
    <w:rsid w:val="00244A0F"/>
    <w:rsid w:val="00245EDF"/>
    <w:rsid w:val="0024640D"/>
    <w:rsid w:val="00246DB2"/>
    <w:rsid w:val="0024778B"/>
    <w:rsid w:val="00250A3F"/>
    <w:rsid w:val="002516BE"/>
    <w:rsid w:val="0025177B"/>
    <w:rsid w:val="00252B54"/>
    <w:rsid w:val="002578F7"/>
    <w:rsid w:val="00257A27"/>
    <w:rsid w:val="00260191"/>
    <w:rsid w:val="00260868"/>
    <w:rsid w:val="00262ECE"/>
    <w:rsid w:val="002630DD"/>
    <w:rsid w:val="00266E89"/>
    <w:rsid w:val="00267C82"/>
    <w:rsid w:val="00267EBE"/>
    <w:rsid w:val="00270409"/>
    <w:rsid w:val="00273A96"/>
    <w:rsid w:val="00273EF4"/>
    <w:rsid w:val="00275579"/>
    <w:rsid w:val="00276586"/>
    <w:rsid w:val="00277009"/>
    <w:rsid w:val="0027706C"/>
    <w:rsid w:val="002806DB"/>
    <w:rsid w:val="002815FD"/>
    <w:rsid w:val="00281842"/>
    <w:rsid w:val="00281B7E"/>
    <w:rsid w:val="00282892"/>
    <w:rsid w:val="002848D1"/>
    <w:rsid w:val="00285DD1"/>
    <w:rsid w:val="002861C1"/>
    <w:rsid w:val="002864C0"/>
    <w:rsid w:val="00290675"/>
    <w:rsid w:val="002909AC"/>
    <w:rsid w:val="002915E9"/>
    <w:rsid w:val="002917C1"/>
    <w:rsid w:val="0029224A"/>
    <w:rsid w:val="0029267C"/>
    <w:rsid w:val="00294F65"/>
    <w:rsid w:val="0029685C"/>
    <w:rsid w:val="002971F1"/>
    <w:rsid w:val="00297584"/>
    <w:rsid w:val="002A0099"/>
    <w:rsid w:val="002A0217"/>
    <w:rsid w:val="002A0551"/>
    <w:rsid w:val="002A10A2"/>
    <w:rsid w:val="002A2422"/>
    <w:rsid w:val="002A254C"/>
    <w:rsid w:val="002A257D"/>
    <w:rsid w:val="002A4424"/>
    <w:rsid w:val="002A4DD6"/>
    <w:rsid w:val="002A4DF6"/>
    <w:rsid w:val="002A6480"/>
    <w:rsid w:val="002A7598"/>
    <w:rsid w:val="002B05C5"/>
    <w:rsid w:val="002B0915"/>
    <w:rsid w:val="002B0F1F"/>
    <w:rsid w:val="002B2DD7"/>
    <w:rsid w:val="002B44CF"/>
    <w:rsid w:val="002B592D"/>
    <w:rsid w:val="002B5B5A"/>
    <w:rsid w:val="002B70CE"/>
    <w:rsid w:val="002B7B82"/>
    <w:rsid w:val="002C0398"/>
    <w:rsid w:val="002C07FE"/>
    <w:rsid w:val="002C0B35"/>
    <w:rsid w:val="002C0CC5"/>
    <w:rsid w:val="002C0FB6"/>
    <w:rsid w:val="002C1B1E"/>
    <w:rsid w:val="002C27A2"/>
    <w:rsid w:val="002C3269"/>
    <w:rsid w:val="002C4732"/>
    <w:rsid w:val="002C5F38"/>
    <w:rsid w:val="002C6404"/>
    <w:rsid w:val="002C676F"/>
    <w:rsid w:val="002C6B9C"/>
    <w:rsid w:val="002C713D"/>
    <w:rsid w:val="002C7C11"/>
    <w:rsid w:val="002C7EAC"/>
    <w:rsid w:val="002D074D"/>
    <w:rsid w:val="002D0754"/>
    <w:rsid w:val="002D079C"/>
    <w:rsid w:val="002D0A34"/>
    <w:rsid w:val="002D23BF"/>
    <w:rsid w:val="002D2F55"/>
    <w:rsid w:val="002D33C6"/>
    <w:rsid w:val="002D5C30"/>
    <w:rsid w:val="002E07FC"/>
    <w:rsid w:val="002E2C60"/>
    <w:rsid w:val="002E3DA8"/>
    <w:rsid w:val="002E4520"/>
    <w:rsid w:val="002E4683"/>
    <w:rsid w:val="002E4C9A"/>
    <w:rsid w:val="002E4EF7"/>
    <w:rsid w:val="002E4F78"/>
    <w:rsid w:val="002E577A"/>
    <w:rsid w:val="002E7528"/>
    <w:rsid w:val="002E7880"/>
    <w:rsid w:val="002E7D5E"/>
    <w:rsid w:val="002F01E2"/>
    <w:rsid w:val="002F02F2"/>
    <w:rsid w:val="002F0CF4"/>
    <w:rsid w:val="002F22DD"/>
    <w:rsid w:val="002F33AE"/>
    <w:rsid w:val="002F50E1"/>
    <w:rsid w:val="002F7175"/>
    <w:rsid w:val="00301C44"/>
    <w:rsid w:val="0030224A"/>
    <w:rsid w:val="003028B7"/>
    <w:rsid w:val="00305401"/>
    <w:rsid w:val="00305715"/>
    <w:rsid w:val="00306002"/>
    <w:rsid w:val="00306FF1"/>
    <w:rsid w:val="003074E8"/>
    <w:rsid w:val="00307B98"/>
    <w:rsid w:val="00313E73"/>
    <w:rsid w:val="00314D7B"/>
    <w:rsid w:val="00315AED"/>
    <w:rsid w:val="00316E0F"/>
    <w:rsid w:val="00316F1F"/>
    <w:rsid w:val="00317BAA"/>
    <w:rsid w:val="00317CB7"/>
    <w:rsid w:val="003201F1"/>
    <w:rsid w:val="003205CE"/>
    <w:rsid w:val="003230BC"/>
    <w:rsid w:val="003240CC"/>
    <w:rsid w:val="00327282"/>
    <w:rsid w:val="00327690"/>
    <w:rsid w:val="00327A5C"/>
    <w:rsid w:val="00330735"/>
    <w:rsid w:val="00330D6B"/>
    <w:rsid w:val="00332C2B"/>
    <w:rsid w:val="00334298"/>
    <w:rsid w:val="0033516A"/>
    <w:rsid w:val="003353B1"/>
    <w:rsid w:val="0033740D"/>
    <w:rsid w:val="00340CA2"/>
    <w:rsid w:val="00340EFC"/>
    <w:rsid w:val="0034164E"/>
    <w:rsid w:val="00342E01"/>
    <w:rsid w:val="003459F9"/>
    <w:rsid w:val="00346052"/>
    <w:rsid w:val="0034607F"/>
    <w:rsid w:val="0034661D"/>
    <w:rsid w:val="00347817"/>
    <w:rsid w:val="00347E25"/>
    <w:rsid w:val="00350808"/>
    <w:rsid w:val="003512B0"/>
    <w:rsid w:val="003513D6"/>
    <w:rsid w:val="00354A4B"/>
    <w:rsid w:val="00355C96"/>
    <w:rsid w:val="0035635C"/>
    <w:rsid w:val="003567AD"/>
    <w:rsid w:val="00356F52"/>
    <w:rsid w:val="003570C1"/>
    <w:rsid w:val="003570E8"/>
    <w:rsid w:val="00357351"/>
    <w:rsid w:val="003625DC"/>
    <w:rsid w:val="00364070"/>
    <w:rsid w:val="003640B6"/>
    <w:rsid w:val="00365517"/>
    <w:rsid w:val="003658B3"/>
    <w:rsid w:val="0036751C"/>
    <w:rsid w:val="003712C2"/>
    <w:rsid w:val="00371A9E"/>
    <w:rsid w:val="003740E9"/>
    <w:rsid w:val="0037460F"/>
    <w:rsid w:val="00375536"/>
    <w:rsid w:val="00375DA2"/>
    <w:rsid w:val="00375F08"/>
    <w:rsid w:val="00377421"/>
    <w:rsid w:val="0038206C"/>
    <w:rsid w:val="00382287"/>
    <w:rsid w:val="00383E5D"/>
    <w:rsid w:val="00385227"/>
    <w:rsid w:val="00385A44"/>
    <w:rsid w:val="003861A0"/>
    <w:rsid w:val="0038663F"/>
    <w:rsid w:val="00386BA5"/>
    <w:rsid w:val="00386CA1"/>
    <w:rsid w:val="00387164"/>
    <w:rsid w:val="00390D10"/>
    <w:rsid w:val="00392AD6"/>
    <w:rsid w:val="003940F4"/>
    <w:rsid w:val="0039478A"/>
    <w:rsid w:val="003952E8"/>
    <w:rsid w:val="0039533A"/>
    <w:rsid w:val="003954A4"/>
    <w:rsid w:val="0039558D"/>
    <w:rsid w:val="003960CA"/>
    <w:rsid w:val="003964A2"/>
    <w:rsid w:val="0039684F"/>
    <w:rsid w:val="00397639"/>
    <w:rsid w:val="003A229B"/>
    <w:rsid w:val="003A2590"/>
    <w:rsid w:val="003A290B"/>
    <w:rsid w:val="003A2922"/>
    <w:rsid w:val="003A2A1C"/>
    <w:rsid w:val="003A398B"/>
    <w:rsid w:val="003A4AE1"/>
    <w:rsid w:val="003A5BA4"/>
    <w:rsid w:val="003A5FCC"/>
    <w:rsid w:val="003A65FD"/>
    <w:rsid w:val="003A6B55"/>
    <w:rsid w:val="003A6BE3"/>
    <w:rsid w:val="003A76BD"/>
    <w:rsid w:val="003B17F3"/>
    <w:rsid w:val="003B1EDB"/>
    <w:rsid w:val="003B1FA9"/>
    <w:rsid w:val="003B215A"/>
    <w:rsid w:val="003B22D8"/>
    <w:rsid w:val="003B30D6"/>
    <w:rsid w:val="003B4273"/>
    <w:rsid w:val="003B42B8"/>
    <w:rsid w:val="003B4835"/>
    <w:rsid w:val="003B5157"/>
    <w:rsid w:val="003C0DB8"/>
    <w:rsid w:val="003C1FCC"/>
    <w:rsid w:val="003C2381"/>
    <w:rsid w:val="003C286C"/>
    <w:rsid w:val="003C2B44"/>
    <w:rsid w:val="003C2F30"/>
    <w:rsid w:val="003C4A9B"/>
    <w:rsid w:val="003C5B70"/>
    <w:rsid w:val="003C61B8"/>
    <w:rsid w:val="003C6A08"/>
    <w:rsid w:val="003D0F71"/>
    <w:rsid w:val="003D10AF"/>
    <w:rsid w:val="003D1385"/>
    <w:rsid w:val="003D1525"/>
    <w:rsid w:val="003D1AB3"/>
    <w:rsid w:val="003D1CFF"/>
    <w:rsid w:val="003D4A48"/>
    <w:rsid w:val="003D4D3F"/>
    <w:rsid w:val="003D52C5"/>
    <w:rsid w:val="003D530E"/>
    <w:rsid w:val="003D6A5E"/>
    <w:rsid w:val="003D7519"/>
    <w:rsid w:val="003E24E4"/>
    <w:rsid w:val="003E313E"/>
    <w:rsid w:val="003E361E"/>
    <w:rsid w:val="003E4626"/>
    <w:rsid w:val="003E55BA"/>
    <w:rsid w:val="003E586F"/>
    <w:rsid w:val="003E60D2"/>
    <w:rsid w:val="003E6156"/>
    <w:rsid w:val="003E6436"/>
    <w:rsid w:val="003E7E9C"/>
    <w:rsid w:val="003F1630"/>
    <w:rsid w:val="003F2274"/>
    <w:rsid w:val="003F33FD"/>
    <w:rsid w:val="003F34C3"/>
    <w:rsid w:val="003F49EA"/>
    <w:rsid w:val="003F7E3C"/>
    <w:rsid w:val="003F7F24"/>
    <w:rsid w:val="004002FF"/>
    <w:rsid w:val="004013B3"/>
    <w:rsid w:val="0040197B"/>
    <w:rsid w:val="00403673"/>
    <w:rsid w:val="00403B9F"/>
    <w:rsid w:val="00404872"/>
    <w:rsid w:val="00404A15"/>
    <w:rsid w:val="004052E7"/>
    <w:rsid w:val="0041093A"/>
    <w:rsid w:val="00410F05"/>
    <w:rsid w:val="00411011"/>
    <w:rsid w:val="0041136C"/>
    <w:rsid w:val="00412C61"/>
    <w:rsid w:val="00413BD6"/>
    <w:rsid w:val="004158A2"/>
    <w:rsid w:val="00417121"/>
    <w:rsid w:val="004173FD"/>
    <w:rsid w:val="00417E39"/>
    <w:rsid w:val="00422027"/>
    <w:rsid w:val="004227B9"/>
    <w:rsid w:val="004235A2"/>
    <w:rsid w:val="00423674"/>
    <w:rsid w:val="00424A5B"/>
    <w:rsid w:val="004258FF"/>
    <w:rsid w:val="00425C38"/>
    <w:rsid w:val="00426B16"/>
    <w:rsid w:val="00430338"/>
    <w:rsid w:val="0043047C"/>
    <w:rsid w:val="00430871"/>
    <w:rsid w:val="00430CEA"/>
    <w:rsid w:val="00432306"/>
    <w:rsid w:val="004333BC"/>
    <w:rsid w:val="00433539"/>
    <w:rsid w:val="004335ED"/>
    <w:rsid w:val="004341AE"/>
    <w:rsid w:val="00434217"/>
    <w:rsid w:val="00435630"/>
    <w:rsid w:val="004357A9"/>
    <w:rsid w:val="00437422"/>
    <w:rsid w:val="00437575"/>
    <w:rsid w:val="00440D86"/>
    <w:rsid w:val="0044230F"/>
    <w:rsid w:val="004446E0"/>
    <w:rsid w:val="0044528F"/>
    <w:rsid w:val="004453B8"/>
    <w:rsid w:val="0044543A"/>
    <w:rsid w:val="004461CF"/>
    <w:rsid w:val="00446368"/>
    <w:rsid w:val="00446A76"/>
    <w:rsid w:val="0044712D"/>
    <w:rsid w:val="0045076F"/>
    <w:rsid w:val="00450A21"/>
    <w:rsid w:val="00450ADF"/>
    <w:rsid w:val="00451EF6"/>
    <w:rsid w:val="00452398"/>
    <w:rsid w:val="004544BC"/>
    <w:rsid w:val="004558C1"/>
    <w:rsid w:val="00456B07"/>
    <w:rsid w:val="0045750D"/>
    <w:rsid w:val="0046034B"/>
    <w:rsid w:val="00460EEF"/>
    <w:rsid w:val="004611C2"/>
    <w:rsid w:val="004619DC"/>
    <w:rsid w:val="00462263"/>
    <w:rsid w:val="004633B7"/>
    <w:rsid w:val="00467BBA"/>
    <w:rsid w:val="0047033A"/>
    <w:rsid w:val="00470648"/>
    <w:rsid w:val="00470FA8"/>
    <w:rsid w:val="00471C03"/>
    <w:rsid w:val="00472300"/>
    <w:rsid w:val="004752B6"/>
    <w:rsid w:val="004766C6"/>
    <w:rsid w:val="0047692F"/>
    <w:rsid w:val="004771EE"/>
    <w:rsid w:val="004804CA"/>
    <w:rsid w:val="00480CFB"/>
    <w:rsid w:val="00481173"/>
    <w:rsid w:val="0048138F"/>
    <w:rsid w:val="004826B1"/>
    <w:rsid w:val="00483FB1"/>
    <w:rsid w:val="00484014"/>
    <w:rsid w:val="00484634"/>
    <w:rsid w:val="0048485D"/>
    <w:rsid w:val="0048538C"/>
    <w:rsid w:val="00485936"/>
    <w:rsid w:val="00487D87"/>
    <w:rsid w:val="0049069C"/>
    <w:rsid w:val="00491515"/>
    <w:rsid w:val="00494BE9"/>
    <w:rsid w:val="00494CD2"/>
    <w:rsid w:val="00497005"/>
    <w:rsid w:val="004970AD"/>
    <w:rsid w:val="00497BFE"/>
    <w:rsid w:val="004A07A7"/>
    <w:rsid w:val="004A0ADF"/>
    <w:rsid w:val="004A12B8"/>
    <w:rsid w:val="004A16AE"/>
    <w:rsid w:val="004A283B"/>
    <w:rsid w:val="004A46FF"/>
    <w:rsid w:val="004B099B"/>
    <w:rsid w:val="004B0B7D"/>
    <w:rsid w:val="004B14C3"/>
    <w:rsid w:val="004B2862"/>
    <w:rsid w:val="004B2B49"/>
    <w:rsid w:val="004B3197"/>
    <w:rsid w:val="004B49B0"/>
    <w:rsid w:val="004B4BF6"/>
    <w:rsid w:val="004B58BA"/>
    <w:rsid w:val="004B5C19"/>
    <w:rsid w:val="004B5CBF"/>
    <w:rsid w:val="004B67CE"/>
    <w:rsid w:val="004C0058"/>
    <w:rsid w:val="004C116F"/>
    <w:rsid w:val="004C131E"/>
    <w:rsid w:val="004C3193"/>
    <w:rsid w:val="004C42AA"/>
    <w:rsid w:val="004C4968"/>
    <w:rsid w:val="004C4980"/>
    <w:rsid w:val="004C5326"/>
    <w:rsid w:val="004C588A"/>
    <w:rsid w:val="004C5E6D"/>
    <w:rsid w:val="004C63E5"/>
    <w:rsid w:val="004C6A25"/>
    <w:rsid w:val="004C6ED5"/>
    <w:rsid w:val="004C7092"/>
    <w:rsid w:val="004D0D7C"/>
    <w:rsid w:val="004D0E7A"/>
    <w:rsid w:val="004D0EE4"/>
    <w:rsid w:val="004D378E"/>
    <w:rsid w:val="004D39F5"/>
    <w:rsid w:val="004D45D6"/>
    <w:rsid w:val="004D4A1A"/>
    <w:rsid w:val="004D56B6"/>
    <w:rsid w:val="004D5893"/>
    <w:rsid w:val="004D5B2D"/>
    <w:rsid w:val="004D61F2"/>
    <w:rsid w:val="004D77E3"/>
    <w:rsid w:val="004D7B67"/>
    <w:rsid w:val="004E010D"/>
    <w:rsid w:val="004E06CB"/>
    <w:rsid w:val="004E0C66"/>
    <w:rsid w:val="004E1152"/>
    <w:rsid w:val="004E20D6"/>
    <w:rsid w:val="004E26E3"/>
    <w:rsid w:val="004E2FB9"/>
    <w:rsid w:val="004E2FDE"/>
    <w:rsid w:val="004E3D1C"/>
    <w:rsid w:val="004E4702"/>
    <w:rsid w:val="004E4F96"/>
    <w:rsid w:val="004E515C"/>
    <w:rsid w:val="004E5AE5"/>
    <w:rsid w:val="004E5B9A"/>
    <w:rsid w:val="004E6170"/>
    <w:rsid w:val="004E6F42"/>
    <w:rsid w:val="004F08D4"/>
    <w:rsid w:val="004F2821"/>
    <w:rsid w:val="004F393F"/>
    <w:rsid w:val="004F5C09"/>
    <w:rsid w:val="004F66D4"/>
    <w:rsid w:val="004F69F1"/>
    <w:rsid w:val="004F7751"/>
    <w:rsid w:val="004F797E"/>
    <w:rsid w:val="00500ACC"/>
    <w:rsid w:val="005015F6"/>
    <w:rsid w:val="00504895"/>
    <w:rsid w:val="00504B9E"/>
    <w:rsid w:val="00505A26"/>
    <w:rsid w:val="00505A40"/>
    <w:rsid w:val="005101BD"/>
    <w:rsid w:val="00510C8D"/>
    <w:rsid w:val="00511185"/>
    <w:rsid w:val="00511452"/>
    <w:rsid w:val="0051188A"/>
    <w:rsid w:val="00511D3C"/>
    <w:rsid w:val="0051367F"/>
    <w:rsid w:val="00513BFB"/>
    <w:rsid w:val="005140AE"/>
    <w:rsid w:val="0051451E"/>
    <w:rsid w:val="00521356"/>
    <w:rsid w:val="005227E8"/>
    <w:rsid w:val="00522CD2"/>
    <w:rsid w:val="00524DB4"/>
    <w:rsid w:val="005258EB"/>
    <w:rsid w:val="005265AB"/>
    <w:rsid w:val="00526F34"/>
    <w:rsid w:val="005276EC"/>
    <w:rsid w:val="00531C0E"/>
    <w:rsid w:val="00534610"/>
    <w:rsid w:val="00534CF4"/>
    <w:rsid w:val="005359E9"/>
    <w:rsid w:val="00535DFD"/>
    <w:rsid w:val="005371E3"/>
    <w:rsid w:val="00537CD1"/>
    <w:rsid w:val="005410D0"/>
    <w:rsid w:val="00542509"/>
    <w:rsid w:val="00542818"/>
    <w:rsid w:val="00543AE0"/>
    <w:rsid w:val="00544345"/>
    <w:rsid w:val="00544D01"/>
    <w:rsid w:val="005456C6"/>
    <w:rsid w:val="0054681C"/>
    <w:rsid w:val="00547EDB"/>
    <w:rsid w:val="00550214"/>
    <w:rsid w:val="00551B80"/>
    <w:rsid w:val="00551F37"/>
    <w:rsid w:val="005544FB"/>
    <w:rsid w:val="00554588"/>
    <w:rsid w:val="00554891"/>
    <w:rsid w:val="00554EE0"/>
    <w:rsid w:val="00555542"/>
    <w:rsid w:val="00560D63"/>
    <w:rsid w:val="005637F2"/>
    <w:rsid w:val="00563A91"/>
    <w:rsid w:val="005700CA"/>
    <w:rsid w:val="005719AE"/>
    <w:rsid w:val="00571AAF"/>
    <w:rsid w:val="00572424"/>
    <w:rsid w:val="0057274D"/>
    <w:rsid w:val="00574634"/>
    <w:rsid w:val="00574A30"/>
    <w:rsid w:val="00574D0C"/>
    <w:rsid w:val="00575A8E"/>
    <w:rsid w:val="00575E8E"/>
    <w:rsid w:val="00576297"/>
    <w:rsid w:val="00577155"/>
    <w:rsid w:val="00577E04"/>
    <w:rsid w:val="005808D1"/>
    <w:rsid w:val="00580970"/>
    <w:rsid w:val="00580C29"/>
    <w:rsid w:val="005814A4"/>
    <w:rsid w:val="00586812"/>
    <w:rsid w:val="00586D76"/>
    <w:rsid w:val="0058762B"/>
    <w:rsid w:val="00592471"/>
    <w:rsid w:val="00592A71"/>
    <w:rsid w:val="00593DC7"/>
    <w:rsid w:val="005944B6"/>
    <w:rsid w:val="005A2BB0"/>
    <w:rsid w:val="005A39FF"/>
    <w:rsid w:val="005A4A90"/>
    <w:rsid w:val="005A6A8F"/>
    <w:rsid w:val="005B0AC5"/>
    <w:rsid w:val="005B2B16"/>
    <w:rsid w:val="005B31E0"/>
    <w:rsid w:val="005B330E"/>
    <w:rsid w:val="005B5935"/>
    <w:rsid w:val="005B6A9E"/>
    <w:rsid w:val="005B7B4F"/>
    <w:rsid w:val="005C181A"/>
    <w:rsid w:val="005C3FD0"/>
    <w:rsid w:val="005C510A"/>
    <w:rsid w:val="005C5371"/>
    <w:rsid w:val="005C68D9"/>
    <w:rsid w:val="005C7291"/>
    <w:rsid w:val="005C7AAA"/>
    <w:rsid w:val="005C7DC5"/>
    <w:rsid w:val="005D1428"/>
    <w:rsid w:val="005D17FF"/>
    <w:rsid w:val="005D3148"/>
    <w:rsid w:val="005D3C7B"/>
    <w:rsid w:val="005D472F"/>
    <w:rsid w:val="005D7361"/>
    <w:rsid w:val="005E0840"/>
    <w:rsid w:val="005E0923"/>
    <w:rsid w:val="005E2B24"/>
    <w:rsid w:val="005E3F7F"/>
    <w:rsid w:val="005E4470"/>
    <w:rsid w:val="005E56E9"/>
    <w:rsid w:val="005E5F99"/>
    <w:rsid w:val="005E6DCE"/>
    <w:rsid w:val="005E7125"/>
    <w:rsid w:val="005F1AEB"/>
    <w:rsid w:val="005F1B72"/>
    <w:rsid w:val="005F27E5"/>
    <w:rsid w:val="005F2836"/>
    <w:rsid w:val="005F4EC9"/>
    <w:rsid w:val="005F4ECA"/>
    <w:rsid w:val="005F57C8"/>
    <w:rsid w:val="005F6270"/>
    <w:rsid w:val="005F6B17"/>
    <w:rsid w:val="0060010A"/>
    <w:rsid w:val="00601F74"/>
    <w:rsid w:val="00602F08"/>
    <w:rsid w:val="006114D5"/>
    <w:rsid w:val="006118FE"/>
    <w:rsid w:val="0061217E"/>
    <w:rsid w:val="006121C0"/>
    <w:rsid w:val="0061268E"/>
    <w:rsid w:val="00612D74"/>
    <w:rsid w:val="006148BB"/>
    <w:rsid w:val="00614DF9"/>
    <w:rsid w:val="00615836"/>
    <w:rsid w:val="00615C74"/>
    <w:rsid w:val="00616C10"/>
    <w:rsid w:val="00620204"/>
    <w:rsid w:val="006205E6"/>
    <w:rsid w:val="006209BF"/>
    <w:rsid w:val="00620AF3"/>
    <w:rsid w:val="006237BA"/>
    <w:rsid w:val="00623925"/>
    <w:rsid w:val="00623D19"/>
    <w:rsid w:val="00626126"/>
    <w:rsid w:val="00626388"/>
    <w:rsid w:val="006264B5"/>
    <w:rsid w:val="00626D58"/>
    <w:rsid w:val="0062711E"/>
    <w:rsid w:val="00631187"/>
    <w:rsid w:val="006315E3"/>
    <w:rsid w:val="006316E4"/>
    <w:rsid w:val="00631E5A"/>
    <w:rsid w:val="0063253A"/>
    <w:rsid w:val="006325B8"/>
    <w:rsid w:val="006328BB"/>
    <w:rsid w:val="00632942"/>
    <w:rsid w:val="006331BC"/>
    <w:rsid w:val="006334D1"/>
    <w:rsid w:val="00635707"/>
    <w:rsid w:val="00637F48"/>
    <w:rsid w:val="00640F97"/>
    <w:rsid w:val="0064119A"/>
    <w:rsid w:val="00644242"/>
    <w:rsid w:val="00645DB5"/>
    <w:rsid w:val="006462DC"/>
    <w:rsid w:val="006467F7"/>
    <w:rsid w:val="006468DB"/>
    <w:rsid w:val="00646999"/>
    <w:rsid w:val="006475E2"/>
    <w:rsid w:val="0065061A"/>
    <w:rsid w:val="006535D0"/>
    <w:rsid w:val="00653D5F"/>
    <w:rsid w:val="00653DA4"/>
    <w:rsid w:val="00654281"/>
    <w:rsid w:val="00654373"/>
    <w:rsid w:val="00654B5A"/>
    <w:rsid w:val="006550D7"/>
    <w:rsid w:val="006562EC"/>
    <w:rsid w:val="0065631A"/>
    <w:rsid w:val="00656A7B"/>
    <w:rsid w:val="00661532"/>
    <w:rsid w:val="00662F41"/>
    <w:rsid w:val="006647BC"/>
    <w:rsid w:val="0066751E"/>
    <w:rsid w:val="00670285"/>
    <w:rsid w:val="006713DC"/>
    <w:rsid w:val="00672B6E"/>
    <w:rsid w:val="006730A0"/>
    <w:rsid w:val="00674E5D"/>
    <w:rsid w:val="006758CF"/>
    <w:rsid w:val="006763CB"/>
    <w:rsid w:val="00680241"/>
    <w:rsid w:val="006812CA"/>
    <w:rsid w:val="00681BBB"/>
    <w:rsid w:val="00682C73"/>
    <w:rsid w:val="006841A7"/>
    <w:rsid w:val="00684A93"/>
    <w:rsid w:val="00684C9C"/>
    <w:rsid w:val="0068589D"/>
    <w:rsid w:val="00685DE4"/>
    <w:rsid w:val="006876BF"/>
    <w:rsid w:val="006879CA"/>
    <w:rsid w:val="00691370"/>
    <w:rsid w:val="00692308"/>
    <w:rsid w:val="00692C66"/>
    <w:rsid w:val="0069342A"/>
    <w:rsid w:val="0069411E"/>
    <w:rsid w:val="006956A3"/>
    <w:rsid w:val="00696222"/>
    <w:rsid w:val="006964D7"/>
    <w:rsid w:val="0069662E"/>
    <w:rsid w:val="00697672"/>
    <w:rsid w:val="006A0D24"/>
    <w:rsid w:val="006A15BD"/>
    <w:rsid w:val="006A21B3"/>
    <w:rsid w:val="006A4E62"/>
    <w:rsid w:val="006A71E2"/>
    <w:rsid w:val="006B09E4"/>
    <w:rsid w:val="006B23FF"/>
    <w:rsid w:val="006B2E50"/>
    <w:rsid w:val="006B2EDF"/>
    <w:rsid w:val="006B2EE2"/>
    <w:rsid w:val="006B55EB"/>
    <w:rsid w:val="006B59F8"/>
    <w:rsid w:val="006B6AE7"/>
    <w:rsid w:val="006C004D"/>
    <w:rsid w:val="006C1BB9"/>
    <w:rsid w:val="006C2075"/>
    <w:rsid w:val="006C28A4"/>
    <w:rsid w:val="006C2AE9"/>
    <w:rsid w:val="006C446F"/>
    <w:rsid w:val="006C4DDF"/>
    <w:rsid w:val="006C5234"/>
    <w:rsid w:val="006C672A"/>
    <w:rsid w:val="006C6A38"/>
    <w:rsid w:val="006C7AFD"/>
    <w:rsid w:val="006D025A"/>
    <w:rsid w:val="006D0F29"/>
    <w:rsid w:val="006D1C98"/>
    <w:rsid w:val="006D2B53"/>
    <w:rsid w:val="006D44A7"/>
    <w:rsid w:val="006D4521"/>
    <w:rsid w:val="006D51E7"/>
    <w:rsid w:val="006D5C62"/>
    <w:rsid w:val="006D78BE"/>
    <w:rsid w:val="006D791B"/>
    <w:rsid w:val="006E1A78"/>
    <w:rsid w:val="006E3F28"/>
    <w:rsid w:val="006E3F8E"/>
    <w:rsid w:val="006E50D0"/>
    <w:rsid w:val="006E5346"/>
    <w:rsid w:val="006E5EDD"/>
    <w:rsid w:val="006E6318"/>
    <w:rsid w:val="006E6B55"/>
    <w:rsid w:val="006F00E5"/>
    <w:rsid w:val="006F149D"/>
    <w:rsid w:val="006F2EDD"/>
    <w:rsid w:val="006F34D0"/>
    <w:rsid w:val="006F3FDA"/>
    <w:rsid w:val="006F4F75"/>
    <w:rsid w:val="006F7712"/>
    <w:rsid w:val="006F78C8"/>
    <w:rsid w:val="007008E6"/>
    <w:rsid w:val="007009C0"/>
    <w:rsid w:val="00700ACD"/>
    <w:rsid w:val="00700C56"/>
    <w:rsid w:val="00701387"/>
    <w:rsid w:val="0070156E"/>
    <w:rsid w:val="00702598"/>
    <w:rsid w:val="00703146"/>
    <w:rsid w:val="0070440C"/>
    <w:rsid w:val="00704ACA"/>
    <w:rsid w:val="00704C09"/>
    <w:rsid w:val="00705841"/>
    <w:rsid w:val="007058A2"/>
    <w:rsid w:val="00705D73"/>
    <w:rsid w:val="00706EED"/>
    <w:rsid w:val="00706F97"/>
    <w:rsid w:val="00706FC8"/>
    <w:rsid w:val="00707D9F"/>
    <w:rsid w:val="00711860"/>
    <w:rsid w:val="00712576"/>
    <w:rsid w:val="00715C0D"/>
    <w:rsid w:val="007162B7"/>
    <w:rsid w:val="00721A29"/>
    <w:rsid w:val="0072332B"/>
    <w:rsid w:val="00723BBB"/>
    <w:rsid w:val="00723CB0"/>
    <w:rsid w:val="00724409"/>
    <w:rsid w:val="007246D7"/>
    <w:rsid w:val="007271BD"/>
    <w:rsid w:val="00727B1A"/>
    <w:rsid w:val="00727C92"/>
    <w:rsid w:val="00727FE3"/>
    <w:rsid w:val="00730198"/>
    <w:rsid w:val="00730FCC"/>
    <w:rsid w:val="007316BB"/>
    <w:rsid w:val="00732500"/>
    <w:rsid w:val="00732E99"/>
    <w:rsid w:val="0073312A"/>
    <w:rsid w:val="00733C27"/>
    <w:rsid w:val="007354B7"/>
    <w:rsid w:val="007365C5"/>
    <w:rsid w:val="007401B2"/>
    <w:rsid w:val="007402EB"/>
    <w:rsid w:val="00740305"/>
    <w:rsid w:val="007404E3"/>
    <w:rsid w:val="00740E04"/>
    <w:rsid w:val="007412AC"/>
    <w:rsid w:val="0074239E"/>
    <w:rsid w:val="00743317"/>
    <w:rsid w:val="007438C1"/>
    <w:rsid w:val="00743DB2"/>
    <w:rsid w:val="0074536D"/>
    <w:rsid w:val="00745EAC"/>
    <w:rsid w:val="007466F0"/>
    <w:rsid w:val="00747916"/>
    <w:rsid w:val="00750C41"/>
    <w:rsid w:val="007517F1"/>
    <w:rsid w:val="007518E9"/>
    <w:rsid w:val="0075196D"/>
    <w:rsid w:val="00752DCC"/>
    <w:rsid w:val="00753F58"/>
    <w:rsid w:val="0075434B"/>
    <w:rsid w:val="007575F1"/>
    <w:rsid w:val="00761149"/>
    <w:rsid w:val="00761A6A"/>
    <w:rsid w:val="00761BF5"/>
    <w:rsid w:val="007632FE"/>
    <w:rsid w:val="00764538"/>
    <w:rsid w:val="0076563C"/>
    <w:rsid w:val="00765691"/>
    <w:rsid w:val="0076671F"/>
    <w:rsid w:val="00766A74"/>
    <w:rsid w:val="00767FB5"/>
    <w:rsid w:val="00770EE4"/>
    <w:rsid w:val="00771F15"/>
    <w:rsid w:val="00773D3D"/>
    <w:rsid w:val="00774A70"/>
    <w:rsid w:val="00776F22"/>
    <w:rsid w:val="007771BE"/>
    <w:rsid w:val="00777FDA"/>
    <w:rsid w:val="007802E1"/>
    <w:rsid w:val="0078362D"/>
    <w:rsid w:val="00784441"/>
    <w:rsid w:val="00784C9C"/>
    <w:rsid w:val="00785799"/>
    <w:rsid w:val="00786646"/>
    <w:rsid w:val="007866C7"/>
    <w:rsid w:val="007868A2"/>
    <w:rsid w:val="00786C94"/>
    <w:rsid w:val="0078768E"/>
    <w:rsid w:val="007879D1"/>
    <w:rsid w:val="007901E4"/>
    <w:rsid w:val="00791459"/>
    <w:rsid w:val="007924B6"/>
    <w:rsid w:val="00792965"/>
    <w:rsid w:val="007951ED"/>
    <w:rsid w:val="007958E3"/>
    <w:rsid w:val="0079777F"/>
    <w:rsid w:val="007978BB"/>
    <w:rsid w:val="00797F8C"/>
    <w:rsid w:val="007A0A94"/>
    <w:rsid w:val="007A1B55"/>
    <w:rsid w:val="007A2204"/>
    <w:rsid w:val="007A2377"/>
    <w:rsid w:val="007A2CAA"/>
    <w:rsid w:val="007A373D"/>
    <w:rsid w:val="007A3F23"/>
    <w:rsid w:val="007A5837"/>
    <w:rsid w:val="007A6E0F"/>
    <w:rsid w:val="007A6F98"/>
    <w:rsid w:val="007A7CE2"/>
    <w:rsid w:val="007A7DE4"/>
    <w:rsid w:val="007B0362"/>
    <w:rsid w:val="007B0B23"/>
    <w:rsid w:val="007B1A3A"/>
    <w:rsid w:val="007B2263"/>
    <w:rsid w:val="007B3C09"/>
    <w:rsid w:val="007B5962"/>
    <w:rsid w:val="007B6CD3"/>
    <w:rsid w:val="007B6D6C"/>
    <w:rsid w:val="007B7BCA"/>
    <w:rsid w:val="007C0EB1"/>
    <w:rsid w:val="007C0F4F"/>
    <w:rsid w:val="007C3E29"/>
    <w:rsid w:val="007C4E2A"/>
    <w:rsid w:val="007C4F29"/>
    <w:rsid w:val="007C4F5E"/>
    <w:rsid w:val="007C5DD3"/>
    <w:rsid w:val="007C69A0"/>
    <w:rsid w:val="007C717F"/>
    <w:rsid w:val="007D14A9"/>
    <w:rsid w:val="007D157A"/>
    <w:rsid w:val="007D1FA8"/>
    <w:rsid w:val="007D2231"/>
    <w:rsid w:val="007D2E00"/>
    <w:rsid w:val="007D2F0E"/>
    <w:rsid w:val="007D4176"/>
    <w:rsid w:val="007D45FC"/>
    <w:rsid w:val="007D4670"/>
    <w:rsid w:val="007D585E"/>
    <w:rsid w:val="007D7E30"/>
    <w:rsid w:val="007E0183"/>
    <w:rsid w:val="007E0287"/>
    <w:rsid w:val="007E29C4"/>
    <w:rsid w:val="007E2B41"/>
    <w:rsid w:val="007E3753"/>
    <w:rsid w:val="007E6BAE"/>
    <w:rsid w:val="007E6E1D"/>
    <w:rsid w:val="007E7194"/>
    <w:rsid w:val="007E7373"/>
    <w:rsid w:val="007E7B49"/>
    <w:rsid w:val="007F1512"/>
    <w:rsid w:val="007F156D"/>
    <w:rsid w:val="007F1691"/>
    <w:rsid w:val="007F1A53"/>
    <w:rsid w:val="007F1A94"/>
    <w:rsid w:val="007F1F3F"/>
    <w:rsid w:val="007F56AF"/>
    <w:rsid w:val="007F5CAD"/>
    <w:rsid w:val="007F637B"/>
    <w:rsid w:val="007F659F"/>
    <w:rsid w:val="007F65F4"/>
    <w:rsid w:val="007F6695"/>
    <w:rsid w:val="007F7626"/>
    <w:rsid w:val="007F79C1"/>
    <w:rsid w:val="00801BBC"/>
    <w:rsid w:val="0080285F"/>
    <w:rsid w:val="00803FDA"/>
    <w:rsid w:val="00804D96"/>
    <w:rsid w:val="0081015B"/>
    <w:rsid w:val="00810F00"/>
    <w:rsid w:val="00812370"/>
    <w:rsid w:val="00812C24"/>
    <w:rsid w:val="00812DA6"/>
    <w:rsid w:val="00812DA7"/>
    <w:rsid w:val="00813D7A"/>
    <w:rsid w:val="00814BE5"/>
    <w:rsid w:val="00815861"/>
    <w:rsid w:val="00817AC7"/>
    <w:rsid w:val="00820B4F"/>
    <w:rsid w:val="00821710"/>
    <w:rsid w:val="00821B55"/>
    <w:rsid w:val="00823491"/>
    <w:rsid w:val="008238AA"/>
    <w:rsid w:val="0082401D"/>
    <w:rsid w:val="00824511"/>
    <w:rsid w:val="00824EAD"/>
    <w:rsid w:val="00825BD3"/>
    <w:rsid w:val="008267FC"/>
    <w:rsid w:val="00827708"/>
    <w:rsid w:val="00827A42"/>
    <w:rsid w:val="00831A8F"/>
    <w:rsid w:val="00831D54"/>
    <w:rsid w:val="00833059"/>
    <w:rsid w:val="008337D1"/>
    <w:rsid w:val="00833B39"/>
    <w:rsid w:val="00834348"/>
    <w:rsid w:val="00834ED1"/>
    <w:rsid w:val="00835A90"/>
    <w:rsid w:val="00835D53"/>
    <w:rsid w:val="00840753"/>
    <w:rsid w:val="00841CDB"/>
    <w:rsid w:val="00842033"/>
    <w:rsid w:val="00842C6C"/>
    <w:rsid w:val="00843633"/>
    <w:rsid w:val="00845067"/>
    <w:rsid w:val="0084563E"/>
    <w:rsid w:val="00846B2A"/>
    <w:rsid w:val="00846C5F"/>
    <w:rsid w:val="00846F4A"/>
    <w:rsid w:val="008471EF"/>
    <w:rsid w:val="008475A6"/>
    <w:rsid w:val="008479CB"/>
    <w:rsid w:val="008509CB"/>
    <w:rsid w:val="00851541"/>
    <w:rsid w:val="00852992"/>
    <w:rsid w:val="00855B4D"/>
    <w:rsid w:val="00857456"/>
    <w:rsid w:val="008605B9"/>
    <w:rsid w:val="00862C7F"/>
    <w:rsid w:val="00862E57"/>
    <w:rsid w:val="0086350C"/>
    <w:rsid w:val="008646EF"/>
    <w:rsid w:val="00866C42"/>
    <w:rsid w:val="00866CA4"/>
    <w:rsid w:val="00867FA7"/>
    <w:rsid w:val="00872168"/>
    <w:rsid w:val="00873945"/>
    <w:rsid w:val="0087711F"/>
    <w:rsid w:val="00877ADB"/>
    <w:rsid w:val="00877FAC"/>
    <w:rsid w:val="00880864"/>
    <w:rsid w:val="00882825"/>
    <w:rsid w:val="008832BE"/>
    <w:rsid w:val="008836A8"/>
    <w:rsid w:val="008848FE"/>
    <w:rsid w:val="008856A4"/>
    <w:rsid w:val="0088752B"/>
    <w:rsid w:val="00890279"/>
    <w:rsid w:val="00890E8A"/>
    <w:rsid w:val="0089109A"/>
    <w:rsid w:val="008916C1"/>
    <w:rsid w:val="00891A1D"/>
    <w:rsid w:val="008921AD"/>
    <w:rsid w:val="00892C57"/>
    <w:rsid w:val="00893336"/>
    <w:rsid w:val="00894D13"/>
    <w:rsid w:val="00896512"/>
    <w:rsid w:val="00897B01"/>
    <w:rsid w:val="00897F5D"/>
    <w:rsid w:val="008A22F1"/>
    <w:rsid w:val="008A2505"/>
    <w:rsid w:val="008A2E54"/>
    <w:rsid w:val="008A4E68"/>
    <w:rsid w:val="008A6044"/>
    <w:rsid w:val="008B04ED"/>
    <w:rsid w:val="008B087B"/>
    <w:rsid w:val="008B0C71"/>
    <w:rsid w:val="008B0F81"/>
    <w:rsid w:val="008B1645"/>
    <w:rsid w:val="008B18CA"/>
    <w:rsid w:val="008B2A19"/>
    <w:rsid w:val="008B3020"/>
    <w:rsid w:val="008B3FF5"/>
    <w:rsid w:val="008B4B12"/>
    <w:rsid w:val="008B612F"/>
    <w:rsid w:val="008B66CA"/>
    <w:rsid w:val="008B6E8E"/>
    <w:rsid w:val="008B718F"/>
    <w:rsid w:val="008C1329"/>
    <w:rsid w:val="008C1CBE"/>
    <w:rsid w:val="008C2016"/>
    <w:rsid w:val="008C247C"/>
    <w:rsid w:val="008C25F3"/>
    <w:rsid w:val="008C2F37"/>
    <w:rsid w:val="008C34EB"/>
    <w:rsid w:val="008C3593"/>
    <w:rsid w:val="008C5B05"/>
    <w:rsid w:val="008C6605"/>
    <w:rsid w:val="008C67C3"/>
    <w:rsid w:val="008C6980"/>
    <w:rsid w:val="008C7234"/>
    <w:rsid w:val="008C7C45"/>
    <w:rsid w:val="008C7F07"/>
    <w:rsid w:val="008D0EC8"/>
    <w:rsid w:val="008D1CA3"/>
    <w:rsid w:val="008D24DF"/>
    <w:rsid w:val="008D2C77"/>
    <w:rsid w:val="008D2C8C"/>
    <w:rsid w:val="008D3108"/>
    <w:rsid w:val="008D354D"/>
    <w:rsid w:val="008D474D"/>
    <w:rsid w:val="008D73F4"/>
    <w:rsid w:val="008D7664"/>
    <w:rsid w:val="008D798E"/>
    <w:rsid w:val="008D79DA"/>
    <w:rsid w:val="008E1200"/>
    <w:rsid w:val="008E2E4C"/>
    <w:rsid w:val="008E36B5"/>
    <w:rsid w:val="008E3851"/>
    <w:rsid w:val="008E421D"/>
    <w:rsid w:val="008E4353"/>
    <w:rsid w:val="008E4718"/>
    <w:rsid w:val="008F0EB0"/>
    <w:rsid w:val="008F151A"/>
    <w:rsid w:val="008F2028"/>
    <w:rsid w:val="008F3169"/>
    <w:rsid w:val="008F464B"/>
    <w:rsid w:val="008F467A"/>
    <w:rsid w:val="008F4717"/>
    <w:rsid w:val="008F56E5"/>
    <w:rsid w:val="008F5E5E"/>
    <w:rsid w:val="008F7B4B"/>
    <w:rsid w:val="00901848"/>
    <w:rsid w:val="009019E4"/>
    <w:rsid w:val="00902D27"/>
    <w:rsid w:val="00902F2A"/>
    <w:rsid w:val="00903094"/>
    <w:rsid w:val="009040BD"/>
    <w:rsid w:val="0090458D"/>
    <w:rsid w:val="00904B00"/>
    <w:rsid w:val="00904D68"/>
    <w:rsid w:val="00904D74"/>
    <w:rsid w:val="0090567D"/>
    <w:rsid w:val="0090596D"/>
    <w:rsid w:val="0091055A"/>
    <w:rsid w:val="0091475A"/>
    <w:rsid w:val="00914B77"/>
    <w:rsid w:val="00914E59"/>
    <w:rsid w:val="00915FA9"/>
    <w:rsid w:val="00916EBA"/>
    <w:rsid w:val="00917874"/>
    <w:rsid w:val="00917D23"/>
    <w:rsid w:val="00922BD6"/>
    <w:rsid w:val="0092307A"/>
    <w:rsid w:val="009232E9"/>
    <w:rsid w:val="0092349E"/>
    <w:rsid w:val="00923612"/>
    <w:rsid w:val="009245C4"/>
    <w:rsid w:val="009248BC"/>
    <w:rsid w:val="00925D6D"/>
    <w:rsid w:val="00926E72"/>
    <w:rsid w:val="00927508"/>
    <w:rsid w:val="00927C4D"/>
    <w:rsid w:val="009301C2"/>
    <w:rsid w:val="00930D1D"/>
    <w:rsid w:val="0093115A"/>
    <w:rsid w:val="0093252C"/>
    <w:rsid w:val="009333C6"/>
    <w:rsid w:val="00933769"/>
    <w:rsid w:val="009342E2"/>
    <w:rsid w:val="009343B4"/>
    <w:rsid w:val="00935B5E"/>
    <w:rsid w:val="009372FF"/>
    <w:rsid w:val="00937848"/>
    <w:rsid w:val="0094018A"/>
    <w:rsid w:val="0094056E"/>
    <w:rsid w:val="009425F8"/>
    <w:rsid w:val="0094281D"/>
    <w:rsid w:val="009433FF"/>
    <w:rsid w:val="00943C87"/>
    <w:rsid w:val="00944A89"/>
    <w:rsid w:val="00944D1D"/>
    <w:rsid w:val="009456EF"/>
    <w:rsid w:val="00946278"/>
    <w:rsid w:val="00946E0D"/>
    <w:rsid w:val="00947AB9"/>
    <w:rsid w:val="00947FCE"/>
    <w:rsid w:val="00950712"/>
    <w:rsid w:val="00950BE6"/>
    <w:rsid w:val="009513B6"/>
    <w:rsid w:val="00951FA1"/>
    <w:rsid w:val="009541C2"/>
    <w:rsid w:val="00954608"/>
    <w:rsid w:val="009556E3"/>
    <w:rsid w:val="0095680D"/>
    <w:rsid w:val="00956B61"/>
    <w:rsid w:val="00957FA8"/>
    <w:rsid w:val="0096077D"/>
    <w:rsid w:val="00961941"/>
    <w:rsid w:val="00962628"/>
    <w:rsid w:val="00962734"/>
    <w:rsid w:val="00963B6C"/>
    <w:rsid w:val="00964BD9"/>
    <w:rsid w:val="00964D23"/>
    <w:rsid w:val="00965B9C"/>
    <w:rsid w:val="009662D8"/>
    <w:rsid w:val="00966436"/>
    <w:rsid w:val="00967913"/>
    <w:rsid w:val="00967A02"/>
    <w:rsid w:val="00970619"/>
    <w:rsid w:val="00972D19"/>
    <w:rsid w:val="009737CC"/>
    <w:rsid w:val="009738BB"/>
    <w:rsid w:val="00974A53"/>
    <w:rsid w:val="00975109"/>
    <w:rsid w:val="00977E28"/>
    <w:rsid w:val="00981252"/>
    <w:rsid w:val="00981405"/>
    <w:rsid w:val="00982A2F"/>
    <w:rsid w:val="009830EA"/>
    <w:rsid w:val="009857B9"/>
    <w:rsid w:val="00986981"/>
    <w:rsid w:val="009903B5"/>
    <w:rsid w:val="00990B6F"/>
    <w:rsid w:val="009914D6"/>
    <w:rsid w:val="00991F91"/>
    <w:rsid w:val="00992608"/>
    <w:rsid w:val="009939E0"/>
    <w:rsid w:val="009A1DFE"/>
    <w:rsid w:val="009A1F51"/>
    <w:rsid w:val="009A2735"/>
    <w:rsid w:val="009A2EB4"/>
    <w:rsid w:val="009A3C83"/>
    <w:rsid w:val="009A45C6"/>
    <w:rsid w:val="009A47D8"/>
    <w:rsid w:val="009A5525"/>
    <w:rsid w:val="009B02C2"/>
    <w:rsid w:val="009B06F4"/>
    <w:rsid w:val="009B0B64"/>
    <w:rsid w:val="009B1372"/>
    <w:rsid w:val="009B3201"/>
    <w:rsid w:val="009B3F16"/>
    <w:rsid w:val="009B5555"/>
    <w:rsid w:val="009B603A"/>
    <w:rsid w:val="009B6322"/>
    <w:rsid w:val="009B702D"/>
    <w:rsid w:val="009C0351"/>
    <w:rsid w:val="009C0C04"/>
    <w:rsid w:val="009C211B"/>
    <w:rsid w:val="009C278C"/>
    <w:rsid w:val="009C3328"/>
    <w:rsid w:val="009C3A45"/>
    <w:rsid w:val="009C5524"/>
    <w:rsid w:val="009C65D9"/>
    <w:rsid w:val="009D04AB"/>
    <w:rsid w:val="009D0FE2"/>
    <w:rsid w:val="009D2CD9"/>
    <w:rsid w:val="009D2F01"/>
    <w:rsid w:val="009D34BC"/>
    <w:rsid w:val="009D39A8"/>
    <w:rsid w:val="009D4015"/>
    <w:rsid w:val="009D40D9"/>
    <w:rsid w:val="009D5E8B"/>
    <w:rsid w:val="009D614E"/>
    <w:rsid w:val="009D67C6"/>
    <w:rsid w:val="009D7621"/>
    <w:rsid w:val="009D778B"/>
    <w:rsid w:val="009E045F"/>
    <w:rsid w:val="009E09DE"/>
    <w:rsid w:val="009E117C"/>
    <w:rsid w:val="009E1594"/>
    <w:rsid w:val="009E203D"/>
    <w:rsid w:val="009E348F"/>
    <w:rsid w:val="009E36B6"/>
    <w:rsid w:val="009E546C"/>
    <w:rsid w:val="009E6227"/>
    <w:rsid w:val="009F02AE"/>
    <w:rsid w:val="009F05CF"/>
    <w:rsid w:val="009F197A"/>
    <w:rsid w:val="009F2AEA"/>
    <w:rsid w:val="009F48EA"/>
    <w:rsid w:val="009F5202"/>
    <w:rsid w:val="009F526D"/>
    <w:rsid w:val="009F5270"/>
    <w:rsid w:val="009F58D1"/>
    <w:rsid w:val="009F61E8"/>
    <w:rsid w:val="00A0027A"/>
    <w:rsid w:val="00A007A0"/>
    <w:rsid w:val="00A0161A"/>
    <w:rsid w:val="00A01ACB"/>
    <w:rsid w:val="00A024F2"/>
    <w:rsid w:val="00A03B19"/>
    <w:rsid w:val="00A03F19"/>
    <w:rsid w:val="00A0416B"/>
    <w:rsid w:val="00A053B5"/>
    <w:rsid w:val="00A0624F"/>
    <w:rsid w:val="00A06429"/>
    <w:rsid w:val="00A06548"/>
    <w:rsid w:val="00A111BE"/>
    <w:rsid w:val="00A1190A"/>
    <w:rsid w:val="00A1269F"/>
    <w:rsid w:val="00A128FC"/>
    <w:rsid w:val="00A1409C"/>
    <w:rsid w:val="00A14693"/>
    <w:rsid w:val="00A17B41"/>
    <w:rsid w:val="00A20167"/>
    <w:rsid w:val="00A24368"/>
    <w:rsid w:val="00A24566"/>
    <w:rsid w:val="00A2478C"/>
    <w:rsid w:val="00A26F83"/>
    <w:rsid w:val="00A27344"/>
    <w:rsid w:val="00A27461"/>
    <w:rsid w:val="00A31E37"/>
    <w:rsid w:val="00A325A0"/>
    <w:rsid w:val="00A3472C"/>
    <w:rsid w:val="00A35360"/>
    <w:rsid w:val="00A35560"/>
    <w:rsid w:val="00A35F6B"/>
    <w:rsid w:val="00A37947"/>
    <w:rsid w:val="00A37D56"/>
    <w:rsid w:val="00A40E81"/>
    <w:rsid w:val="00A4268E"/>
    <w:rsid w:val="00A42C1C"/>
    <w:rsid w:val="00A42EF6"/>
    <w:rsid w:val="00A4372C"/>
    <w:rsid w:val="00A43E99"/>
    <w:rsid w:val="00A44B39"/>
    <w:rsid w:val="00A45AFB"/>
    <w:rsid w:val="00A47BBD"/>
    <w:rsid w:val="00A5050B"/>
    <w:rsid w:val="00A50D21"/>
    <w:rsid w:val="00A51F0C"/>
    <w:rsid w:val="00A522EA"/>
    <w:rsid w:val="00A525F5"/>
    <w:rsid w:val="00A5325A"/>
    <w:rsid w:val="00A53395"/>
    <w:rsid w:val="00A535B4"/>
    <w:rsid w:val="00A53AFF"/>
    <w:rsid w:val="00A5466B"/>
    <w:rsid w:val="00A563FE"/>
    <w:rsid w:val="00A571F1"/>
    <w:rsid w:val="00A62D6B"/>
    <w:rsid w:val="00A630EE"/>
    <w:rsid w:val="00A63A30"/>
    <w:rsid w:val="00A64D13"/>
    <w:rsid w:val="00A6535F"/>
    <w:rsid w:val="00A669D3"/>
    <w:rsid w:val="00A66DBE"/>
    <w:rsid w:val="00A670DD"/>
    <w:rsid w:val="00A717B5"/>
    <w:rsid w:val="00A71E12"/>
    <w:rsid w:val="00A71E20"/>
    <w:rsid w:val="00A72C2F"/>
    <w:rsid w:val="00A72F56"/>
    <w:rsid w:val="00A73D68"/>
    <w:rsid w:val="00A7422C"/>
    <w:rsid w:val="00A74CB1"/>
    <w:rsid w:val="00A76127"/>
    <w:rsid w:val="00A76F2B"/>
    <w:rsid w:val="00A7770C"/>
    <w:rsid w:val="00A77B8B"/>
    <w:rsid w:val="00A8059B"/>
    <w:rsid w:val="00A8179B"/>
    <w:rsid w:val="00A81A93"/>
    <w:rsid w:val="00A85058"/>
    <w:rsid w:val="00A9077D"/>
    <w:rsid w:val="00A919D0"/>
    <w:rsid w:val="00A91E77"/>
    <w:rsid w:val="00A92D21"/>
    <w:rsid w:val="00A94151"/>
    <w:rsid w:val="00A9456D"/>
    <w:rsid w:val="00AA1F99"/>
    <w:rsid w:val="00AA1FDD"/>
    <w:rsid w:val="00AA27BE"/>
    <w:rsid w:val="00AA27E8"/>
    <w:rsid w:val="00AA3167"/>
    <w:rsid w:val="00AA3644"/>
    <w:rsid w:val="00AA5AD7"/>
    <w:rsid w:val="00AB2993"/>
    <w:rsid w:val="00AB29D3"/>
    <w:rsid w:val="00AB2E9D"/>
    <w:rsid w:val="00AB3504"/>
    <w:rsid w:val="00AB3F39"/>
    <w:rsid w:val="00AB4775"/>
    <w:rsid w:val="00AB4DC8"/>
    <w:rsid w:val="00AB56D9"/>
    <w:rsid w:val="00AC0495"/>
    <w:rsid w:val="00AC0A77"/>
    <w:rsid w:val="00AC153C"/>
    <w:rsid w:val="00AC2592"/>
    <w:rsid w:val="00AC2E31"/>
    <w:rsid w:val="00AC30EE"/>
    <w:rsid w:val="00AC310F"/>
    <w:rsid w:val="00AC443B"/>
    <w:rsid w:val="00AC4FA5"/>
    <w:rsid w:val="00AC715C"/>
    <w:rsid w:val="00AC73F6"/>
    <w:rsid w:val="00AC7BAC"/>
    <w:rsid w:val="00AD08F9"/>
    <w:rsid w:val="00AD1706"/>
    <w:rsid w:val="00AD1E09"/>
    <w:rsid w:val="00AD20E3"/>
    <w:rsid w:val="00AD27FF"/>
    <w:rsid w:val="00AD393C"/>
    <w:rsid w:val="00AD413D"/>
    <w:rsid w:val="00AD7AAE"/>
    <w:rsid w:val="00AD7C53"/>
    <w:rsid w:val="00AE0E44"/>
    <w:rsid w:val="00AE0F85"/>
    <w:rsid w:val="00AE11C0"/>
    <w:rsid w:val="00AE373F"/>
    <w:rsid w:val="00AE53FF"/>
    <w:rsid w:val="00AE5B44"/>
    <w:rsid w:val="00AF0113"/>
    <w:rsid w:val="00AF179F"/>
    <w:rsid w:val="00AF18DA"/>
    <w:rsid w:val="00AF1F5A"/>
    <w:rsid w:val="00AF241A"/>
    <w:rsid w:val="00AF25CC"/>
    <w:rsid w:val="00AF2AA5"/>
    <w:rsid w:val="00AF30BF"/>
    <w:rsid w:val="00AF34AF"/>
    <w:rsid w:val="00AF453C"/>
    <w:rsid w:val="00AF459A"/>
    <w:rsid w:val="00AF4FEE"/>
    <w:rsid w:val="00AF551F"/>
    <w:rsid w:val="00AF5679"/>
    <w:rsid w:val="00AF5CC3"/>
    <w:rsid w:val="00AF7280"/>
    <w:rsid w:val="00B011B8"/>
    <w:rsid w:val="00B01541"/>
    <w:rsid w:val="00B0159B"/>
    <w:rsid w:val="00B018AC"/>
    <w:rsid w:val="00B022E1"/>
    <w:rsid w:val="00B0232E"/>
    <w:rsid w:val="00B029AF"/>
    <w:rsid w:val="00B0422B"/>
    <w:rsid w:val="00B04916"/>
    <w:rsid w:val="00B04E03"/>
    <w:rsid w:val="00B059E0"/>
    <w:rsid w:val="00B073F2"/>
    <w:rsid w:val="00B07B9B"/>
    <w:rsid w:val="00B10DED"/>
    <w:rsid w:val="00B124F2"/>
    <w:rsid w:val="00B130DC"/>
    <w:rsid w:val="00B136E7"/>
    <w:rsid w:val="00B1400B"/>
    <w:rsid w:val="00B14D17"/>
    <w:rsid w:val="00B15528"/>
    <w:rsid w:val="00B162FF"/>
    <w:rsid w:val="00B16A0D"/>
    <w:rsid w:val="00B17017"/>
    <w:rsid w:val="00B1783F"/>
    <w:rsid w:val="00B210F4"/>
    <w:rsid w:val="00B224F0"/>
    <w:rsid w:val="00B2272E"/>
    <w:rsid w:val="00B235AB"/>
    <w:rsid w:val="00B24A10"/>
    <w:rsid w:val="00B253CD"/>
    <w:rsid w:val="00B25FE9"/>
    <w:rsid w:val="00B26739"/>
    <w:rsid w:val="00B26C1A"/>
    <w:rsid w:val="00B27395"/>
    <w:rsid w:val="00B27FE1"/>
    <w:rsid w:val="00B30324"/>
    <w:rsid w:val="00B3037F"/>
    <w:rsid w:val="00B31432"/>
    <w:rsid w:val="00B324F7"/>
    <w:rsid w:val="00B34136"/>
    <w:rsid w:val="00B35C64"/>
    <w:rsid w:val="00B362E2"/>
    <w:rsid w:val="00B367DC"/>
    <w:rsid w:val="00B36B92"/>
    <w:rsid w:val="00B3768E"/>
    <w:rsid w:val="00B40416"/>
    <w:rsid w:val="00B406E8"/>
    <w:rsid w:val="00B40CD8"/>
    <w:rsid w:val="00B40F91"/>
    <w:rsid w:val="00B415CD"/>
    <w:rsid w:val="00B417D0"/>
    <w:rsid w:val="00B4180A"/>
    <w:rsid w:val="00B41853"/>
    <w:rsid w:val="00B44BAC"/>
    <w:rsid w:val="00B45E47"/>
    <w:rsid w:val="00B53B89"/>
    <w:rsid w:val="00B54AF8"/>
    <w:rsid w:val="00B55921"/>
    <w:rsid w:val="00B55B7F"/>
    <w:rsid w:val="00B56C52"/>
    <w:rsid w:val="00B570ED"/>
    <w:rsid w:val="00B57A70"/>
    <w:rsid w:val="00B57A88"/>
    <w:rsid w:val="00B57E78"/>
    <w:rsid w:val="00B6109C"/>
    <w:rsid w:val="00B63336"/>
    <w:rsid w:val="00B643F2"/>
    <w:rsid w:val="00B66A1C"/>
    <w:rsid w:val="00B672B1"/>
    <w:rsid w:val="00B679E8"/>
    <w:rsid w:val="00B70F46"/>
    <w:rsid w:val="00B72E20"/>
    <w:rsid w:val="00B73073"/>
    <w:rsid w:val="00B73665"/>
    <w:rsid w:val="00B739D4"/>
    <w:rsid w:val="00B73CE8"/>
    <w:rsid w:val="00B7444F"/>
    <w:rsid w:val="00B7530A"/>
    <w:rsid w:val="00B767AC"/>
    <w:rsid w:val="00B77936"/>
    <w:rsid w:val="00B824C2"/>
    <w:rsid w:val="00B827AC"/>
    <w:rsid w:val="00B845CE"/>
    <w:rsid w:val="00B85010"/>
    <w:rsid w:val="00B855AC"/>
    <w:rsid w:val="00B85E06"/>
    <w:rsid w:val="00B85E4A"/>
    <w:rsid w:val="00B867F1"/>
    <w:rsid w:val="00B86C70"/>
    <w:rsid w:val="00B90DA4"/>
    <w:rsid w:val="00B918D0"/>
    <w:rsid w:val="00B91CD9"/>
    <w:rsid w:val="00B91DF5"/>
    <w:rsid w:val="00B93A76"/>
    <w:rsid w:val="00B94830"/>
    <w:rsid w:val="00B96C57"/>
    <w:rsid w:val="00B97B21"/>
    <w:rsid w:val="00BA04EC"/>
    <w:rsid w:val="00BA1E2A"/>
    <w:rsid w:val="00BA239B"/>
    <w:rsid w:val="00BA26A4"/>
    <w:rsid w:val="00BA3331"/>
    <w:rsid w:val="00BA35ED"/>
    <w:rsid w:val="00BA3821"/>
    <w:rsid w:val="00BA4A5F"/>
    <w:rsid w:val="00BA4DF4"/>
    <w:rsid w:val="00BA5421"/>
    <w:rsid w:val="00BA6617"/>
    <w:rsid w:val="00BA70E2"/>
    <w:rsid w:val="00BB1B30"/>
    <w:rsid w:val="00BB37EF"/>
    <w:rsid w:val="00BB4287"/>
    <w:rsid w:val="00BB4F9F"/>
    <w:rsid w:val="00BB5695"/>
    <w:rsid w:val="00BC13CF"/>
    <w:rsid w:val="00BC27FE"/>
    <w:rsid w:val="00BC2D02"/>
    <w:rsid w:val="00BC3FFB"/>
    <w:rsid w:val="00BC5CF5"/>
    <w:rsid w:val="00BC6D9D"/>
    <w:rsid w:val="00BC73E2"/>
    <w:rsid w:val="00BC7468"/>
    <w:rsid w:val="00BD0C76"/>
    <w:rsid w:val="00BD1042"/>
    <w:rsid w:val="00BD2B65"/>
    <w:rsid w:val="00BD2DA0"/>
    <w:rsid w:val="00BD4633"/>
    <w:rsid w:val="00BD4692"/>
    <w:rsid w:val="00BD5807"/>
    <w:rsid w:val="00BD64CF"/>
    <w:rsid w:val="00BD785D"/>
    <w:rsid w:val="00BD7BA7"/>
    <w:rsid w:val="00BE0060"/>
    <w:rsid w:val="00BE0700"/>
    <w:rsid w:val="00BE0AD3"/>
    <w:rsid w:val="00BE0BDE"/>
    <w:rsid w:val="00BE38B0"/>
    <w:rsid w:val="00BE41C7"/>
    <w:rsid w:val="00BE59E4"/>
    <w:rsid w:val="00BE612B"/>
    <w:rsid w:val="00BE72AD"/>
    <w:rsid w:val="00BE7513"/>
    <w:rsid w:val="00BF1440"/>
    <w:rsid w:val="00BF166C"/>
    <w:rsid w:val="00BF2688"/>
    <w:rsid w:val="00BF4399"/>
    <w:rsid w:val="00BF4AB4"/>
    <w:rsid w:val="00BF6CB2"/>
    <w:rsid w:val="00BF71AA"/>
    <w:rsid w:val="00BF75A3"/>
    <w:rsid w:val="00C002B5"/>
    <w:rsid w:val="00C06146"/>
    <w:rsid w:val="00C06E92"/>
    <w:rsid w:val="00C10284"/>
    <w:rsid w:val="00C115B4"/>
    <w:rsid w:val="00C127FA"/>
    <w:rsid w:val="00C12B4C"/>
    <w:rsid w:val="00C12FC8"/>
    <w:rsid w:val="00C143A2"/>
    <w:rsid w:val="00C148C4"/>
    <w:rsid w:val="00C16966"/>
    <w:rsid w:val="00C16BE8"/>
    <w:rsid w:val="00C17574"/>
    <w:rsid w:val="00C209A3"/>
    <w:rsid w:val="00C23212"/>
    <w:rsid w:val="00C2372B"/>
    <w:rsid w:val="00C2543D"/>
    <w:rsid w:val="00C31543"/>
    <w:rsid w:val="00C3164D"/>
    <w:rsid w:val="00C31AF8"/>
    <w:rsid w:val="00C33FC5"/>
    <w:rsid w:val="00C35F15"/>
    <w:rsid w:val="00C3624A"/>
    <w:rsid w:val="00C377B3"/>
    <w:rsid w:val="00C37E26"/>
    <w:rsid w:val="00C40146"/>
    <w:rsid w:val="00C40223"/>
    <w:rsid w:val="00C410BA"/>
    <w:rsid w:val="00C41378"/>
    <w:rsid w:val="00C4254D"/>
    <w:rsid w:val="00C437F0"/>
    <w:rsid w:val="00C439F1"/>
    <w:rsid w:val="00C44C46"/>
    <w:rsid w:val="00C46DBA"/>
    <w:rsid w:val="00C5175D"/>
    <w:rsid w:val="00C51F09"/>
    <w:rsid w:val="00C52CA7"/>
    <w:rsid w:val="00C53C19"/>
    <w:rsid w:val="00C53E8B"/>
    <w:rsid w:val="00C54E48"/>
    <w:rsid w:val="00C5533A"/>
    <w:rsid w:val="00C55D52"/>
    <w:rsid w:val="00C5628F"/>
    <w:rsid w:val="00C57141"/>
    <w:rsid w:val="00C5788F"/>
    <w:rsid w:val="00C602DB"/>
    <w:rsid w:val="00C61425"/>
    <w:rsid w:val="00C618A7"/>
    <w:rsid w:val="00C6341C"/>
    <w:rsid w:val="00C6415A"/>
    <w:rsid w:val="00C64AE7"/>
    <w:rsid w:val="00C651B9"/>
    <w:rsid w:val="00C6538B"/>
    <w:rsid w:val="00C65A0D"/>
    <w:rsid w:val="00C66133"/>
    <w:rsid w:val="00C664F6"/>
    <w:rsid w:val="00C667F5"/>
    <w:rsid w:val="00C70B92"/>
    <w:rsid w:val="00C72851"/>
    <w:rsid w:val="00C740CD"/>
    <w:rsid w:val="00C74F4B"/>
    <w:rsid w:val="00C7596B"/>
    <w:rsid w:val="00C75D87"/>
    <w:rsid w:val="00C75F67"/>
    <w:rsid w:val="00C7696D"/>
    <w:rsid w:val="00C76B4B"/>
    <w:rsid w:val="00C77B67"/>
    <w:rsid w:val="00C805C0"/>
    <w:rsid w:val="00C80931"/>
    <w:rsid w:val="00C80A92"/>
    <w:rsid w:val="00C80EB6"/>
    <w:rsid w:val="00C831C3"/>
    <w:rsid w:val="00C83E95"/>
    <w:rsid w:val="00C84342"/>
    <w:rsid w:val="00C85033"/>
    <w:rsid w:val="00C8692E"/>
    <w:rsid w:val="00C87AF0"/>
    <w:rsid w:val="00C90C62"/>
    <w:rsid w:val="00C90E53"/>
    <w:rsid w:val="00C9175F"/>
    <w:rsid w:val="00C91DDB"/>
    <w:rsid w:val="00C91EC7"/>
    <w:rsid w:val="00C924D9"/>
    <w:rsid w:val="00C92676"/>
    <w:rsid w:val="00C936F9"/>
    <w:rsid w:val="00C93F92"/>
    <w:rsid w:val="00C95784"/>
    <w:rsid w:val="00C962E4"/>
    <w:rsid w:val="00C979E8"/>
    <w:rsid w:val="00CA05DE"/>
    <w:rsid w:val="00CA0D22"/>
    <w:rsid w:val="00CA43A8"/>
    <w:rsid w:val="00CA4808"/>
    <w:rsid w:val="00CA5513"/>
    <w:rsid w:val="00CA558F"/>
    <w:rsid w:val="00CA59ED"/>
    <w:rsid w:val="00CA761A"/>
    <w:rsid w:val="00CA7A14"/>
    <w:rsid w:val="00CA7E12"/>
    <w:rsid w:val="00CA7ED5"/>
    <w:rsid w:val="00CB1487"/>
    <w:rsid w:val="00CB1E18"/>
    <w:rsid w:val="00CB2AD9"/>
    <w:rsid w:val="00CB2FCB"/>
    <w:rsid w:val="00CB3495"/>
    <w:rsid w:val="00CB3A13"/>
    <w:rsid w:val="00CB3C52"/>
    <w:rsid w:val="00CB4118"/>
    <w:rsid w:val="00CB5910"/>
    <w:rsid w:val="00CB755C"/>
    <w:rsid w:val="00CC029E"/>
    <w:rsid w:val="00CC05DE"/>
    <w:rsid w:val="00CC1966"/>
    <w:rsid w:val="00CC2071"/>
    <w:rsid w:val="00CC30B3"/>
    <w:rsid w:val="00CC496E"/>
    <w:rsid w:val="00CC4BF9"/>
    <w:rsid w:val="00CC5A0A"/>
    <w:rsid w:val="00CC68AB"/>
    <w:rsid w:val="00CC6C80"/>
    <w:rsid w:val="00CD0E41"/>
    <w:rsid w:val="00CD23A6"/>
    <w:rsid w:val="00CD2EFB"/>
    <w:rsid w:val="00CD499D"/>
    <w:rsid w:val="00CD4DC7"/>
    <w:rsid w:val="00CD543E"/>
    <w:rsid w:val="00CD5A6B"/>
    <w:rsid w:val="00CD614A"/>
    <w:rsid w:val="00CD646A"/>
    <w:rsid w:val="00CD7F93"/>
    <w:rsid w:val="00CE26DE"/>
    <w:rsid w:val="00CE3FD0"/>
    <w:rsid w:val="00CE46B8"/>
    <w:rsid w:val="00CE47DD"/>
    <w:rsid w:val="00CE4B7D"/>
    <w:rsid w:val="00CE5EAE"/>
    <w:rsid w:val="00CE65C0"/>
    <w:rsid w:val="00CE6642"/>
    <w:rsid w:val="00CE66AD"/>
    <w:rsid w:val="00CF000A"/>
    <w:rsid w:val="00CF0E00"/>
    <w:rsid w:val="00CF2441"/>
    <w:rsid w:val="00CF2D51"/>
    <w:rsid w:val="00CF3B3C"/>
    <w:rsid w:val="00CF5108"/>
    <w:rsid w:val="00CF5B78"/>
    <w:rsid w:val="00CF6D37"/>
    <w:rsid w:val="00CF6F09"/>
    <w:rsid w:val="00CF75E9"/>
    <w:rsid w:val="00CF7FA0"/>
    <w:rsid w:val="00D00517"/>
    <w:rsid w:val="00D00816"/>
    <w:rsid w:val="00D00C38"/>
    <w:rsid w:val="00D046E5"/>
    <w:rsid w:val="00D05184"/>
    <w:rsid w:val="00D06471"/>
    <w:rsid w:val="00D105E0"/>
    <w:rsid w:val="00D1060B"/>
    <w:rsid w:val="00D10853"/>
    <w:rsid w:val="00D1090E"/>
    <w:rsid w:val="00D10EB4"/>
    <w:rsid w:val="00D147E7"/>
    <w:rsid w:val="00D14A9C"/>
    <w:rsid w:val="00D15C96"/>
    <w:rsid w:val="00D16DA0"/>
    <w:rsid w:val="00D17487"/>
    <w:rsid w:val="00D179D2"/>
    <w:rsid w:val="00D17B0D"/>
    <w:rsid w:val="00D2142A"/>
    <w:rsid w:val="00D21A93"/>
    <w:rsid w:val="00D22099"/>
    <w:rsid w:val="00D224D3"/>
    <w:rsid w:val="00D2408C"/>
    <w:rsid w:val="00D24113"/>
    <w:rsid w:val="00D25AE4"/>
    <w:rsid w:val="00D2633D"/>
    <w:rsid w:val="00D26916"/>
    <w:rsid w:val="00D2763B"/>
    <w:rsid w:val="00D303CE"/>
    <w:rsid w:val="00D30436"/>
    <w:rsid w:val="00D3044C"/>
    <w:rsid w:val="00D3417B"/>
    <w:rsid w:val="00D34B1A"/>
    <w:rsid w:val="00D35BD3"/>
    <w:rsid w:val="00D35DA5"/>
    <w:rsid w:val="00D35EB8"/>
    <w:rsid w:val="00D36D60"/>
    <w:rsid w:val="00D36F9F"/>
    <w:rsid w:val="00D371F1"/>
    <w:rsid w:val="00D37ABF"/>
    <w:rsid w:val="00D41AE3"/>
    <w:rsid w:val="00D41E13"/>
    <w:rsid w:val="00D42908"/>
    <w:rsid w:val="00D42C20"/>
    <w:rsid w:val="00D43064"/>
    <w:rsid w:val="00D435CF"/>
    <w:rsid w:val="00D43E87"/>
    <w:rsid w:val="00D43F0E"/>
    <w:rsid w:val="00D44277"/>
    <w:rsid w:val="00D45C4A"/>
    <w:rsid w:val="00D46EA2"/>
    <w:rsid w:val="00D472AA"/>
    <w:rsid w:val="00D51090"/>
    <w:rsid w:val="00D5143C"/>
    <w:rsid w:val="00D521AD"/>
    <w:rsid w:val="00D52E3C"/>
    <w:rsid w:val="00D5414F"/>
    <w:rsid w:val="00D5534F"/>
    <w:rsid w:val="00D55A03"/>
    <w:rsid w:val="00D56942"/>
    <w:rsid w:val="00D57033"/>
    <w:rsid w:val="00D577B4"/>
    <w:rsid w:val="00D60489"/>
    <w:rsid w:val="00D604A8"/>
    <w:rsid w:val="00D6059A"/>
    <w:rsid w:val="00D60E7B"/>
    <w:rsid w:val="00D618A0"/>
    <w:rsid w:val="00D62744"/>
    <w:rsid w:val="00D63FCE"/>
    <w:rsid w:val="00D6626A"/>
    <w:rsid w:val="00D666CA"/>
    <w:rsid w:val="00D7137A"/>
    <w:rsid w:val="00D7363D"/>
    <w:rsid w:val="00D744D4"/>
    <w:rsid w:val="00D74E5C"/>
    <w:rsid w:val="00D75B93"/>
    <w:rsid w:val="00D80920"/>
    <w:rsid w:val="00D810A9"/>
    <w:rsid w:val="00D81791"/>
    <w:rsid w:val="00D82A1B"/>
    <w:rsid w:val="00D83330"/>
    <w:rsid w:val="00D84C1E"/>
    <w:rsid w:val="00D85A9A"/>
    <w:rsid w:val="00D8746C"/>
    <w:rsid w:val="00D87A81"/>
    <w:rsid w:val="00D87F50"/>
    <w:rsid w:val="00D87F6C"/>
    <w:rsid w:val="00D9140F"/>
    <w:rsid w:val="00D91BA1"/>
    <w:rsid w:val="00D9359A"/>
    <w:rsid w:val="00D937B2"/>
    <w:rsid w:val="00D93A53"/>
    <w:rsid w:val="00D9424C"/>
    <w:rsid w:val="00D946EC"/>
    <w:rsid w:val="00D9730B"/>
    <w:rsid w:val="00DA0E13"/>
    <w:rsid w:val="00DA3B1C"/>
    <w:rsid w:val="00DA3B68"/>
    <w:rsid w:val="00DA489A"/>
    <w:rsid w:val="00DA4C01"/>
    <w:rsid w:val="00DA51EC"/>
    <w:rsid w:val="00DA6F30"/>
    <w:rsid w:val="00DB122C"/>
    <w:rsid w:val="00DB1AAF"/>
    <w:rsid w:val="00DB28D7"/>
    <w:rsid w:val="00DB34E1"/>
    <w:rsid w:val="00DB3CB6"/>
    <w:rsid w:val="00DB4554"/>
    <w:rsid w:val="00DB5693"/>
    <w:rsid w:val="00DB626A"/>
    <w:rsid w:val="00DB6EC6"/>
    <w:rsid w:val="00DB729F"/>
    <w:rsid w:val="00DB7D15"/>
    <w:rsid w:val="00DB7E96"/>
    <w:rsid w:val="00DC0455"/>
    <w:rsid w:val="00DC0ED7"/>
    <w:rsid w:val="00DC1016"/>
    <w:rsid w:val="00DC10DB"/>
    <w:rsid w:val="00DC3B24"/>
    <w:rsid w:val="00DC3EEA"/>
    <w:rsid w:val="00DC4465"/>
    <w:rsid w:val="00DC463F"/>
    <w:rsid w:val="00DC4CA3"/>
    <w:rsid w:val="00DC5D5B"/>
    <w:rsid w:val="00DC6210"/>
    <w:rsid w:val="00DC7909"/>
    <w:rsid w:val="00DD0FDD"/>
    <w:rsid w:val="00DD143F"/>
    <w:rsid w:val="00DD1A91"/>
    <w:rsid w:val="00DD1C00"/>
    <w:rsid w:val="00DD24D2"/>
    <w:rsid w:val="00DD2F9B"/>
    <w:rsid w:val="00DD3A8C"/>
    <w:rsid w:val="00DD520A"/>
    <w:rsid w:val="00DD575B"/>
    <w:rsid w:val="00DD5ED5"/>
    <w:rsid w:val="00DD6401"/>
    <w:rsid w:val="00DD6500"/>
    <w:rsid w:val="00DD6756"/>
    <w:rsid w:val="00DD70F0"/>
    <w:rsid w:val="00DD7BEF"/>
    <w:rsid w:val="00DE0187"/>
    <w:rsid w:val="00DE0F10"/>
    <w:rsid w:val="00DE19B9"/>
    <w:rsid w:val="00DE277F"/>
    <w:rsid w:val="00DE5C71"/>
    <w:rsid w:val="00DE5EC8"/>
    <w:rsid w:val="00DE6F02"/>
    <w:rsid w:val="00DF05A5"/>
    <w:rsid w:val="00DF0C3F"/>
    <w:rsid w:val="00DF10BD"/>
    <w:rsid w:val="00DF3625"/>
    <w:rsid w:val="00DF3780"/>
    <w:rsid w:val="00DF4017"/>
    <w:rsid w:val="00DF51A4"/>
    <w:rsid w:val="00DF55D3"/>
    <w:rsid w:val="00DF5E80"/>
    <w:rsid w:val="00DF79CD"/>
    <w:rsid w:val="00DF7F34"/>
    <w:rsid w:val="00DF7F65"/>
    <w:rsid w:val="00E00A2D"/>
    <w:rsid w:val="00E00AE4"/>
    <w:rsid w:val="00E01248"/>
    <w:rsid w:val="00E03806"/>
    <w:rsid w:val="00E047A1"/>
    <w:rsid w:val="00E048E4"/>
    <w:rsid w:val="00E05DF7"/>
    <w:rsid w:val="00E07588"/>
    <w:rsid w:val="00E10DE1"/>
    <w:rsid w:val="00E110F2"/>
    <w:rsid w:val="00E125D5"/>
    <w:rsid w:val="00E12BC9"/>
    <w:rsid w:val="00E1326B"/>
    <w:rsid w:val="00E1342E"/>
    <w:rsid w:val="00E15F06"/>
    <w:rsid w:val="00E178A6"/>
    <w:rsid w:val="00E207F0"/>
    <w:rsid w:val="00E20A65"/>
    <w:rsid w:val="00E20DA3"/>
    <w:rsid w:val="00E21FDB"/>
    <w:rsid w:val="00E22BE5"/>
    <w:rsid w:val="00E22BF2"/>
    <w:rsid w:val="00E22EED"/>
    <w:rsid w:val="00E237F1"/>
    <w:rsid w:val="00E23899"/>
    <w:rsid w:val="00E25250"/>
    <w:rsid w:val="00E30E5E"/>
    <w:rsid w:val="00E31E7B"/>
    <w:rsid w:val="00E3276C"/>
    <w:rsid w:val="00E334B0"/>
    <w:rsid w:val="00E34923"/>
    <w:rsid w:val="00E35DE8"/>
    <w:rsid w:val="00E36934"/>
    <w:rsid w:val="00E370E3"/>
    <w:rsid w:val="00E402F4"/>
    <w:rsid w:val="00E45EFD"/>
    <w:rsid w:val="00E46308"/>
    <w:rsid w:val="00E46B49"/>
    <w:rsid w:val="00E5009F"/>
    <w:rsid w:val="00E510E5"/>
    <w:rsid w:val="00E516A2"/>
    <w:rsid w:val="00E54F57"/>
    <w:rsid w:val="00E56264"/>
    <w:rsid w:val="00E56F42"/>
    <w:rsid w:val="00E60368"/>
    <w:rsid w:val="00E61822"/>
    <w:rsid w:val="00E6194C"/>
    <w:rsid w:val="00E6207C"/>
    <w:rsid w:val="00E62502"/>
    <w:rsid w:val="00E6491E"/>
    <w:rsid w:val="00E6509A"/>
    <w:rsid w:val="00E6566F"/>
    <w:rsid w:val="00E65B70"/>
    <w:rsid w:val="00E6671A"/>
    <w:rsid w:val="00E66CD7"/>
    <w:rsid w:val="00E67596"/>
    <w:rsid w:val="00E67B35"/>
    <w:rsid w:val="00E67F6E"/>
    <w:rsid w:val="00E67FDB"/>
    <w:rsid w:val="00E70A88"/>
    <w:rsid w:val="00E71384"/>
    <w:rsid w:val="00E7218F"/>
    <w:rsid w:val="00E733A8"/>
    <w:rsid w:val="00E73519"/>
    <w:rsid w:val="00E73D3B"/>
    <w:rsid w:val="00E754AB"/>
    <w:rsid w:val="00E7574C"/>
    <w:rsid w:val="00E7633A"/>
    <w:rsid w:val="00E77A4E"/>
    <w:rsid w:val="00E82916"/>
    <w:rsid w:val="00E829B6"/>
    <w:rsid w:val="00E83178"/>
    <w:rsid w:val="00E83B9F"/>
    <w:rsid w:val="00E85FFE"/>
    <w:rsid w:val="00E8753A"/>
    <w:rsid w:val="00E919B7"/>
    <w:rsid w:val="00E93DAD"/>
    <w:rsid w:val="00E93FF3"/>
    <w:rsid w:val="00E9420E"/>
    <w:rsid w:val="00E95FED"/>
    <w:rsid w:val="00E9736C"/>
    <w:rsid w:val="00E978E8"/>
    <w:rsid w:val="00E97FDD"/>
    <w:rsid w:val="00EA02AB"/>
    <w:rsid w:val="00EA04A3"/>
    <w:rsid w:val="00EA0F87"/>
    <w:rsid w:val="00EA1A05"/>
    <w:rsid w:val="00EA3FE1"/>
    <w:rsid w:val="00EA4886"/>
    <w:rsid w:val="00EA4EED"/>
    <w:rsid w:val="00EA5CE3"/>
    <w:rsid w:val="00EA62AB"/>
    <w:rsid w:val="00EA6DDF"/>
    <w:rsid w:val="00EA7098"/>
    <w:rsid w:val="00EA719C"/>
    <w:rsid w:val="00EA7A5E"/>
    <w:rsid w:val="00EB0045"/>
    <w:rsid w:val="00EB01B2"/>
    <w:rsid w:val="00EB07D2"/>
    <w:rsid w:val="00EB1179"/>
    <w:rsid w:val="00EB16DA"/>
    <w:rsid w:val="00EB1D0E"/>
    <w:rsid w:val="00EB2822"/>
    <w:rsid w:val="00EB35C6"/>
    <w:rsid w:val="00EB4216"/>
    <w:rsid w:val="00EB68B1"/>
    <w:rsid w:val="00EC2167"/>
    <w:rsid w:val="00EC2453"/>
    <w:rsid w:val="00EC2C73"/>
    <w:rsid w:val="00EC2D28"/>
    <w:rsid w:val="00EC3E03"/>
    <w:rsid w:val="00EC497F"/>
    <w:rsid w:val="00EC4DD6"/>
    <w:rsid w:val="00EC5407"/>
    <w:rsid w:val="00EC7072"/>
    <w:rsid w:val="00ED12E3"/>
    <w:rsid w:val="00ED395C"/>
    <w:rsid w:val="00ED47AC"/>
    <w:rsid w:val="00ED60B0"/>
    <w:rsid w:val="00ED6595"/>
    <w:rsid w:val="00ED6B32"/>
    <w:rsid w:val="00ED72DC"/>
    <w:rsid w:val="00EE29B7"/>
    <w:rsid w:val="00EE36F7"/>
    <w:rsid w:val="00EE3F57"/>
    <w:rsid w:val="00EE4B0E"/>
    <w:rsid w:val="00EE51A0"/>
    <w:rsid w:val="00EE6018"/>
    <w:rsid w:val="00EF022F"/>
    <w:rsid w:val="00EF0B42"/>
    <w:rsid w:val="00EF2741"/>
    <w:rsid w:val="00EF2AA3"/>
    <w:rsid w:val="00EF2C81"/>
    <w:rsid w:val="00EF3BE2"/>
    <w:rsid w:val="00EF3D38"/>
    <w:rsid w:val="00EF4479"/>
    <w:rsid w:val="00EF4CB2"/>
    <w:rsid w:val="00EF6173"/>
    <w:rsid w:val="00EF6523"/>
    <w:rsid w:val="00EF711A"/>
    <w:rsid w:val="00EF7E9C"/>
    <w:rsid w:val="00F008A3"/>
    <w:rsid w:val="00F00ACF"/>
    <w:rsid w:val="00F00BB4"/>
    <w:rsid w:val="00F0241F"/>
    <w:rsid w:val="00F0273C"/>
    <w:rsid w:val="00F03558"/>
    <w:rsid w:val="00F03ED9"/>
    <w:rsid w:val="00F04E38"/>
    <w:rsid w:val="00F0503C"/>
    <w:rsid w:val="00F05A16"/>
    <w:rsid w:val="00F05C52"/>
    <w:rsid w:val="00F101DF"/>
    <w:rsid w:val="00F11640"/>
    <w:rsid w:val="00F12CF0"/>
    <w:rsid w:val="00F137E7"/>
    <w:rsid w:val="00F140D2"/>
    <w:rsid w:val="00F1450E"/>
    <w:rsid w:val="00F160FD"/>
    <w:rsid w:val="00F20420"/>
    <w:rsid w:val="00F20D0D"/>
    <w:rsid w:val="00F21615"/>
    <w:rsid w:val="00F21ACD"/>
    <w:rsid w:val="00F21B51"/>
    <w:rsid w:val="00F21DCB"/>
    <w:rsid w:val="00F220B4"/>
    <w:rsid w:val="00F247D5"/>
    <w:rsid w:val="00F25A7B"/>
    <w:rsid w:val="00F25AE2"/>
    <w:rsid w:val="00F27FC6"/>
    <w:rsid w:val="00F306AB"/>
    <w:rsid w:val="00F30E12"/>
    <w:rsid w:val="00F32B32"/>
    <w:rsid w:val="00F33C66"/>
    <w:rsid w:val="00F33D91"/>
    <w:rsid w:val="00F346EC"/>
    <w:rsid w:val="00F347A2"/>
    <w:rsid w:val="00F34820"/>
    <w:rsid w:val="00F35274"/>
    <w:rsid w:val="00F35B1F"/>
    <w:rsid w:val="00F35BE3"/>
    <w:rsid w:val="00F36F61"/>
    <w:rsid w:val="00F37D85"/>
    <w:rsid w:val="00F43539"/>
    <w:rsid w:val="00F445DD"/>
    <w:rsid w:val="00F44761"/>
    <w:rsid w:val="00F44B58"/>
    <w:rsid w:val="00F45561"/>
    <w:rsid w:val="00F4625A"/>
    <w:rsid w:val="00F4799A"/>
    <w:rsid w:val="00F47D7F"/>
    <w:rsid w:val="00F47FF0"/>
    <w:rsid w:val="00F5040A"/>
    <w:rsid w:val="00F50443"/>
    <w:rsid w:val="00F52251"/>
    <w:rsid w:val="00F5256E"/>
    <w:rsid w:val="00F52DE9"/>
    <w:rsid w:val="00F554C5"/>
    <w:rsid w:val="00F56D86"/>
    <w:rsid w:val="00F571EF"/>
    <w:rsid w:val="00F57A85"/>
    <w:rsid w:val="00F6081C"/>
    <w:rsid w:val="00F60A46"/>
    <w:rsid w:val="00F61049"/>
    <w:rsid w:val="00F61084"/>
    <w:rsid w:val="00F626A3"/>
    <w:rsid w:val="00F62DB4"/>
    <w:rsid w:val="00F62DD5"/>
    <w:rsid w:val="00F633AD"/>
    <w:rsid w:val="00F63F0A"/>
    <w:rsid w:val="00F669C2"/>
    <w:rsid w:val="00F672DB"/>
    <w:rsid w:val="00F67305"/>
    <w:rsid w:val="00F706A5"/>
    <w:rsid w:val="00F70D4D"/>
    <w:rsid w:val="00F71727"/>
    <w:rsid w:val="00F717D6"/>
    <w:rsid w:val="00F71A4A"/>
    <w:rsid w:val="00F72773"/>
    <w:rsid w:val="00F73C06"/>
    <w:rsid w:val="00F73C52"/>
    <w:rsid w:val="00F75B98"/>
    <w:rsid w:val="00F76BB1"/>
    <w:rsid w:val="00F76F68"/>
    <w:rsid w:val="00F82196"/>
    <w:rsid w:val="00F82DF5"/>
    <w:rsid w:val="00F84320"/>
    <w:rsid w:val="00F84597"/>
    <w:rsid w:val="00F86877"/>
    <w:rsid w:val="00F87A1B"/>
    <w:rsid w:val="00F90140"/>
    <w:rsid w:val="00F90A4F"/>
    <w:rsid w:val="00F911FC"/>
    <w:rsid w:val="00F91554"/>
    <w:rsid w:val="00F928E8"/>
    <w:rsid w:val="00F92E03"/>
    <w:rsid w:val="00F93322"/>
    <w:rsid w:val="00F9470D"/>
    <w:rsid w:val="00F95CE3"/>
    <w:rsid w:val="00F96266"/>
    <w:rsid w:val="00F966A7"/>
    <w:rsid w:val="00F96D7B"/>
    <w:rsid w:val="00F97F85"/>
    <w:rsid w:val="00FA04E7"/>
    <w:rsid w:val="00FA29A1"/>
    <w:rsid w:val="00FA3B6F"/>
    <w:rsid w:val="00FA3D37"/>
    <w:rsid w:val="00FA45B1"/>
    <w:rsid w:val="00FA4A18"/>
    <w:rsid w:val="00FA6AD7"/>
    <w:rsid w:val="00FA6E9D"/>
    <w:rsid w:val="00FB0775"/>
    <w:rsid w:val="00FB090B"/>
    <w:rsid w:val="00FB151D"/>
    <w:rsid w:val="00FB2AC1"/>
    <w:rsid w:val="00FB5EE4"/>
    <w:rsid w:val="00FB61A8"/>
    <w:rsid w:val="00FB6993"/>
    <w:rsid w:val="00FB77D6"/>
    <w:rsid w:val="00FC06C1"/>
    <w:rsid w:val="00FC122B"/>
    <w:rsid w:val="00FC20EF"/>
    <w:rsid w:val="00FC2CAB"/>
    <w:rsid w:val="00FC4563"/>
    <w:rsid w:val="00FC5B9E"/>
    <w:rsid w:val="00FD0ADC"/>
    <w:rsid w:val="00FD166D"/>
    <w:rsid w:val="00FD2C1C"/>
    <w:rsid w:val="00FD3624"/>
    <w:rsid w:val="00FD42B2"/>
    <w:rsid w:val="00FD469A"/>
    <w:rsid w:val="00FD4EFD"/>
    <w:rsid w:val="00FD75EF"/>
    <w:rsid w:val="00FD7EB7"/>
    <w:rsid w:val="00FE2E9B"/>
    <w:rsid w:val="00FE3012"/>
    <w:rsid w:val="00FE36DA"/>
    <w:rsid w:val="00FE4013"/>
    <w:rsid w:val="00FE533A"/>
    <w:rsid w:val="00FE69BA"/>
    <w:rsid w:val="00FE6EA1"/>
    <w:rsid w:val="00FE70C5"/>
    <w:rsid w:val="00FE7EB6"/>
    <w:rsid w:val="00FF1238"/>
    <w:rsid w:val="00FF203F"/>
    <w:rsid w:val="00FF3393"/>
    <w:rsid w:val="00FF4934"/>
    <w:rsid w:val="00FF4954"/>
    <w:rsid w:val="00FF4F0F"/>
    <w:rsid w:val="00FF536B"/>
    <w:rsid w:val="00FF6F06"/>
    <w:rsid w:val="01101675"/>
    <w:rsid w:val="01B85F94"/>
    <w:rsid w:val="01BB5A85"/>
    <w:rsid w:val="01FF15F3"/>
    <w:rsid w:val="020E4D8C"/>
    <w:rsid w:val="02473430"/>
    <w:rsid w:val="0348008D"/>
    <w:rsid w:val="037463E8"/>
    <w:rsid w:val="03A71470"/>
    <w:rsid w:val="03D348AC"/>
    <w:rsid w:val="05E30616"/>
    <w:rsid w:val="06067D9A"/>
    <w:rsid w:val="067B3DE3"/>
    <w:rsid w:val="06E551DE"/>
    <w:rsid w:val="07D9342B"/>
    <w:rsid w:val="082779D0"/>
    <w:rsid w:val="083F7836"/>
    <w:rsid w:val="088B1F01"/>
    <w:rsid w:val="0ACD76E7"/>
    <w:rsid w:val="0AD45054"/>
    <w:rsid w:val="0AE025F0"/>
    <w:rsid w:val="0AE47DFA"/>
    <w:rsid w:val="0B057D70"/>
    <w:rsid w:val="0B2179F4"/>
    <w:rsid w:val="0BF16AB3"/>
    <w:rsid w:val="0C6C454B"/>
    <w:rsid w:val="0CA35A93"/>
    <w:rsid w:val="0CC2416B"/>
    <w:rsid w:val="0CC71781"/>
    <w:rsid w:val="0CCD48BE"/>
    <w:rsid w:val="0E1B57D5"/>
    <w:rsid w:val="0E2645F3"/>
    <w:rsid w:val="0E3C53DE"/>
    <w:rsid w:val="0E666D78"/>
    <w:rsid w:val="0F0C5B71"/>
    <w:rsid w:val="10087B53"/>
    <w:rsid w:val="1025008A"/>
    <w:rsid w:val="103E2A25"/>
    <w:rsid w:val="10A65B52"/>
    <w:rsid w:val="10CD30DE"/>
    <w:rsid w:val="113D48EB"/>
    <w:rsid w:val="116752E1"/>
    <w:rsid w:val="11C55F47"/>
    <w:rsid w:val="12675D51"/>
    <w:rsid w:val="126B326D"/>
    <w:rsid w:val="12C56AB7"/>
    <w:rsid w:val="1380268A"/>
    <w:rsid w:val="13EE2D7B"/>
    <w:rsid w:val="140736E9"/>
    <w:rsid w:val="143F2545"/>
    <w:rsid w:val="144B02B5"/>
    <w:rsid w:val="146A1B96"/>
    <w:rsid w:val="147841A2"/>
    <w:rsid w:val="147F30EF"/>
    <w:rsid w:val="14D514F5"/>
    <w:rsid w:val="15271294"/>
    <w:rsid w:val="161A0B74"/>
    <w:rsid w:val="16C13E0A"/>
    <w:rsid w:val="16DC66AC"/>
    <w:rsid w:val="16DC76BF"/>
    <w:rsid w:val="174C3030"/>
    <w:rsid w:val="17C90AA4"/>
    <w:rsid w:val="182040E7"/>
    <w:rsid w:val="182A0E16"/>
    <w:rsid w:val="19147AAA"/>
    <w:rsid w:val="196B2245"/>
    <w:rsid w:val="198B7625"/>
    <w:rsid w:val="1A2024D1"/>
    <w:rsid w:val="1A31740F"/>
    <w:rsid w:val="1A582AA8"/>
    <w:rsid w:val="1B3459DD"/>
    <w:rsid w:val="1B366144"/>
    <w:rsid w:val="1BC37EA3"/>
    <w:rsid w:val="1BE32A90"/>
    <w:rsid w:val="1C3D2DE4"/>
    <w:rsid w:val="1C41068E"/>
    <w:rsid w:val="1C6A3ED7"/>
    <w:rsid w:val="1C8A30EE"/>
    <w:rsid w:val="1D175E0D"/>
    <w:rsid w:val="1DD66219"/>
    <w:rsid w:val="1E061B77"/>
    <w:rsid w:val="1E11187D"/>
    <w:rsid w:val="1E984D2C"/>
    <w:rsid w:val="1F63687B"/>
    <w:rsid w:val="1FB21A88"/>
    <w:rsid w:val="1FB75021"/>
    <w:rsid w:val="1FFE2640"/>
    <w:rsid w:val="205A0B82"/>
    <w:rsid w:val="215533A8"/>
    <w:rsid w:val="21E56EA9"/>
    <w:rsid w:val="223737F5"/>
    <w:rsid w:val="22C526FA"/>
    <w:rsid w:val="22E70030"/>
    <w:rsid w:val="23921209"/>
    <w:rsid w:val="24BE74B6"/>
    <w:rsid w:val="24C5091D"/>
    <w:rsid w:val="24DD793C"/>
    <w:rsid w:val="25423C43"/>
    <w:rsid w:val="25441769"/>
    <w:rsid w:val="257753F8"/>
    <w:rsid w:val="26494955"/>
    <w:rsid w:val="26B52066"/>
    <w:rsid w:val="26BC2D99"/>
    <w:rsid w:val="2705317A"/>
    <w:rsid w:val="27274634"/>
    <w:rsid w:val="27AE7398"/>
    <w:rsid w:val="281C69CE"/>
    <w:rsid w:val="284348F9"/>
    <w:rsid w:val="28650375"/>
    <w:rsid w:val="289E5635"/>
    <w:rsid w:val="28DC7F0B"/>
    <w:rsid w:val="2984158E"/>
    <w:rsid w:val="2A025EE7"/>
    <w:rsid w:val="2AF22300"/>
    <w:rsid w:val="2B0227B5"/>
    <w:rsid w:val="2B0D6AA1"/>
    <w:rsid w:val="2B0D6C49"/>
    <w:rsid w:val="2B7B7550"/>
    <w:rsid w:val="2B9B5E5B"/>
    <w:rsid w:val="2BB1041E"/>
    <w:rsid w:val="2BE657C1"/>
    <w:rsid w:val="2CB76CF8"/>
    <w:rsid w:val="2DA20017"/>
    <w:rsid w:val="2DB61EB9"/>
    <w:rsid w:val="2DC071FE"/>
    <w:rsid w:val="2DCF003E"/>
    <w:rsid w:val="2DD6761F"/>
    <w:rsid w:val="2E2C33A9"/>
    <w:rsid w:val="2ECE02F6"/>
    <w:rsid w:val="2EDD67D0"/>
    <w:rsid w:val="2EF75A9F"/>
    <w:rsid w:val="2F06540B"/>
    <w:rsid w:val="2F230642"/>
    <w:rsid w:val="2F513FD7"/>
    <w:rsid w:val="30093CDB"/>
    <w:rsid w:val="301F64DD"/>
    <w:rsid w:val="311E5564"/>
    <w:rsid w:val="314F1BC2"/>
    <w:rsid w:val="31501496"/>
    <w:rsid w:val="31992E3D"/>
    <w:rsid w:val="31B853AF"/>
    <w:rsid w:val="328460F5"/>
    <w:rsid w:val="32C26989"/>
    <w:rsid w:val="32DA54BB"/>
    <w:rsid w:val="335F64B7"/>
    <w:rsid w:val="33B344C6"/>
    <w:rsid w:val="33D97DBE"/>
    <w:rsid w:val="34B43A8F"/>
    <w:rsid w:val="34FA7AC8"/>
    <w:rsid w:val="35521C81"/>
    <w:rsid w:val="35911957"/>
    <w:rsid w:val="359C114E"/>
    <w:rsid w:val="35C4078E"/>
    <w:rsid w:val="366C0403"/>
    <w:rsid w:val="36B85B13"/>
    <w:rsid w:val="3748567B"/>
    <w:rsid w:val="37E4576F"/>
    <w:rsid w:val="385555E4"/>
    <w:rsid w:val="38871C41"/>
    <w:rsid w:val="38EC7CF6"/>
    <w:rsid w:val="397B5426"/>
    <w:rsid w:val="3995692C"/>
    <w:rsid w:val="39B34CBD"/>
    <w:rsid w:val="3BE60A54"/>
    <w:rsid w:val="3C1201E9"/>
    <w:rsid w:val="3C7626F9"/>
    <w:rsid w:val="3C7F0E81"/>
    <w:rsid w:val="3C8C1F1C"/>
    <w:rsid w:val="3CE21B3C"/>
    <w:rsid w:val="3CE77152"/>
    <w:rsid w:val="3E4E4FAF"/>
    <w:rsid w:val="3E7F33BB"/>
    <w:rsid w:val="3EAE4810"/>
    <w:rsid w:val="3EFE69D5"/>
    <w:rsid w:val="3F8213B4"/>
    <w:rsid w:val="3F90423F"/>
    <w:rsid w:val="42F945E5"/>
    <w:rsid w:val="43140AF7"/>
    <w:rsid w:val="43D9067E"/>
    <w:rsid w:val="43F92190"/>
    <w:rsid w:val="43FB1735"/>
    <w:rsid w:val="44957494"/>
    <w:rsid w:val="44CD30D2"/>
    <w:rsid w:val="44E9093D"/>
    <w:rsid w:val="452C6EA9"/>
    <w:rsid w:val="45AF0A29"/>
    <w:rsid w:val="45F609D0"/>
    <w:rsid w:val="465B295F"/>
    <w:rsid w:val="46933EA7"/>
    <w:rsid w:val="46D00298"/>
    <w:rsid w:val="470D4FF2"/>
    <w:rsid w:val="47406F15"/>
    <w:rsid w:val="47477657"/>
    <w:rsid w:val="478A1078"/>
    <w:rsid w:val="47941C85"/>
    <w:rsid w:val="47C22C96"/>
    <w:rsid w:val="48C06AA9"/>
    <w:rsid w:val="493B2B85"/>
    <w:rsid w:val="4A034102"/>
    <w:rsid w:val="4A17094B"/>
    <w:rsid w:val="4A1D6937"/>
    <w:rsid w:val="4A233794"/>
    <w:rsid w:val="4A387D02"/>
    <w:rsid w:val="4A542E78"/>
    <w:rsid w:val="4AAC57ED"/>
    <w:rsid w:val="4BBB0D09"/>
    <w:rsid w:val="4C9749CF"/>
    <w:rsid w:val="4D557773"/>
    <w:rsid w:val="4DCD131A"/>
    <w:rsid w:val="4E8B599D"/>
    <w:rsid w:val="50E917EC"/>
    <w:rsid w:val="512F498F"/>
    <w:rsid w:val="524B0C10"/>
    <w:rsid w:val="526A01B2"/>
    <w:rsid w:val="52B21B59"/>
    <w:rsid w:val="5305612D"/>
    <w:rsid w:val="54745318"/>
    <w:rsid w:val="548E5CAE"/>
    <w:rsid w:val="54B05B9B"/>
    <w:rsid w:val="556E58DC"/>
    <w:rsid w:val="55C031F3"/>
    <w:rsid w:val="56AB1454"/>
    <w:rsid w:val="56E200FA"/>
    <w:rsid w:val="56E46B61"/>
    <w:rsid w:val="576158FB"/>
    <w:rsid w:val="582E390E"/>
    <w:rsid w:val="59702784"/>
    <w:rsid w:val="598A738C"/>
    <w:rsid w:val="599D770E"/>
    <w:rsid w:val="59CA7788"/>
    <w:rsid w:val="5A415673"/>
    <w:rsid w:val="5A4D3CCB"/>
    <w:rsid w:val="5AB843BB"/>
    <w:rsid w:val="5AFF3E2D"/>
    <w:rsid w:val="5B1346BF"/>
    <w:rsid w:val="5BA71BF4"/>
    <w:rsid w:val="5C2F4589"/>
    <w:rsid w:val="5C606182"/>
    <w:rsid w:val="5CDE3CDD"/>
    <w:rsid w:val="5CF11C64"/>
    <w:rsid w:val="5D465377"/>
    <w:rsid w:val="5D59154F"/>
    <w:rsid w:val="5D9A56C3"/>
    <w:rsid w:val="5DCD3CEB"/>
    <w:rsid w:val="5E243A73"/>
    <w:rsid w:val="5E51302F"/>
    <w:rsid w:val="5E7B72A3"/>
    <w:rsid w:val="5EDB5F93"/>
    <w:rsid w:val="5F382108"/>
    <w:rsid w:val="5F6D7533"/>
    <w:rsid w:val="609A52AA"/>
    <w:rsid w:val="609B2AC0"/>
    <w:rsid w:val="60E91B69"/>
    <w:rsid w:val="61121BC3"/>
    <w:rsid w:val="61952C72"/>
    <w:rsid w:val="61B80F7A"/>
    <w:rsid w:val="62212D94"/>
    <w:rsid w:val="62486A1E"/>
    <w:rsid w:val="62FB09B2"/>
    <w:rsid w:val="63710109"/>
    <w:rsid w:val="63B44D19"/>
    <w:rsid w:val="6416019A"/>
    <w:rsid w:val="64381E87"/>
    <w:rsid w:val="645D3345"/>
    <w:rsid w:val="64634A61"/>
    <w:rsid w:val="64B928D3"/>
    <w:rsid w:val="64CF7ABB"/>
    <w:rsid w:val="650A75D2"/>
    <w:rsid w:val="65336B29"/>
    <w:rsid w:val="65647B9A"/>
    <w:rsid w:val="65A11CE5"/>
    <w:rsid w:val="65C84F68"/>
    <w:rsid w:val="6615622F"/>
    <w:rsid w:val="662E109F"/>
    <w:rsid w:val="6648383E"/>
    <w:rsid w:val="66F47306"/>
    <w:rsid w:val="6736645D"/>
    <w:rsid w:val="684C450D"/>
    <w:rsid w:val="68A903C8"/>
    <w:rsid w:val="69907DD3"/>
    <w:rsid w:val="69A41DA4"/>
    <w:rsid w:val="6A4B221F"/>
    <w:rsid w:val="6A531ADF"/>
    <w:rsid w:val="6A8A5149"/>
    <w:rsid w:val="6AEC145A"/>
    <w:rsid w:val="6B0A032C"/>
    <w:rsid w:val="6B6A1BC9"/>
    <w:rsid w:val="6D090170"/>
    <w:rsid w:val="6DAA78FD"/>
    <w:rsid w:val="6E034789"/>
    <w:rsid w:val="6E7055D0"/>
    <w:rsid w:val="6F081AC8"/>
    <w:rsid w:val="6F4140EB"/>
    <w:rsid w:val="70B76860"/>
    <w:rsid w:val="70FB5412"/>
    <w:rsid w:val="72053580"/>
    <w:rsid w:val="721E4AD4"/>
    <w:rsid w:val="72DA2FB0"/>
    <w:rsid w:val="73A72BFE"/>
    <w:rsid w:val="7420796C"/>
    <w:rsid w:val="74237D69"/>
    <w:rsid w:val="74627E7B"/>
    <w:rsid w:val="746F7452"/>
    <w:rsid w:val="74C50E20"/>
    <w:rsid w:val="75297A17"/>
    <w:rsid w:val="759A405B"/>
    <w:rsid w:val="75DB055D"/>
    <w:rsid w:val="760616F0"/>
    <w:rsid w:val="76F453DF"/>
    <w:rsid w:val="77181EC3"/>
    <w:rsid w:val="775100D9"/>
    <w:rsid w:val="77D25D2E"/>
    <w:rsid w:val="77EB7500"/>
    <w:rsid w:val="783F23D0"/>
    <w:rsid w:val="78D87374"/>
    <w:rsid w:val="791F2BD5"/>
    <w:rsid w:val="79654E7D"/>
    <w:rsid w:val="798E0ED4"/>
    <w:rsid w:val="79A55B7E"/>
    <w:rsid w:val="79BA2F1D"/>
    <w:rsid w:val="7A7F2B1D"/>
    <w:rsid w:val="7A8A0B42"/>
    <w:rsid w:val="7B4E323C"/>
    <w:rsid w:val="7B7313EF"/>
    <w:rsid w:val="7BC736D0"/>
    <w:rsid w:val="7C835849"/>
    <w:rsid w:val="7CA46B55"/>
    <w:rsid w:val="7CC33357"/>
    <w:rsid w:val="7D3B3B5B"/>
    <w:rsid w:val="7D787055"/>
    <w:rsid w:val="7E547518"/>
    <w:rsid w:val="7E9C7E21"/>
    <w:rsid w:val="7EEB3B79"/>
    <w:rsid w:val="7F1C1F84"/>
    <w:rsid w:val="7F2B3BEF"/>
    <w:rsid w:val="7FB623D9"/>
    <w:rsid w:val="7FE556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8"/>
      <w:lang w:val="en-US" w:eastAsia="zh-CN" w:bidi="ar-SA"/>
    </w:rPr>
  </w:style>
  <w:style w:type="paragraph" w:styleId="3">
    <w:name w:val="heading 1"/>
    <w:basedOn w:val="1"/>
    <w:next w:val="1"/>
    <w:link w:val="12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qFormat/>
    <w:uiPriority w:val="0"/>
    <w:pPr>
      <w:keepNext/>
      <w:keepLines/>
      <w:spacing w:before="260" w:after="260" w:line="415" w:lineRule="auto"/>
      <w:outlineLvl w:val="1"/>
    </w:pPr>
    <w:rPr>
      <w:rFonts w:ascii="Arial" w:hAnsi="Arial" w:eastAsia="黑体" w:cs="Arial"/>
      <w:b/>
      <w:bCs/>
      <w:sz w:val="32"/>
      <w:szCs w:val="32"/>
    </w:rPr>
  </w:style>
  <w:style w:type="paragraph" w:styleId="5">
    <w:name w:val="heading 3"/>
    <w:basedOn w:val="1"/>
    <w:next w:val="1"/>
    <w:link w:val="32"/>
    <w:unhideWhenUsed/>
    <w:qFormat/>
    <w:uiPriority w:val="0"/>
    <w:pPr>
      <w:keepNext/>
      <w:keepLines/>
      <w:spacing w:before="260" w:after="260" w:line="416" w:lineRule="auto"/>
      <w:outlineLvl w:val="2"/>
    </w:pPr>
    <w:rPr>
      <w:b/>
      <w:bCs/>
      <w:sz w:val="32"/>
      <w:szCs w:val="32"/>
    </w:rPr>
  </w:style>
  <w:style w:type="paragraph" w:styleId="6">
    <w:name w:val="heading 4"/>
    <w:basedOn w:val="1"/>
    <w:next w:val="7"/>
    <w:link w:val="34"/>
    <w:qFormat/>
    <w:uiPriority w:val="0"/>
    <w:pPr>
      <w:keepNext/>
      <w:keepLines/>
      <w:adjustRightInd w:val="0"/>
      <w:snapToGrid w:val="0"/>
      <w:textAlignment w:val="baseline"/>
      <w:outlineLvl w:val="3"/>
    </w:pPr>
    <w:rPr>
      <w:rFonts w:ascii="黑体" w:eastAsia="黑体"/>
      <w:b/>
      <w:kern w:val="0"/>
      <w:szCs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ind w:left="100" w:right="100" w:firstLine="425"/>
    </w:pPr>
    <w:rPr>
      <w:szCs w:val="20"/>
    </w:rPr>
  </w:style>
  <w:style w:type="paragraph" w:styleId="7">
    <w:name w:val="Normal Indent"/>
    <w:basedOn w:val="1"/>
    <w:link w:val="33"/>
    <w:unhideWhenUsed/>
    <w:qFormat/>
    <w:uiPriority w:val="0"/>
    <w:pPr>
      <w:ind w:firstLine="420" w:firstLineChars="200"/>
    </w:pPr>
  </w:style>
  <w:style w:type="paragraph" w:styleId="8">
    <w:name w:val="caption"/>
    <w:basedOn w:val="1"/>
    <w:next w:val="1"/>
    <w:link w:val="50"/>
    <w:qFormat/>
    <w:uiPriority w:val="0"/>
    <w:rPr>
      <w:rFonts w:ascii="Arial" w:hAnsi="Arial" w:eastAsia="黑体" w:cs="Arial"/>
      <w:sz w:val="20"/>
      <w:szCs w:val="20"/>
    </w:rPr>
  </w:style>
  <w:style w:type="paragraph" w:styleId="9">
    <w:name w:val="Document Map"/>
    <w:basedOn w:val="1"/>
    <w:link w:val="46"/>
    <w:semiHidden/>
    <w:unhideWhenUsed/>
    <w:qFormat/>
    <w:uiPriority w:val="99"/>
    <w:rPr>
      <w:rFonts w:ascii="宋体"/>
      <w:sz w:val="18"/>
      <w:szCs w:val="18"/>
    </w:rPr>
  </w:style>
  <w:style w:type="paragraph" w:styleId="10">
    <w:name w:val="annotation text"/>
    <w:basedOn w:val="1"/>
    <w:link w:val="48"/>
    <w:qFormat/>
    <w:uiPriority w:val="0"/>
    <w:pPr>
      <w:widowControl/>
      <w:jc w:val="left"/>
    </w:pPr>
    <w:rPr>
      <w:rFonts w:ascii="宋体" w:hAnsi="宋体" w:cs="宋体"/>
      <w:kern w:val="0"/>
      <w:sz w:val="24"/>
      <w:szCs w:val="24"/>
    </w:rPr>
  </w:style>
  <w:style w:type="paragraph" w:styleId="11">
    <w:name w:val="Body Text"/>
    <w:basedOn w:val="1"/>
    <w:link w:val="47"/>
    <w:qFormat/>
    <w:uiPriority w:val="0"/>
    <w:pPr>
      <w:spacing w:after="120"/>
    </w:pPr>
    <w:rPr>
      <w:color w:val="333333"/>
      <w:szCs w:val="20"/>
    </w:rPr>
  </w:style>
  <w:style w:type="paragraph" w:styleId="12">
    <w:name w:val="Body Text Indent"/>
    <w:basedOn w:val="1"/>
    <w:link w:val="76"/>
    <w:qFormat/>
    <w:uiPriority w:val="0"/>
    <w:pPr>
      <w:ind w:firstLine="560" w:firstLineChars="200"/>
      <w:jc w:val="left"/>
    </w:pPr>
    <w:rPr>
      <w:szCs w:val="24"/>
    </w:rPr>
  </w:style>
  <w:style w:type="paragraph" w:styleId="13">
    <w:name w:val="Plain Text"/>
    <w:basedOn w:val="1"/>
    <w:link w:val="35"/>
    <w:unhideWhenUsed/>
    <w:qFormat/>
    <w:uiPriority w:val="0"/>
    <w:rPr>
      <w:rFonts w:ascii="宋体" w:hAnsi="Courier New" w:cs="Courier New"/>
    </w:rPr>
  </w:style>
  <w:style w:type="paragraph" w:styleId="14">
    <w:name w:val="Body Text Indent 2"/>
    <w:basedOn w:val="1"/>
    <w:link w:val="75"/>
    <w:qFormat/>
    <w:uiPriority w:val="0"/>
    <w:pPr>
      <w:ind w:firstLine="560" w:firstLineChars="200"/>
    </w:pPr>
    <w:rPr>
      <w:bCs/>
      <w:szCs w:val="24"/>
    </w:rPr>
  </w:style>
  <w:style w:type="paragraph" w:styleId="15">
    <w:name w:val="Balloon Text"/>
    <w:basedOn w:val="1"/>
    <w:link w:val="36"/>
    <w:unhideWhenUsed/>
    <w:qFormat/>
    <w:uiPriority w:val="0"/>
    <w:rPr>
      <w:sz w:val="18"/>
      <w:szCs w:val="18"/>
    </w:rPr>
  </w:style>
  <w:style w:type="paragraph" w:styleId="16">
    <w:name w:val="footer"/>
    <w:basedOn w:val="1"/>
    <w:link w:val="37"/>
    <w:unhideWhenUsed/>
    <w:qFormat/>
    <w:uiPriority w:val="0"/>
    <w:pPr>
      <w:snapToGrid w:val="0"/>
      <w:jc w:val="left"/>
    </w:pPr>
    <w:rPr>
      <w:sz w:val="18"/>
      <w:szCs w:val="18"/>
    </w:rPr>
  </w:style>
  <w:style w:type="paragraph" w:styleId="17">
    <w:name w:val="header"/>
    <w:basedOn w:val="1"/>
    <w:link w:val="38"/>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Body Text Indent 3"/>
    <w:basedOn w:val="1"/>
    <w:link w:val="61"/>
    <w:qFormat/>
    <w:uiPriority w:val="0"/>
    <w:pPr>
      <w:spacing w:after="120"/>
      <w:ind w:left="420" w:leftChars="200"/>
    </w:pPr>
    <w:rPr>
      <w:rFonts w:asciiTheme="minorHAnsi" w:hAnsiTheme="minorHAnsi" w:cstheme="minorBidi"/>
      <w:sz w:val="16"/>
      <w:szCs w:val="16"/>
    </w:rPr>
  </w:style>
  <w:style w:type="paragraph" w:styleId="19">
    <w:name w:val="Body Text 2"/>
    <w:basedOn w:val="1"/>
    <w:link w:val="78"/>
    <w:qFormat/>
    <w:uiPriority w:val="0"/>
    <w:pPr>
      <w:spacing w:after="120" w:line="480" w:lineRule="auto"/>
    </w:pPr>
    <w:rPr>
      <w:sz w:val="21"/>
      <w:szCs w:val="24"/>
    </w:rPr>
  </w:style>
  <w:style w:type="paragraph" w:styleId="20">
    <w:name w:val="HTML Preformatted"/>
    <w:basedOn w:val="1"/>
    <w:link w:val="49"/>
    <w:unhideWhenUsed/>
    <w:qFormat/>
    <w:uiPriority w:val="99"/>
    <w:rPr>
      <w:rFonts w:ascii="Courier New" w:hAnsi="Courier New" w:cs="Courier New"/>
      <w:sz w:val="20"/>
      <w:szCs w:val="20"/>
    </w:rPr>
  </w:style>
  <w:style w:type="paragraph" w:styleId="21">
    <w:name w:val="Normal (Web)"/>
    <w:basedOn w:val="1"/>
    <w:link w:val="112"/>
    <w:unhideWhenUsed/>
    <w:qFormat/>
    <w:uiPriority w:val="0"/>
    <w:pPr>
      <w:widowControl/>
      <w:spacing w:before="100" w:beforeAutospacing="1" w:after="100" w:afterAutospacing="1"/>
      <w:jc w:val="left"/>
    </w:pPr>
    <w:rPr>
      <w:rFonts w:ascii="宋体" w:hAnsi="宋体" w:cs="宋体"/>
      <w:kern w:val="0"/>
      <w:sz w:val="24"/>
      <w:szCs w:val="24"/>
    </w:rPr>
  </w:style>
  <w:style w:type="paragraph" w:styleId="22">
    <w:name w:val="annotation subject"/>
    <w:basedOn w:val="10"/>
    <w:next w:val="10"/>
    <w:link w:val="77"/>
    <w:semiHidden/>
    <w:qFormat/>
    <w:uiPriority w:val="0"/>
    <w:pPr>
      <w:widowControl w:val="0"/>
    </w:pPr>
    <w:rPr>
      <w:rFonts w:ascii="Times New Roman" w:hAnsi="Times New Roman" w:cs="Times New Roman"/>
      <w:b/>
      <w:bCs/>
      <w:kern w:val="2"/>
      <w:sz w:val="21"/>
    </w:rPr>
  </w:style>
  <w:style w:type="paragraph" w:styleId="23">
    <w:name w:val="Body Text First Indent 2"/>
    <w:basedOn w:val="12"/>
    <w:link w:val="109"/>
    <w:qFormat/>
    <w:uiPriority w:val="99"/>
    <w:pPr>
      <w:spacing w:after="120"/>
      <w:ind w:left="420" w:leftChars="200" w:firstLine="420"/>
      <w:jc w:val="both"/>
    </w:pPr>
    <w:rPr>
      <w:sz w:val="21"/>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0"/>
    <w:rPr>
      <w:b/>
      <w:bCs/>
    </w:rPr>
  </w:style>
  <w:style w:type="character" w:styleId="28">
    <w:name w:val="page number"/>
    <w:basedOn w:val="26"/>
    <w:qFormat/>
    <w:uiPriority w:val="0"/>
  </w:style>
  <w:style w:type="character" w:styleId="29">
    <w:name w:val="Hyperlink"/>
    <w:basedOn w:val="26"/>
    <w:unhideWhenUsed/>
    <w:qFormat/>
    <w:uiPriority w:val="0"/>
    <w:rPr>
      <w:color w:val="0000FF"/>
      <w:u w:val="single"/>
    </w:rPr>
  </w:style>
  <w:style w:type="character" w:styleId="30">
    <w:name w:val="annotation reference"/>
    <w:basedOn w:val="26"/>
    <w:unhideWhenUsed/>
    <w:qFormat/>
    <w:uiPriority w:val="0"/>
    <w:rPr>
      <w:sz w:val="21"/>
      <w:szCs w:val="21"/>
    </w:rPr>
  </w:style>
  <w:style w:type="character" w:customStyle="1" w:styleId="31">
    <w:name w:val="标题 2 Char"/>
    <w:basedOn w:val="26"/>
    <w:link w:val="4"/>
    <w:qFormat/>
    <w:uiPriority w:val="0"/>
    <w:rPr>
      <w:rFonts w:ascii="Arial" w:hAnsi="Arial" w:eastAsia="黑体" w:cs="Arial"/>
      <w:b/>
      <w:bCs/>
      <w:kern w:val="2"/>
      <w:sz w:val="32"/>
      <w:szCs w:val="32"/>
    </w:rPr>
  </w:style>
  <w:style w:type="character" w:customStyle="1" w:styleId="32">
    <w:name w:val="标题 3 Char"/>
    <w:basedOn w:val="26"/>
    <w:link w:val="5"/>
    <w:qFormat/>
    <w:uiPriority w:val="0"/>
    <w:rPr>
      <w:rFonts w:ascii="Times New Roman" w:hAnsi="Times New Roman" w:eastAsia="宋体" w:cs="Times New Roman"/>
      <w:b/>
      <w:bCs/>
      <w:kern w:val="2"/>
      <w:sz w:val="32"/>
      <w:szCs w:val="32"/>
    </w:rPr>
  </w:style>
  <w:style w:type="character" w:customStyle="1" w:styleId="33">
    <w:name w:val="正文缩进 Char"/>
    <w:link w:val="7"/>
    <w:qFormat/>
    <w:locked/>
    <w:uiPriority w:val="0"/>
    <w:rPr>
      <w:rFonts w:ascii="Times New Roman" w:hAnsi="Times New Roman" w:eastAsia="宋体" w:cs="Times New Roman"/>
      <w:kern w:val="2"/>
      <w:sz w:val="28"/>
      <w:szCs w:val="28"/>
    </w:rPr>
  </w:style>
  <w:style w:type="character" w:customStyle="1" w:styleId="34">
    <w:name w:val="标题 4 Char"/>
    <w:basedOn w:val="26"/>
    <w:link w:val="6"/>
    <w:qFormat/>
    <w:uiPriority w:val="0"/>
    <w:rPr>
      <w:rFonts w:ascii="黑体" w:hAnsi="Times New Roman" w:eastAsia="黑体" w:cs="Times New Roman"/>
      <w:b/>
      <w:sz w:val="28"/>
      <w:szCs w:val="24"/>
    </w:rPr>
  </w:style>
  <w:style w:type="character" w:customStyle="1" w:styleId="35">
    <w:name w:val="纯文本 Char"/>
    <w:basedOn w:val="26"/>
    <w:link w:val="13"/>
    <w:qFormat/>
    <w:uiPriority w:val="0"/>
    <w:rPr>
      <w:rFonts w:ascii="宋体" w:hAnsi="Courier New" w:eastAsia="宋体" w:cs="Courier New"/>
      <w:sz w:val="28"/>
      <w:szCs w:val="28"/>
    </w:rPr>
  </w:style>
  <w:style w:type="character" w:customStyle="1" w:styleId="36">
    <w:name w:val="批注框文本 Char"/>
    <w:basedOn w:val="26"/>
    <w:link w:val="15"/>
    <w:qFormat/>
    <w:uiPriority w:val="99"/>
    <w:rPr>
      <w:rFonts w:ascii="Times New Roman" w:hAnsi="Times New Roman" w:eastAsia="宋体" w:cs="Times New Roman"/>
      <w:sz w:val="18"/>
      <w:szCs w:val="18"/>
    </w:rPr>
  </w:style>
  <w:style w:type="character" w:customStyle="1" w:styleId="37">
    <w:name w:val="页脚 Char"/>
    <w:basedOn w:val="26"/>
    <w:link w:val="16"/>
    <w:semiHidden/>
    <w:qFormat/>
    <w:uiPriority w:val="99"/>
    <w:rPr>
      <w:rFonts w:ascii="Times New Roman" w:hAnsi="Times New Roman" w:eastAsia="宋体" w:cs="Times New Roman"/>
      <w:sz w:val="18"/>
      <w:szCs w:val="18"/>
    </w:rPr>
  </w:style>
  <w:style w:type="character" w:customStyle="1" w:styleId="38">
    <w:name w:val="页眉 Char"/>
    <w:link w:val="17"/>
    <w:qFormat/>
    <w:uiPriority w:val="0"/>
    <w:rPr>
      <w:rFonts w:ascii="Times New Roman" w:hAnsi="Times New Roman" w:eastAsia="宋体" w:cs="Times New Roman"/>
      <w:kern w:val="2"/>
      <w:sz w:val="18"/>
      <w:szCs w:val="28"/>
    </w:rPr>
  </w:style>
  <w:style w:type="paragraph" w:customStyle="1" w:styleId="39">
    <w:name w:val="段落"/>
    <w:basedOn w:val="13"/>
    <w:link w:val="40"/>
    <w:qFormat/>
    <w:uiPriority w:val="99"/>
    <w:pPr>
      <w:spacing w:line="480" w:lineRule="exact"/>
      <w:ind w:firstLine="578"/>
    </w:pPr>
  </w:style>
  <w:style w:type="character" w:customStyle="1" w:styleId="40">
    <w:name w:val="段落 Char1"/>
    <w:link w:val="39"/>
    <w:qFormat/>
    <w:locked/>
    <w:uiPriority w:val="99"/>
    <w:rPr>
      <w:rFonts w:ascii="宋体" w:hAnsi="Courier New" w:eastAsia="宋体" w:cs="Courier New"/>
      <w:kern w:val="2"/>
      <w:sz w:val="28"/>
      <w:szCs w:val="28"/>
    </w:rPr>
  </w:style>
  <w:style w:type="paragraph" w:customStyle="1" w:styleId="41">
    <w:name w:val="段落 Char"/>
    <w:basedOn w:val="13"/>
    <w:qFormat/>
    <w:uiPriority w:val="0"/>
    <w:pPr>
      <w:spacing w:line="500" w:lineRule="exact"/>
      <w:ind w:firstLine="578"/>
    </w:pPr>
    <w:rPr>
      <w:rFonts w:ascii="Times New Roman" w:hAnsi="Times New Roman" w:cs="Times New Roman"/>
    </w:rPr>
  </w:style>
  <w:style w:type="paragraph" w:styleId="42">
    <w:name w:val="List Paragraph"/>
    <w:basedOn w:val="1"/>
    <w:qFormat/>
    <w:uiPriority w:val="34"/>
    <w:pPr>
      <w:ind w:firstLine="420" w:firstLineChars="200"/>
    </w:pPr>
  </w:style>
  <w:style w:type="paragraph" w:customStyle="1" w:styleId="43">
    <w:name w:val="brdrw15brsp20 tqctx4153t"/>
    <w:basedOn w:val="1"/>
    <w:qFormat/>
    <w:uiPriority w:val="0"/>
    <w:pPr>
      <w:pBdr>
        <w:bottom w:val="single" w:color="auto" w:sz="6" w:space="0"/>
      </w:pBdr>
      <w:adjustRightInd w:val="0"/>
      <w:spacing w:line="312" w:lineRule="atLeast"/>
      <w:jc w:val="center"/>
      <w:textAlignment w:val="baseline"/>
    </w:pPr>
    <w:rPr>
      <w:kern w:val="0"/>
      <w:sz w:val="21"/>
      <w:szCs w:val="21"/>
    </w:rPr>
  </w:style>
  <w:style w:type="paragraph" w:customStyle="1" w:styleId="44">
    <w:name w:val="1.正文"/>
    <w:basedOn w:val="39"/>
    <w:qFormat/>
    <w:uiPriority w:val="0"/>
    <w:pPr>
      <w:spacing w:line="520" w:lineRule="exact"/>
      <w:ind w:firstLine="200" w:firstLineChars="200"/>
    </w:pPr>
    <w:rPr>
      <w:rFonts w:ascii="Times New Roman" w:hAnsi="Times New Roman" w:cs="宋体"/>
      <w:sz w:val="24"/>
      <w:szCs w:val="24"/>
    </w:rPr>
  </w:style>
  <w:style w:type="paragraph" w:customStyle="1" w:styleId="45">
    <w:name w:val="表头 Char"/>
    <w:basedOn w:val="1"/>
    <w:qFormat/>
    <w:uiPriority w:val="0"/>
    <w:pPr>
      <w:spacing w:before="200" w:after="100" w:afterAutospacing="1" w:line="500" w:lineRule="exact"/>
    </w:pPr>
    <w:rPr>
      <w:rFonts w:ascii="黑体" w:hAnsi="黑体" w:eastAsia="黑体" w:cs="宋体"/>
      <w:spacing w:val="20"/>
      <w:sz w:val="24"/>
      <w:szCs w:val="24"/>
    </w:rPr>
  </w:style>
  <w:style w:type="character" w:customStyle="1" w:styleId="46">
    <w:name w:val="文档结构图 Char"/>
    <w:basedOn w:val="26"/>
    <w:link w:val="9"/>
    <w:semiHidden/>
    <w:qFormat/>
    <w:uiPriority w:val="99"/>
    <w:rPr>
      <w:rFonts w:ascii="宋体" w:hAnsi="Times New Roman" w:eastAsia="宋体" w:cs="Times New Roman"/>
      <w:kern w:val="2"/>
      <w:sz w:val="18"/>
      <w:szCs w:val="18"/>
    </w:rPr>
  </w:style>
  <w:style w:type="character" w:customStyle="1" w:styleId="47">
    <w:name w:val="正文文本 Char"/>
    <w:basedOn w:val="26"/>
    <w:link w:val="11"/>
    <w:qFormat/>
    <w:uiPriority w:val="0"/>
    <w:rPr>
      <w:rFonts w:ascii="Times New Roman" w:hAnsi="Times New Roman" w:eastAsia="宋体" w:cs="Times New Roman"/>
      <w:color w:val="333333"/>
      <w:kern w:val="2"/>
      <w:sz w:val="28"/>
    </w:rPr>
  </w:style>
  <w:style w:type="character" w:customStyle="1" w:styleId="48">
    <w:name w:val="批注文字 Char"/>
    <w:basedOn w:val="26"/>
    <w:link w:val="10"/>
    <w:qFormat/>
    <w:uiPriority w:val="0"/>
    <w:rPr>
      <w:rFonts w:ascii="宋体" w:hAnsi="宋体" w:eastAsia="宋体" w:cs="宋体"/>
      <w:sz w:val="24"/>
      <w:szCs w:val="24"/>
    </w:rPr>
  </w:style>
  <w:style w:type="character" w:customStyle="1" w:styleId="49">
    <w:name w:val="HTML 预设格式 Char"/>
    <w:basedOn w:val="26"/>
    <w:link w:val="20"/>
    <w:qFormat/>
    <w:uiPriority w:val="99"/>
    <w:rPr>
      <w:rFonts w:ascii="Courier New" w:hAnsi="Courier New" w:eastAsia="宋体" w:cs="Courier New"/>
      <w:kern w:val="2"/>
    </w:rPr>
  </w:style>
  <w:style w:type="character" w:customStyle="1" w:styleId="50">
    <w:name w:val="题注 Char"/>
    <w:link w:val="8"/>
    <w:qFormat/>
    <w:uiPriority w:val="0"/>
    <w:rPr>
      <w:rFonts w:ascii="Arial" w:hAnsi="Arial" w:eastAsia="黑体" w:cs="Arial"/>
      <w:kern w:val="2"/>
    </w:rPr>
  </w:style>
  <w:style w:type="character" w:customStyle="1" w:styleId="51">
    <w:name w:val="apple-converted-space"/>
    <w:basedOn w:val="26"/>
    <w:qFormat/>
    <w:uiPriority w:val="0"/>
  </w:style>
  <w:style w:type="paragraph" w:customStyle="1" w:styleId="52">
    <w:name w:val="Table Paragraph"/>
    <w:basedOn w:val="1"/>
    <w:qFormat/>
    <w:uiPriority w:val="1"/>
    <w:pPr>
      <w:widowControl/>
      <w:jc w:val="left"/>
    </w:pPr>
    <w:rPr>
      <w:rFonts w:ascii="Calibri" w:hAnsi="Calibri" w:cs="宋体"/>
      <w:kern w:val="0"/>
      <w:sz w:val="22"/>
      <w:szCs w:val="22"/>
    </w:rPr>
  </w:style>
  <w:style w:type="character" w:customStyle="1" w:styleId="53">
    <w:name w:val="报告表  段 Char"/>
    <w:link w:val="54"/>
    <w:qFormat/>
    <w:locked/>
    <w:uiPriority w:val="0"/>
    <w:rPr>
      <w:rFonts w:ascii="宋体" w:hAnsi="宋体"/>
      <w:sz w:val="24"/>
    </w:rPr>
  </w:style>
  <w:style w:type="paragraph" w:customStyle="1" w:styleId="54">
    <w:name w:val="报告表  段"/>
    <w:basedOn w:val="1"/>
    <w:link w:val="53"/>
    <w:qFormat/>
    <w:uiPriority w:val="0"/>
    <w:pPr>
      <w:adjustRightInd w:val="0"/>
      <w:spacing w:line="360" w:lineRule="auto"/>
      <w:ind w:firstLine="505"/>
    </w:pPr>
    <w:rPr>
      <w:rFonts w:ascii="宋体" w:hAnsi="宋体" w:eastAsiaTheme="minorEastAsia" w:cstheme="minorBidi"/>
      <w:kern w:val="0"/>
      <w:sz w:val="24"/>
      <w:szCs w:val="20"/>
    </w:rPr>
  </w:style>
  <w:style w:type="character" w:customStyle="1" w:styleId="55">
    <w:name w:val="表头 Char Char Char"/>
    <w:link w:val="56"/>
    <w:qFormat/>
    <w:uiPriority w:val="0"/>
    <w:rPr>
      <w:rFonts w:eastAsia="黑体"/>
      <w:kern w:val="2"/>
      <w:sz w:val="24"/>
    </w:rPr>
  </w:style>
  <w:style w:type="paragraph" w:customStyle="1" w:styleId="56">
    <w:name w:val="表头 Char Char"/>
    <w:basedOn w:val="13"/>
    <w:link w:val="55"/>
    <w:qFormat/>
    <w:uiPriority w:val="0"/>
    <w:pPr>
      <w:spacing w:before="200" w:afterLines="30"/>
      <w:ind w:firstLine="352" w:firstLineChars="149"/>
    </w:pPr>
    <w:rPr>
      <w:rFonts w:eastAsia="黑体" w:asciiTheme="minorHAnsi" w:hAnsiTheme="minorHAnsi" w:cstheme="minorBidi"/>
      <w:sz w:val="24"/>
      <w:szCs w:val="20"/>
    </w:rPr>
  </w:style>
  <w:style w:type="character" w:customStyle="1" w:styleId="57">
    <w:name w:val="正文1 Char"/>
    <w:link w:val="58"/>
    <w:qFormat/>
    <w:uiPriority w:val="0"/>
    <w:rPr>
      <w:rFonts w:ascii="楷体_GB2312" w:eastAsia="楷体_GB2312"/>
      <w:b/>
      <w:kern w:val="2"/>
      <w:sz w:val="28"/>
      <w:szCs w:val="24"/>
    </w:rPr>
  </w:style>
  <w:style w:type="paragraph" w:customStyle="1" w:styleId="58">
    <w:name w:val="正文1"/>
    <w:basedOn w:val="1"/>
    <w:link w:val="57"/>
    <w:qFormat/>
    <w:uiPriority w:val="0"/>
    <w:pPr>
      <w:ind w:firstLine="552"/>
    </w:pPr>
    <w:rPr>
      <w:rFonts w:ascii="楷体_GB2312" w:eastAsia="楷体_GB2312" w:hAnsiTheme="minorHAnsi" w:cstheme="minorBidi"/>
      <w:b/>
      <w:szCs w:val="24"/>
    </w:rPr>
  </w:style>
  <w:style w:type="character" w:customStyle="1" w:styleId="59">
    <w:name w:val="普通文字 Char Char"/>
    <w:qFormat/>
    <w:uiPriority w:val="0"/>
    <w:rPr>
      <w:rFonts w:ascii="宋体" w:hAnsi="Courier New" w:eastAsia="宋体" w:cs="Courier New"/>
      <w:kern w:val="2"/>
      <w:sz w:val="21"/>
      <w:szCs w:val="21"/>
      <w:lang w:val="en-US" w:eastAsia="zh-CN" w:bidi="ar-SA"/>
    </w:rPr>
  </w:style>
  <w:style w:type="character" w:customStyle="1" w:styleId="60">
    <w:name w:val="apple-style-span"/>
    <w:basedOn w:val="26"/>
    <w:qFormat/>
    <w:uiPriority w:val="0"/>
  </w:style>
  <w:style w:type="character" w:customStyle="1" w:styleId="61">
    <w:name w:val="正文文本缩进 3 Char"/>
    <w:link w:val="18"/>
    <w:qFormat/>
    <w:uiPriority w:val="0"/>
    <w:rPr>
      <w:rFonts w:eastAsia="宋体"/>
      <w:kern w:val="2"/>
      <w:sz w:val="16"/>
      <w:szCs w:val="16"/>
    </w:rPr>
  </w:style>
  <w:style w:type="character" w:customStyle="1" w:styleId="62">
    <w:name w:val="u920"/>
    <w:basedOn w:val="26"/>
    <w:qFormat/>
    <w:uiPriority w:val="0"/>
  </w:style>
  <w:style w:type="character" w:customStyle="1" w:styleId="63">
    <w:name w:val="表头 Char1"/>
    <w:link w:val="64"/>
    <w:qFormat/>
    <w:uiPriority w:val="0"/>
    <w:rPr>
      <w:rFonts w:ascii="黑体" w:hAnsi="宋体" w:eastAsia="黑体"/>
      <w:spacing w:val="20"/>
      <w:kern w:val="36"/>
      <w:sz w:val="24"/>
      <w:szCs w:val="24"/>
    </w:rPr>
  </w:style>
  <w:style w:type="paragraph" w:customStyle="1" w:styleId="64">
    <w:name w:val="表头"/>
    <w:basedOn w:val="1"/>
    <w:link w:val="63"/>
    <w:qFormat/>
    <w:uiPriority w:val="0"/>
    <w:pPr>
      <w:spacing w:before="200" w:line="500" w:lineRule="exact"/>
    </w:pPr>
    <w:rPr>
      <w:rFonts w:ascii="黑体" w:hAnsi="宋体" w:eastAsia="黑体" w:cstheme="minorBidi"/>
      <w:spacing w:val="20"/>
      <w:kern w:val="36"/>
      <w:sz w:val="24"/>
      <w:szCs w:val="24"/>
    </w:rPr>
  </w:style>
  <w:style w:type="character" w:customStyle="1" w:styleId="65">
    <w:name w:val="正文(首行缩进)宋旭峰 Char Char"/>
    <w:link w:val="66"/>
    <w:qFormat/>
    <w:locked/>
    <w:uiPriority w:val="0"/>
    <w:rPr>
      <w:rFonts w:eastAsia="宋体" w:cs="Arial"/>
      <w:sz w:val="24"/>
      <w:szCs w:val="24"/>
    </w:rPr>
  </w:style>
  <w:style w:type="paragraph" w:customStyle="1" w:styleId="66">
    <w:name w:val="正文(首行缩进)宋旭峰"/>
    <w:basedOn w:val="7"/>
    <w:link w:val="65"/>
    <w:qFormat/>
    <w:uiPriority w:val="0"/>
    <w:pPr>
      <w:spacing w:beforeLines="50" w:afterLines="50" w:line="360" w:lineRule="auto"/>
      <w:ind w:firstLine="480"/>
      <w:contextualSpacing/>
    </w:pPr>
    <w:rPr>
      <w:rFonts w:cs="Arial" w:asciiTheme="minorHAnsi" w:hAnsiTheme="minorHAnsi"/>
      <w:kern w:val="0"/>
      <w:sz w:val="24"/>
      <w:szCs w:val="24"/>
    </w:rPr>
  </w:style>
  <w:style w:type="character" w:customStyle="1" w:styleId="67">
    <w:name w:val="段落 Char Char"/>
    <w:qFormat/>
    <w:uiPriority w:val="0"/>
    <w:rPr>
      <w:rFonts w:ascii="宋体" w:eastAsia="宋体" w:cs="Courier New"/>
      <w:kern w:val="2"/>
      <w:sz w:val="28"/>
      <w:szCs w:val="21"/>
    </w:rPr>
  </w:style>
  <w:style w:type="character" w:customStyle="1" w:styleId="68">
    <w:name w:val="5文章(治) Char"/>
    <w:link w:val="69"/>
    <w:qFormat/>
    <w:uiPriority w:val="0"/>
    <w:rPr>
      <w:rFonts w:eastAsia="宋体"/>
      <w:kern w:val="2"/>
      <w:sz w:val="24"/>
    </w:rPr>
  </w:style>
  <w:style w:type="paragraph" w:customStyle="1" w:styleId="69">
    <w:name w:val="5文章(治)"/>
    <w:basedOn w:val="1"/>
    <w:link w:val="68"/>
    <w:qFormat/>
    <w:uiPriority w:val="0"/>
    <w:pPr>
      <w:spacing w:line="360" w:lineRule="auto"/>
      <w:ind w:firstLine="560" w:firstLineChars="200"/>
    </w:pPr>
    <w:rPr>
      <w:rFonts w:asciiTheme="minorHAnsi" w:hAnsiTheme="minorHAnsi" w:cstheme="minorBidi"/>
      <w:sz w:val="24"/>
      <w:szCs w:val="20"/>
    </w:rPr>
  </w:style>
  <w:style w:type="character" w:customStyle="1" w:styleId="70">
    <w:name w:val="Char Char6"/>
    <w:qFormat/>
    <w:uiPriority w:val="0"/>
    <w:rPr>
      <w:kern w:val="2"/>
      <w:sz w:val="18"/>
    </w:rPr>
  </w:style>
  <w:style w:type="character" w:customStyle="1" w:styleId="71">
    <w:name w:val="报告表正文 Char"/>
    <w:link w:val="72"/>
    <w:qFormat/>
    <w:uiPriority w:val="0"/>
    <w:rPr>
      <w:rFonts w:eastAsia="楷体_GB2312"/>
      <w:kern w:val="2"/>
      <w:sz w:val="24"/>
      <w:szCs w:val="24"/>
    </w:rPr>
  </w:style>
  <w:style w:type="paragraph" w:customStyle="1" w:styleId="72">
    <w:name w:val="报告表正文"/>
    <w:basedOn w:val="1"/>
    <w:link w:val="71"/>
    <w:qFormat/>
    <w:uiPriority w:val="0"/>
    <w:pPr>
      <w:spacing w:line="360" w:lineRule="auto"/>
      <w:ind w:firstLine="200" w:firstLineChars="200"/>
    </w:pPr>
    <w:rPr>
      <w:rFonts w:eastAsia="楷体_GB2312" w:asciiTheme="minorHAnsi" w:hAnsiTheme="minorHAnsi" w:cstheme="minorBidi"/>
      <w:sz w:val="24"/>
      <w:szCs w:val="24"/>
    </w:rPr>
  </w:style>
  <w:style w:type="character" w:customStyle="1" w:styleId="73">
    <w:name w:val="段落 Char Char Char Char"/>
    <w:link w:val="74"/>
    <w:qFormat/>
    <w:uiPriority w:val="0"/>
    <w:rPr>
      <w:rFonts w:ascii="宋体" w:eastAsia="宋体"/>
      <w:kern w:val="2"/>
      <w:sz w:val="28"/>
      <w:szCs w:val="28"/>
    </w:rPr>
  </w:style>
  <w:style w:type="paragraph" w:customStyle="1" w:styleId="74">
    <w:name w:val="段落 Char Char Char"/>
    <w:basedOn w:val="1"/>
    <w:link w:val="73"/>
    <w:qFormat/>
    <w:uiPriority w:val="0"/>
    <w:pPr>
      <w:spacing w:line="500" w:lineRule="exact"/>
      <w:ind w:firstLine="600"/>
    </w:pPr>
    <w:rPr>
      <w:rFonts w:ascii="宋体" w:hAnsiTheme="minorHAnsi" w:cstheme="minorBidi"/>
    </w:rPr>
  </w:style>
  <w:style w:type="character" w:customStyle="1" w:styleId="75">
    <w:name w:val="正文文本缩进 2 Char"/>
    <w:basedOn w:val="26"/>
    <w:link w:val="14"/>
    <w:qFormat/>
    <w:uiPriority w:val="0"/>
    <w:rPr>
      <w:rFonts w:ascii="Times New Roman" w:hAnsi="Times New Roman" w:eastAsia="宋体" w:cs="Times New Roman"/>
      <w:bCs/>
      <w:kern w:val="2"/>
      <w:sz w:val="28"/>
      <w:szCs w:val="24"/>
    </w:rPr>
  </w:style>
  <w:style w:type="character" w:customStyle="1" w:styleId="76">
    <w:name w:val="正文文本缩进 Char"/>
    <w:basedOn w:val="26"/>
    <w:link w:val="12"/>
    <w:qFormat/>
    <w:uiPriority w:val="0"/>
    <w:rPr>
      <w:rFonts w:ascii="Times New Roman" w:hAnsi="Times New Roman" w:eastAsia="宋体" w:cs="Times New Roman"/>
      <w:kern w:val="2"/>
      <w:sz w:val="28"/>
      <w:szCs w:val="24"/>
    </w:rPr>
  </w:style>
  <w:style w:type="character" w:customStyle="1" w:styleId="77">
    <w:name w:val="批注主题 Char"/>
    <w:basedOn w:val="48"/>
    <w:link w:val="22"/>
    <w:semiHidden/>
    <w:qFormat/>
    <w:uiPriority w:val="0"/>
    <w:rPr>
      <w:rFonts w:ascii="Times New Roman" w:hAnsi="Times New Roman" w:eastAsia="宋体" w:cs="Times New Roman"/>
      <w:b/>
      <w:bCs/>
      <w:kern w:val="2"/>
      <w:sz w:val="21"/>
      <w:szCs w:val="24"/>
    </w:rPr>
  </w:style>
  <w:style w:type="character" w:customStyle="1" w:styleId="78">
    <w:name w:val="正文文本 2 Char"/>
    <w:basedOn w:val="26"/>
    <w:link w:val="19"/>
    <w:qFormat/>
    <w:uiPriority w:val="0"/>
    <w:rPr>
      <w:rFonts w:ascii="Times New Roman" w:hAnsi="Times New Roman" w:eastAsia="宋体" w:cs="Times New Roman"/>
      <w:kern w:val="2"/>
      <w:sz w:val="21"/>
      <w:szCs w:val="24"/>
    </w:rPr>
  </w:style>
  <w:style w:type="character" w:customStyle="1" w:styleId="79">
    <w:name w:val="正文文本缩进 3 Char1"/>
    <w:basedOn w:val="26"/>
    <w:semiHidden/>
    <w:qFormat/>
    <w:uiPriority w:val="99"/>
    <w:rPr>
      <w:rFonts w:ascii="Times New Roman" w:hAnsi="Times New Roman" w:eastAsia="宋体" w:cs="Times New Roman"/>
      <w:kern w:val="2"/>
      <w:sz w:val="16"/>
      <w:szCs w:val="16"/>
    </w:rPr>
  </w:style>
  <w:style w:type="paragraph" w:customStyle="1" w:styleId="80">
    <w:name w:val="样式 结论 + 段后: 0.5 行"/>
    <w:basedOn w:val="1"/>
    <w:qFormat/>
    <w:uiPriority w:val="0"/>
    <w:pPr>
      <w:snapToGrid w:val="0"/>
      <w:spacing w:beforeLines="50" w:afterLines="50" w:line="500" w:lineRule="atLeast"/>
      <w:ind w:firstLine="561"/>
    </w:pPr>
    <w:rPr>
      <w:rFonts w:ascii="楷体_GB2312" w:eastAsia="楷体_GB2312" w:cs="宋体"/>
      <w:b/>
      <w:bCs/>
      <w:szCs w:val="20"/>
    </w:rPr>
  </w:style>
  <w:style w:type="paragraph" w:customStyle="1" w:styleId="81">
    <w:name w:val="Char Char Char Char Char Char Char"/>
    <w:basedOn w:val="1"/>
    <w:qFormat/>
    <w:uiPriority w:val="0"/>
    <w:pPr>
      <w:spacing w:line="360" w:lineRule="auto"/>
      <w:ind w:firstLine="200" w:firstLineChars="200"/>
    </w:pPr>
    <w:rPr>
      <w:spacing w:val="-4"/>
      <w:sz w:val="24"/>
      <w:szCs w:val="24"/>
    </w:rPr>
  </w:style>
  <w:style w:type="paragraph" w:customStyle="1" w:styleId="82">
    <w:name w:val="五号表格"/>
    <w:basedOn w:val="1"/>
    <w:qFormat/>
    <w:uiPriority w:val="0"/>
    <w:pPr>
      <w:jc w:val="center"/>
    </w:pPr>
    <w:rPr>
      <w:sz w:val="21"/>
      <w:szCs w:val="24"/>
    </w:rPr>
  </w:style>
  <w:style w:type="paragraph" w:customStyle="1" w:styleId="83">
    <w:name w:val="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4">
    <w:name w:val="文字"/>
    <w:basedOn w:val="1"/>
    <w:qFormat/>
    <w:uiPriority w:val="0"/>
    <w:pPr>
      <w:widowControl/>
      <w:spacing w:afterLines="50" w:line="360" w:lineRule="auto"/>
      <w:ind w:firstLine="420"/>
    </w:pPr>
    <w:rPr>
      <w:rFonts w:ascii="Calibri" w:hAnsi="Calibri" w:cs="Calibri"/>
      <w:kern w:val="0"/>
      <w:sz w:val="24"/>
      <w:szCs w:val="24"/>
    </w:rPr>
  </w:style>
  <w:style w:type="paragraph" w:customStyle="1" w:styleId="85">
    <w:name w:val="Char Char Char Char Char"/>
    <w:basedOn w:val="1"/>
    <w:qFormat/>
    <w:uiPriority w:val="0"/>
    <w:pPr>
      <w:spacing w:line="360" w:lineRule="auto"/>
      <w:ind w:firstLine="200" w:firstLineChars="200"/>
    </w:pPr>
    <w:rPr>
      <w:rFonts w:ascii="宋体" w:hAnsi="宋体" w:cs="宋体"/>
      <w:sz w:val="24"/>
      <w:szCs w:val="24"/>
    </w:rPr>
  </w:style>
  <w:style w:type="paragraph" w:customStyle="1" w:styleId="86">
    <w:name w:val="Char Char Char Char"/>
    <w:basedOn w:val="1"/>
    <w:qFormat/>
    <w:uiPriority w:val="0"/>
    <w:pPr>
      <w:spacing w:line="360" w:lineRule="auto"/>
      <w:ind w:firstLine="200" w:firstLineChars="200"/>
    </w:pPr>
    <w:rPr>
      <w:rFonts w:ascii="宋体" w:hAnsi="宋体" w:cs="宋体"/>
      <w:sz w:val="24"/>
      <w:szCs w:val="24"/>
    </w:rPr>
  </w:style>
  <w:style w:type="paragraph" w:customStyle="1" w:styleId="87">
    <w:name w:val="Char Char Char1 Char"/>
    <w:basedOn w:val="1"/>
    <w:qFormat/>
    <w:uiPriority w:val="0"/>
    <w:pPr>
      <w:spacing w:line="360" w:lineRule="auto"/>
      <w:ind w:firstLine="200" w:firstLineChars="200"/>
    </w:pPr>
    <w:rPr>
      <w:rFonts w:ascii="宋体" w:hAnsi="宋体" w:cs="宋体"/>
      <w:sz w:val="24"/>
      <w:szCs w:val="24"/>
    </w:rPr>
  </w:style>
  <w:style w:type="paragraph" w:customStyle="1" w:styleId="88">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8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0">
    <w:name w:val="样式 正文（首行缩进两字） + 五号 居中"/>
    <w:basedOn w:val="1"/>
    <w:qFormat/>
    <w:uiPriority w:val="0"/>
    <w:pPr>
      <w:adjustRightInd w:val="0"/>
      <w:jc w:val="center"/>
    </w:pPr>
    <w:rPr>
      <w:rFonts w:ascii="宋体" w:cs="宋体"/>
      <w:kern w:val="0"/>
      <w:sz w:val="21"/>
      <w:szCs w:val="24"/>
    </w:rPr>
  </w:style>
  <w:style w:type="paragraph" w:customStyle="1" w:styleId="91">
    <w:name w:val="Char Char"/>
    <w:basedOn w:val="1"/>
    <w:qFormat/>
    <w:uiPriority w:val="0"/>
    <w:pPr>
      <w:widowControl/>
      <w:spacing w:after="160" w:line="240" w:lineRule="exact"/>
      <w:jc w:val="left"/>
    </w:pPr>
    <w:rPr>
      <w:snapToGrid w:val="0"/>
      <w:kern w:val="0"/>
      <w:szCs w:val="20"/>
    </w:rPr>
  </w:style>
  <w:style w:type="paragraph" w:customStyle="1" w:styleId="92">
    <w:name w:val="表格居中"/>
    <w:basedOn w:val="1"/>
    <w:qFormat/>
    <w:uiPriority w:val="0"/>
    <w:pPr>
      <w:adjustRightInd w:val="0"/>
      <w:snapToGrid w:val="0"/>
      <w:jc w:val="center"/>
    </w:pPr>
    <w:rPr>
      <w:rFonts w:ascii="黑体" w:hAnsi="宋体"/>
      <w:snapToGrid w:val="0"/>
      <w:kern w:val="24"/>
      <w:sz w:val="21"/>
    </w:rPr>
  </w:style>
  <w:style w:type="paragraph" w:customStyle="1" w:styleId="93">
    <w:name w:val="Char"/>
    <w:basedOn w:val="1"/>
    <w:qFormat/>
    <w:uiPriority w:val="0"/>
    <w:pPr>
      <w:spacing w:line="360" w:lineRule="auto"/>
      <w:ind w:firstLine="200" w:firstLineChars="200"/>
    </w:pPr>
    <w:rPr>
      <w:rFonts w:ascii="宋体" w:hAnsi="宋体" w:cs="宋体"/>
      <w:sz w:val="24"/>
      <w:szCs w:val="24"/>
    </w:rPr>
  </w:style>
  <w:style w:type="paragraph" w:customStyle="1" w:styleId="94">
    <w:name w:val="正文五"/>
    <w:basedOn w:val="1"/>
    <w:qFormat/>
    <w:uiPriority w:val="0"/>
    <w:pPr>
      <w:snapToGrid w:val="0"/>
      <w:jc w:val="center"/>
    </w:pPr>
    <w:rPr>
      <w:sz w:val="24"/>
      <w:szCs w:val="20"/>
    </w:rPr>
  </w:style>
  <w:style w:type="paragraph" w:customStyle="1" w:styleId="95">
    <w:name w:val="正文表"/>
    <w:basedOn w:val="1"/>
    <w:qFormat/>
    <w:uiPriority w:val="0"/>
    <w:pPr>
      <w:tabs>
        <w:tab w:val="left" w:pos="0"/>
      </w:tabs>
      <w:spacing w:line="440" w:lineRule="exact"/>
      <w:ind w:left="1" w:firstLine="480"/>
    </w:pPr>
    <w:rPr>
      <w:sz w:val="24"/>
      <w:szCs w:val="24"/>
    </w:rPr>
  </w:style>
  <w:style w:type="paragraph" w:customStyle="1" w:styleId="96">
    <w:name w:val="默认段落字体 Para Char"/>
    <w:basedOn w:val="1"/>
    <w:qFormat/>
    <w:uiPriority w:val="0"/>
    <w:pPr>
      <w:adjustRightInd w:val="0"/>
      <w:spacing w:line="360" w:lineRule="atLeast"/>
      <w:textAlignment w:val="baseline"/>
    </w:pPr>
    <w:rPr>
      <w:sz w:val="21"/>
      <w:szCs w:val="24"/>
    </w:rPr>
  </w:style>
  <w:style w:type="paragraph" w:customStyle="1" w:styleId="97">
    <w:name w:val="1正文段落"/>
    <w:basedOn w:val="1"/>
    <w:qFormat/>
    <w:uiPriority w:val="0"/>
    <w:pPr>
      <w:spacing w:line="360" w:lineRule="auto"/>
      <w:ind w:firstLine="480" w:firstLineChars="200"/>
      <w:jc w:val="left"/>
    </w:pPr>
    <w:rPr>
      <w:kern w:val="0"/>
      <w:sz w:val="24"/>
      <w:szCs w:val="24"/>
    </w:rPr>
  </w:style>
  <w:style w:type="paragraph" w:customStyle="1" w:styleId="98">
    <w:name w:val="默认段落字体 Para Char Char Char Char"/>
    <w:basedOn w:val="1"/>
    <w:qFormat/>
    <w:uiPriority w:val="0"/>
    <w:rPr>
      <w:sz w:val="24"/>
      <w:szCs w:val="24"/>
    </w:rPr>
  </w:style>
  <w:style w:type="paragraph" w:customStyle="1" w:styleId="99">
    <w:name w:val="环评正文"/>
    <w:basedOn w:val="1"/>
    <w:link w:val="100"/>
    <w:qFormat/>
    <w:uiPriority w:val="0"/>
    <w:pPr>
      <w:spacing w:line="360" w:lineRule="auto"/>
      <w:ind w:left="1" w:firstLine="420" w:firstLineChars="175"/>
    </w:pPr>
    <w:rPr>
      <w:rFonts w:ascii="宋体" w:hAnsi="宋体" w:cs="宋体"/>
      <w:kern w:val="0"/>
      <w:sz w:val="24"/>
      <w:szCs w:val="20"/>
    </w:rPr>
  </w:style>
  <w:style w:type="character" w:customStyle="1" w:styleId="100">
    <w:name w:val="环评正文 Char"/>
    <w:basedOn w:val="26"/>
    <w:link w:val="99"/>
    <w:qFormat/>
    <w:uiPriority w:val="0"/>
    <w:rPr>
      <w:rFonts w:ascii="宋体" w:hAnsi="宋体" w:eastAsia="宋体" w:cs="宋体"/>
      <w:sz w:val="24"/>
    </w:rPr>
  </w:style>
  <w:style w:type="paragraph" w:customStyle="1" w:styleId="101">
    <w:name w:val="1.表头"/>
    <w:basedOn w:val="1"/>
    <w:qFormat/>
    <w:uiPriority w:val="0"/>
    <w:pPr>
      <w:spacing w:line="440" w:lineRule="exact"/>
      <w:ind w:firstLine="360" w:firstLineChars="150"/>
    </w:pPr>
    <w:rPr>
      <w:rFonts w:eastAsia="黑体" w:cs="宋体"/>
      <w:sz w:val="24"/>
      <w:szCs w:val="20"/>
    </w:rPr>
  </w:style>
  <w:style w:type="paragraph" w:customStyle="1" w:styleId="102">
    <w:name w:val="表格内容"/>
    <w:basedOn w:val="1"/>
    <w:link w:val="103"/>
    <w:qFormat/>
    <w:uiPriority w:val="0"/>
    <w:pPr>
      <w:overflowPunct w:val="0"/>
      <w:adjustRightInd w:val="0"/>
      <w:jc w:val="center"/>
    </w:pPr>
    <w:rPr>
      <w:kern w:val="0"/>
      <w:sz w:val="21"/>
      <w:szCs w:val="20"/>
    </w:rPr>
  </w:style>
  <w:style w:type="character" w:customStyle="1" w:styleId="103">
    <w:name w:val="表格内容 Char"/>
    <w:basedOn w:val="26"/>
    <w:link w:val="102"/>
    <w:qFormat/>
    <w:uiPriority w:val="0"/>
    <w:rPr>
      <w:rFonts w:ascii="Times New Roman" w:hAnsi="Times New Roman" w:eastAsia="宋体" w:cs="Times New Roman"/>
      <w:sz w:val="21"/>
    </w:rPr>
  </w:style>
  <w:style w:type="paragraph" w:customStyle="1" w:styleId="104">
    <w:name w:val="段落 Char Char Char Char Char"/>
    <w:basedOn w:val="13"/>
    <w:link w:val="105"/>
    <w:qFormat/>
    <w:uiPriority w:val="0"/>
    <w:pPr>
      <w:tabs>
        <w:tab w:val="left" w:pos="600"/>
        <w:tab w:val="left" w:pos="720"/>
      </w:tabs>
      <w:snapToGrid w:val="0"/>
      <w:spacing w:line="240" w:lineRule="atLeast"/>
      <w:jc w:val="center"/>
    </w:pPr>
    <w:rPr>
      <w:rFonts w:ascii="Times New Roman" w:hAnsi="Times New Roman" w:cs="Times New Roman"/>
      <w:sz w:val="21"/>
      <w:szCs w:val="21"/>
    </w:rPr>
  </w:style>
  <w:style w:type="character" w:customStyle="1" w:styleId="105">
    <w:name w:val="段落 Char Char Char Char Char Char"/>
    <w:link w:val="104"/>
    <w:qFormat/>
    <w:uiPriority w:val="0"/>
    <w:rPr>
      <w:rFonts w:ascii="Times New Roman" w:hAnsi="Times New Roman" w:eastAsia="宋体" w:cs="Times New Roman"/>
      <w:kern w:val="2"/>
      <w:sz w:val="21"/>
      <w:szCs w:val="21"/>
    </w:rPr>
  </w:style>
  <w:style w:type="paragraph" w:customStyle="1" w:styleId="106">
    <w:name w:val="报告表表格文字"/>
    <w:basedOn w:val="1"/>
    <w:qFormat/>
    <w:uiPriority w:val="0"/>
    <w:pPr>
      <w:autoSpaceDE w:val="0"/>
      <w:autoSpaceDN w:val="0"/>
      <w:adjustRightInd w:val="0"/>
      <w:snapToGrid w:val="0"/>
      <w:spacing w:line="360" w:lineRule="exact"/>
      <w:jc w:val="center"/>
    </w:pPr>
    <w:rPr>
      <w:color w:val="000000"/>
      <w:kern w:val="0"/>
      <w:sz w:val="21"/>
      <w:szCs w:val="21"/>
    </w:rPr>
  </w:style>
  <w:style w:type="paragraph" w:customStyle="1" w:styleId="107">
    <w:name w:val="TT正文"/>
    <w:basedOn w:val="1"/>
    <w:qFormat/>
    <w:uiPriority w:val="0"/>
    <w:pPr>
      <w:ind w:firstLine="200" w:firstLineChars="200"/>
    </w:pPr>
    <w:rPr>
      <w:rFonts w:cs="宋体"/>
      <w:color w:val="000000"/>
      <w:sz w:val="24"/>
      <w:szCs w:val="20"/>
    </w:rPr>
  </w:style>
  <w:style w:type="paragraph" w:customStyle="1" w:styleId="108">
    <w:name w:val="正文文本缩进1"/>
    <w:basedOn w:val="1"/>
    <w:qFormat/>
    <w:uiPriority w:val="0"/>
    <w:pPr>
      <w:tabs>
        <w:tab w:val="left" w:pos="210"/>
      </w:tabs>
      <w:spacing w:line="360" w:lineRule="auto"/>
      <w:ind w:firstLine="420" w:firstLineChars="175"/>
    </w:pPr>
    <w:rPr>
      <w:sz w:val="21"/>
      <w:szCs w:val="24"/>
    </w:rPr>
  </w:style>
  <w:style w:type="character" w:customStyle="1" w:styleId="109">
    <w:name w:val="正文首行缩进 2 Char"/>
    <w:basedOn w:val="76"/>
    <w:link w:val="23"/>
    <w:qFormat/>
    <w:uiPriority w:val="99"/>
    <w:rPr>
      <w:rFonts w:ascii="Times New Roman" w:hAnsi="Times New Roman" w:eastAsia="宋体" w:cs="Times New Roman"/>
      <w:kern w:val="2"/>
      <w:sz w:val="21"/>
      <w:szCs w:val="24"/>
    </w:rPr>
  </w:style>
  <w:style w:type="character" w:customStyle="1" w:styleId="110">
    <w:name w:val="【正文】 Char"/>
    <w:link w:val="111"/>
    <w:qFormat/>
    <w:locked/>
    <w:uiPriority w:val="0"/>
    <w:rPr>
      <w:rFonts w:ascii="宋体" w:hAnsi="宋体" w:cs="宋体"/>
      <w:kern w:val="2"/>
      <w:sz w:val="24"/>
    </w:rPr>
  </w:style>
  <w:style w:type="paragraph" w:customStyle="1" w:styleId="111">
    <w:name w:val="【正文】"/>
    <w:basedOn w:val="1"/>
    <w:link w:val="110"/>
    <w:qFormat/>
    <w:uiPriority w:val="0"/>
    <w:pPr>
      <w:spacing w:line="500" w:lineRule="exact"/>
      <w:ind w:firstLine="200" w:firstLineChars="200"/>
    </w:pPr>
    <w:rPr>
      <w:rFonts w:ascii="宋体" w:hAnsi="宋体" w:cs="宋体" w:eastAsiaTheme="minorEastAsia"/>
      <w:sz w:val="24"/>
      <w:szCs w:val="20"/>
    </w:rPr>
  </w:style>
  <w:style w:type="character" w:customStyle="1" w:styleId="112">
    <w:name w:val="普通(网站) Char"/>
    <w:link w:val="21"/>
    <w:qFormat/>
    <w:locked/>
    <w:uiPriority w:val="0"/>
    <w:rPr>
      <w:rFonts w:ascii="宋体" w:hAnsi="宋体" w:eastAsia="宋体" w:cs="宋体"/>
      <w:sz w:val="24"/>
      <w:szCs w:val="24"/>
    </w:rPr>
  </w:style>
  <w:style w:type="character" w:customStyle="1" w:styleId="113">
    <w:name w:val="表格 Char"/>
    <w:link w:val="114"/>
    <w:qFormat/>
    <w:locked/>
    <w:uiPriority w:val="0"/>
    <w:rPr>
      <w:rFonts w:ascii="宋体"/>
      <w:sz w:val="21"/>
    </w:rPr>
  </w:style>
  <w:style w:type="paragraph" w:customStyle="1" w:styleId="114">
    <w:name w:val="表格"/>
    <w:basedOn w:val="1"/>
    <w:next w:val="1"/>
    <w:link w:val="113"/>
    <w:qFormat/>
    <w:uiPriority w:val="0"/>
    <w:pPr>
      <w:adjustRightInd w:val="0"/>
      <w:snapToGrid w:val="0"/>
      <w:spacing w:beforeLines="10" w:afterLines="10" w:line="259" w:lineRule="auto"/>
      <w:jc w:val="center"/>
    </w:pPr>
    <w:rPr>
      <w:rFonts w:ascii="宋体" w:hAnsiTheme="minorHAnsi" w:eastAsiaTheme="minorEastAsia" w:cstheme="minorBidi"/>
      <w:kern w:val="0"/>
      <w:sz w:val="21"/>
      <w:szCs w:val="20"/>
    </w:rPr>
  </w:style>
  <w:style w:type="character" w:customStyle="1" w:styleId="115">
    <w:name w:val="XQ表格文字 Char"/>
    <w:link w:val="116"/>
    <w:qFormat/>
    <w:uiPriority w:val="0"/>
    <w:rPr>
      <w:color w:val="000000"/>
      <w:sz w:val="21"/>
      <w:szCs w:val="21"/>
    </w:rPr>
  </w:style>
  <w:style w:type="paragraph" w:customStyle="1" w:styleId="116">
    <w:name w:val="XQ表格文字"/>
    <w:basedOn w:val="1"/>
    <w:link w:val="115"/>
    <w:qFormat/>
    <w:uiPriority w:val="0"/>
    <w:pPr>
      <w:tabs>
        <w:tab w:val="left" w:pos="420"/>
        <w:tab w:val="center" w:pos="623"/>
      </w:tabs>
      <w:adjustRightInd w:val="0"/>
      <w:snapToGrid w:val="0"/>
      <w:jc w:val="center"/>
    </w:pPr>
    <w:rPr>
      <w:rFonts w:asciiTheme="minorHAnsi" w:hAnsiTheme="minorHAnsi" w:eastAsiaTheme="minorEastAsia" w:cstheme="minorBidi"/>
      <w:color w:val="000000"/>
      <w:kern w:val="0"/>
      <w:sz w:val="21"/>
      <w:szCs w:val="21"/>
    </w:rPr>
  </w:style>
  <w:style w:type="character" w:customStyle="1" w:styleId="117">
    <w:name w:val="表内 定 Char"/>
    <w:link w:val="118"/>
    <w:qFormat/>
    <w:locked/>
    <w:uiPriority w:val="0"/>
    <w:rPr>
      <w:rFonts w:ascii="仿宋" w:hAnsi="仿宋" w:eastAsia="仿宋"/>
      <w:snapToGrid w:val="0"/>
      <w:color w:val="000000"/>
      <w:szCs w:val="22"/>
    </w:rPr>
  </w:style>
  <w:style w:type="paragraph" w:customStyle="1" w:styleId="118">
    <w:name w:val="表内 定"/>
    <w:basedOn w:val="1"/>
    <w:link w:val="117"/>
    <w:qFormat/>
    <w:uiPriority w:val="0"/>
    <w:pPr>
      <w:snapToGrid w:val="0"/>
      <w:jc w:val="left"/>
    </w:pPr>
    <w:rPr>
      <w:rFonts w:ascii="仿宋" w:hAnsi="仿宋" w:eastAsia="仿宋" w:cstheme="minorBidi"/>
      <w:snapToGrid w:val="0"/>
      <w:color w:val="000000"/>
      <w:kern w:val="0"/>
      <w:sz w:val="20"/>
      <w:szCs w:val="22"/>
    </w:rPr>
  </w:style>
  <w:style w:type="paragraph" w:customStyle="1" w:styleId="119">
    <w:name w:val="表内"/>
    <w:basedOn w:val="1"/>
    <w:qFormat/>
    <w:uiPriority w:val="99"/>
    <w:pPr>
      <w:framePr w:hSpace="180" w:wrap="around" w:vAnchor="page" w:hAnchor="margin" w:y="1411"/>
      <w:widowControl/>
    </w:pPr>
    <w:rPr>
      <w:rFonts w:ascii="宋体" w:hAnsi="宋体" w:eastAsia="仿宋"/>
      <w:kern w:val="0"/>
      <w:sz w:val="20"/>
      <w:szCs w:val="20"/>
    </w:rPr>
  </w:style>
  <w:style w:type="paragraph" w:customStyle="1" w:styleId="120">
    <w:name w:val="表头样式1"/>
    <w:basedOn w:val="1"/>
    <w:qFormat/>
    <w:uiPriority w:val="0"/>
    <w:pPr>
      <w:adjustRightInd w:val="0"/>
      <w:snapToGrid w:val="0"/>
      <w:jc w:val="center"/>
    </w:pPr>
    <w:rPr>
      <w:rFonts w:ascii="Calibri" w:hAnsi="Calibri" w:eastAsia="楷体_GB2312"/>
      <w:bCs/>
      <w:sz w:val="18"/>
      <w:szCs w:val="18"/>
    </w:rPr>
  </w:style>
  <w:style w:type="character" w:customStyle="1" w:styleId="121">
    <w:name w:val="标题 1 Char"/>
    <w:basedOn w:val="26"/>
    <w:link w:val="3"/>
    <w:qFormat/>
    <w:uiPriority w:val="9"/>
    <w:rPr>
      <w:rFonts w:ascii="Times New Roman" w:hAnsi="Times New Roman" w:eastAsia="宋体" w:cs="Times New Roman"/>
      <w:b/>
      <w:bCs/>
      <w:kern w:val="44"/>
      <w:sz w:val="44"/>
      <w:szCs w:val="44"/>
    </w:rPr>
  </w:style>
  <w:style w:type="paragraph" w:customStyle="1" w:styleId="122">
    <w:name w:val="c表头"/>
    <w:basedOn w:val="1"/>
    <w:qFormat/>
    <w:uiPriority w:val="0"/>
    <w:pPr>
      <w:widowControl/>
      <w:spacing w:line="400" w:lineRule="exact"/>
      <w:ind w:firstLine="413" w:firstLineChars="196"/>
    </w:pPr>
    <w:rPr>
      <w:rFonts w:ascii="Calibri" w:hAnsi="Calibri" w:eastAsia="等线"/>
      <w:b/>
      <w:sz w:val="21"/>
      <w:szCs w:val="21"/>
    </w:rPr>
  </w:style>
  <w:style w:type="character" w:customStyle="1" w:styleId="123">
    <w:name w:val="c正文 字符"/>
    <w:link w:val="124"/>
    <w:qFormat/>
    <w:locked/>
    <w:uiPriority w:val="0"/>
    <w:rPr>
      <w:sz w:val="24"/>
    </w:rPr>
  </w:style>
  <w:style w:type="paragraph" w:customStyle="1" w:styleId="124">
    <w:name w:val="c正文"/>
    <w:basedOn w:val="1"/>
    <w:link w:val="123"/>
    <w:qFormat/>
    <w:uiPriority w:val="0"/>
    <w:pPr>
      <w:adjustRightInd w:val="0"/>
      <w:snapToGrid w:val="0"/>
      <w:spacing w:line="500" w:lineRule="exact"/>
      <w:ind w:firstLine="480" w:firstLineChars="200"/>
    </w:pPr>
    <w:rPr>
      <w:rFonts w:asciiTheme="minorHAnsi" w:hAnsiTheme="minorHAnsi" w:eastAsiaTheme="minorEastAsia" w:cstheme="minorBidi"/>
      <w:kern w:val="0"/>
      <w:sz w:val="24"/>
      <w:szCs w:val="20"/>
    </w:rPr>
  </w:style>
  <w:style w:type="paragraph" w:customStyle="1" w:styleId="125">
    <w:name w:val="鸿达表格文字"/>
    <w:basedOn w:val="1"/>
    <w:qFormat/>
    <w:uiPriority w:val="0"/>
    <w:pPr>
      <w:contextualSpacing/>
      <w:jc w:val="center"/>
      <w:textAlignment w:val="baseline"/>
    </w:pPr>
    <w:rPr>
      <w:kern w:val="0"/>
      <w:sz w:val="21"/>
      <w:szCs w:val="21"/>
    </w:rPr>
  </w:style>
  <w:style w:type="character" w:customStyle="1" w:styleId="126">
    <w:name w:val="font101"/>
    <w:basedOn w:val="26"/>
    <w:qFormat/>
    <w:uiPriority w:val="0"/>
    <w:rPr>
      <w:rFonts w:hint="eastAsia" w:ascii="仿宋" w:hAnsi="仿宋" w:eastAsia="仿宋" w:cs="仿宋"/>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dk1"/>
        </a:lnRef>
        <a:fillRef idx="0">
          <a:schemeClr val="dk1"/>
        </a:fillRef>
        <a:effectRef idx="0">
          <a:schemeClr val="dk1"/>
        </a:effectRef>
        <a:fontRef idx="minor">
          <a:schemeClr val="tx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BE5D1F-62FB-46C0-9A99-FF700DA2E11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51</Pages>
  <Words>32458</Words>
  <Characters>35669</Characters>
  <Lines>199</Lines>
  <Paragraphs>56</Paragraphs>
  <TotalTime>2</TotalTime>
  <ScaleCrop>false</ScaleCrop>
  <LinksUpToDate>false</LinksUpToDate>
  <CharactersWithSpaces>36636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2021-08-05T07:32:00Z</dcterms:created>
  <dc:creator>Administrator</dc:creator>
  <cp:lastModifiedBy>想飞的鱼</cp:lastModifiedBy>
  <cp:lastPrinted>2021-03-25T03:34:00Z</cp:lastPrinted>
  <dcterms:modified xsi:type="dcterms:W3CDTF">2023-11-01T01:11:13Z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81DEA6F561DE47CC8C9DD7962A694072_13</vt:lpwstr>
  </property>
</Properties>
</file>