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8460"/>
          <w:tab w:val="left" w:pos="8640"/>
        </w:tabs>
        <w:spacing w:line="20" w:lineRule="exact"/>
        <w:ind w:right="-329" w:rightChars="-160"/>
        <w:jc w:val="right"/>
        <w:rPr>
          <w:rFonts w:ascii="黑体" w:eastAsia="黑体"/>
          <w:sz w:val="18"/>
          <w:szCs w:val="18"/>
        </w:rPr>
      </w:pPr>
    </w:p>
    <w:p>
      <w:pPr>
        <w:tabs>
          <w:tab w:val="left" w:pos="360"/>
          <w:tab w:val="left" w:pos="8460"/>
          <w:tab w:val="left" w:pos="8640"/>
        </w:tabs>
        <w:spacing w:line="20" w:lineRule="exact"/>
        <w:ind w:right="-329" w:rightChars="-160"/>
        <w:jc w:val="right"/>
        <w:rPr>
          <w:rFonts w:ascii="黑体" w:eastAsia="黑体"/>
          <w:sz w:val="18"/>
          <w:szCs w:val="18"/>
        </w:rPr>
      </w:pPr>
      <w:bookmarkStart w:id="0" w:name="DocStart"/>
      <w:bookmarkEnd w:id="0"/>
    </w:p>
    <w:p>
      <w:pPr>
        <w:adjustRightInd w:val="0"/>
        <w:snapToGrid w:val="0"/>
        <w:rPr>
          <w:rFonts w:ascii="仿宋" w:hAnsi="仿宋" w:eastAsia="仿宋" w:cs="Times New Roman"/>
          <w:color w:val="002060"/>
          <w:sz w:val="32"/>
          <w:szCs w:val="32"/>
        </w:rPr>
      </w:pPr>
    </w:p>
    <w:p>
      <w:pPr>
        <w:adjustRightInd w:val="0"/>
        <w:snapToGrid w:val="0"/>
        <w:jc w:val="center"/>
        <w:rPr>
          <w:rFonts w:hint="eastAsia" w:ascii="方正小标宋简体" w:hAnsi="宋体" w:eastAsia="方正小标宋简体"/>
          <w:b/>
          <w:bCs/>
          <w:color w:val="000000"/>
          <w:sz w:val="44"/>
          <w:szCs w:val="44"/>
          <w:lang w:eastAsia="zh-CN"/>
        </w:rPr>
      </w:pPr>
      <w:r>
        <w:rPr>
          <w:rFonts w:hint="eastAsia" w:ascii="方正小标宋简体" w:hAnsi="宋体" w:eastAsia="方正小标宋简体"/>
          <w:b/>
          <w:bCs/>
          <w:color w:val="000000"/>
          <w:sz w:val="44"/>
          <w:szCs w:val="44"/>
        </w:rPr>
        <w:t>新乡县烟草制品零售点合理布局规划</w:t>
      </w:r>
      <w:r>
        <w:rPr>
          <w:rFonts w:hint="eastAsia" w:ascii="方正小标宋简体" w:hAnsi="宋体" w:eastAsia="方正小标宋简体"/>
          <w:b/>
          <w:bCs/>
          <w:color w:val="000000"/>
          <w:sz w:val="44"/>
          <w:szCs w:val="44"/>
          <w:lang w:eastAsia="zh-CN"/>
        </w:rPr>
        <w:t>（草案）</w:t>
      </w:r>
    </w:p>
    <w:p>
      <w:pPr>
        <w:spacing w:line="576" w:lineRule="exact"/>
        <w:jc w:val="center"/>
        <w:rPr>
          <w:rFonts w:ascii="仿宋" w:hAnsi="仿宋" w:eastAsia="仿宋"/>
          <w:color w:val="000000"/>
          <w:kern w:val="0"/>
          <w:sz w:val="32"/>
          <w:szCs w:val="32"/>
          <w:shd w:val="clear" w:color="auto" w:fill="FFFFFF"/>
        </w:rPr>
      </w:pPr>
    </w:p>
    <w:p>
      <w:pPr>
        <w:spacing w:line="576" w:lineRule="exact"/>
        <w:jc w:val="center"/>
        <w:rPr>
          <w:rFonts w:ascii="仿宋_GB2312" w:hAnsi="仿宋" w:eastAsia="仿宋_GB2312" w:cs="楷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第一章  总  则</w:t>
      </w:r>
    </w:p>
    <w:p>
      <w:pPr>
        <w:spacing w:line="576" w:lineRule="exact"/>
        <w:ind w:firstLine="632" w:firstLineChars="200"/>
        <w:jc w:val="left"/>
        <w:rPr>
          <w:rFonts w:ascii="仿宋" w:hAnsi="仿宋" w:eastAsia="仿宋" w:cs="仿宋"/>
          <w:color w:val="000000"/>
          <w:sz w:val="32"/>
          <w:szCs w:val="32"/>
        </w:rPr>
      </w:pPr>
      <w:r>
        <w:rPr>
          <w:rFonts w:hint="eastAsia" w:ascii="楷体" w:hAnsi="楷体" w:eastAsia="楷体" w:cs="黑体"/>
          <w:bCs/>
          <w:color w:val="000000"/>
          <w:kern w:val="0"/>
          <w:sz w:val="32"/>
          <w:szCs w:val="32"/>
          <w:shd w:val="clear" w:color="auto" w:fill="FFFFFF"/>
        </w:rPr>
        <w:t>第一条</w:t>
      </w:r>
      <w:r>
        <w:rPr>
          <w:rFonts w:ascii="仿宋" w:hAnsi="仿宋" w:eastAsia="仿宋" w:cs="黑体"/>
          <w:bCs/>
          <w:color w:val="000000"/>
          <w:kern w:val="0"/>
          <w:sz w:val="32"/>
          <w:szCs w:val="32"/>
          <w:shd w:val="clear" w:color="auto" w:fill="FFFFFF"/>
        </w:rPr>
        <w:t xml:space="preserve">  </w:t>
      </w:r>
      <w:r>
        <w:rPr>
          <w:rFonts w:hint="eastAsia" w:ascii="仿宋" w:hAnsi="仿宋" w:eastAsia="仿宋" w:cs="仿宋"/>
          <w:color w:val="000000"/>
          <w:kern w:val="0"/>
          <w:sz w:val="32"/>
          <w:szCs w:val="32"/>
          <w:shd w:val="clear" w:color="auto" w:fill="FFFFFF"/>
        </w:rPr>
        <w:t>为规范烟草制品零售市场经营秩序，维护国家</w:t>
      </w:r>
      <w:r>
        <w:rPr>
          <w:rFonts w:hint="eastAsia" w:ascii="仿宋" w:hAnsi="仿宋" w:eastAsia="仿宋" w:cs="仿宋"/>
          <w:kern w:val="0"/>
          <w:sz w:val="32"/>
          <w:szCs w:val="32"/>
          <w:shd w:val="clear" w:color="auto" w:fill="FFFFFF"/>
        </w:rPr>
        <w:t>利</w:t>
      </w:r>
      <w:r>
        <w:rPr>
          <w:rFonts w:hint="eastAsia" w:ascii="仿宋" w:hAnsi="仿宋" w:eastAsia="仿宋" w:cs="仿宋"/>
          <w:color w:val="000000"/>
          <w:kern w:val="0"/>
          <w:sz w:val="32"/>
          <w:szCs w:val="32"/>
          <w:shd w:val="clear" w:color="auto" w:fill="FFFFFF"/>
        </w:rPr>
        <w:t>益、消费者利益和消费者的合法权益，加强烟草专卖零售许可证的管理，促进烟草市场健康发展，保护未成年人权益，根据《中华人民共和国烟草专卖法》《中华人民共和国行政许可法》《中华人民共和国未成年人保护法》《中华人民共和国烟草专卖法实施条例》《烟草专卖许可证管理办法》《烟草专卖许可证管理办法实施细则》等法律、法规、规章和规范性文件的规定，结合本辖区实际，制订本规划。</w:t>
      </w:r>
    </w:p>
    <w:p>
      <w:pPr>
        <w:pStyle w:val="4"/>
        <w:spacing w:after="0" w:line="576" w:lineRule="exact"/>
        <w:ind w:firstLine="632" w:firstLineChars="200"/>
        <w:jc w:val="left"/>
        <w:rPr>
          <w:rFonts w:ascii="仿宋" w:hAnsi="仿宋" w:eastAsia="仿宋" w:cs="仿宋"/>
          <w:color w:val="000000"/>
          <w:kern w:val="0"/>
          <w:sz w:val="32"/>
          <w:szCs w:val="32"/>
          <w:shd w:val="clear" w:color="auto" w:fill="FFFFFF"/>
        </w:rPr>
      </w:pPr>
      <w:r>
        <w:rPr>
          <w:rFonts w:hint="eastAsia" w:ascii="楷体" w:hAnsi="楷体" w:eastAsia="楷体" w:cs="黑体"/>
          <w:bCs/>
          <w:color w:val="000000"/>
          <w:kern w:val="0"/>
          <w:sz w:val="32"/>
          <w:szCs w:val="32"/>
          <w:shd w:val="clear" w:color="auto" w:fill="FFFFFF"/>
        </w:rPr>
        <w:t>第二条</w:t>
      </w:r>
      <w:r>
        <w:rPr>
          <w:rFonts w:ascii="仿宋" w:hAnsi="仿宋" w:eastAsia="仿宋" w:cs="黑体"/>
          <w:bCs/>
          <w:color w:val="000000"/>
          <w:kern w:val="0"/>
          <w:sz w:val="32"/>
          <w:szCs w:val="32"/>
          <w:shd w:val="clear" w:color="auto" w:fill="FFFFFF"/>
        </w:rPr>
        <w:t xml:space="preserve">  </w:t>
      </w:r>
      <w:r>
        <w:rPr>
          <w:rFonts w:hint="eastAsia" w:ascii="仿宋" w:hAnsi="仿宋" w:eastAsia="仿宋" w:cs="仿宋"/>
          <w:color w:val="000000"/>
          <w:kern w:val="0"/>
          <w:sz w:val="32"/>
          <w:szCs w:val="32"/>
          <w:shd w:val="clear" w:color="auto" w:fill="FFFFFF"/>
        </w:rPr>
        <w:t>本规划适用于新乡县行政区域范围内烟草制品零售点的设置与管理。</w:t>
      </w:r>
    </w:p>
    <w:p>
      <w:pPr>
        <w:spacing w:line="576" w:lineRule="exact"/>
        <w:ind w:firstLine="632" w:firstLineChars="200"/>
        <w:jc w:val="left"/>
        <w:rPr>
          <w:rFonts w:ascii="仿宋" w:hAnsi="仿宋" w:eastAsia="仿宋" w:cs="仿宋"/>
          <w:color w:val="000000"/>
          <w:kern w:val="0"/>
          <w:sz w:val="32"/>
          <w:szCs w:val="32"/>
          <w:shd w:val="clear" w:color="auto" w:fill="FFFFFF"/>
        </w:rPr>
      </w:pPr>
      <w:r>
        <w:rPr>
          <w:rFonts w:hint="eastAsia" w:ascii="楷体" w:hAnsi="楷体" w:eastAsia="楷体" w:cs="黑体"/>
          <w:bCs/>
          <w:color w:val="000000"/>
          <w:kern w:val="0"/>
          <w:sz w:val="32"/>
          <w:szCs w:val="32"/>
          <w:shd w:val="clear" w:color="auto" w:fill="FFFFFF"/>
        </w:rPr>
        <w:t>第三条</w:t>
      </w:r>
      <w:r>
        <w:rPr>
          <w:rFonts w:ascii="仿宋" w:hAnsi="仿宋" w:eastAsia="仿宋" w:cs="仿宋"/>
          <w:color w:val="000000"/>
          <w:kern w:val="0"/>
          <w:sz w:val="32"/>
          <w:szCs w:val="32"/>
          <w:shd w:val="clear" w:color="auto" w:fill="FFFFFF"/>
        </w:rPr>
        <w:t xml:space="preserve">  </w:t>
      </w:r>
      <w:r>
        <w:rPr>
          <w:rFonts w:hint="eastAsia" w:ascii="仿宋" w:hAnsi="仿宋" w:eastAsia="仿宋" w:cs="仿宋"/>
          <w:color w:val="000000"/>
          <w:kern w:val="0"/>
          <w:sz w:val="32"/>
          <w:szCs w:val="32"/>
          <w:shd w:val="clear" w:color="auto" w:fill="FFFFFF"/>
        </w:rPr>
        <w:t>烟草制品零售点（以下简称“零售点”）是指依法取得烟草专卖零售许可证从事烟草制品零售业务的公民、法人及其他组织开展烟草制品零售业务的经营场所，且经营场所应具备满足最低经营需求的基本设施条件，形成初步的经营业态。</w:t>
      </w:r>
    </w:p>
    <w:p>
      <w:pPr>
        <w:pStyle w:val="4"/>
        <w:spacing w:after="0" w:line="576" w:lineRule="exact"/>
        <w:ind w:firstLine="632" w:firstLineChars="200"/>
        <w:jc w:val="left"/>
        <w:rPr>
          <w:rFonts w:ascii="仿宋" w:hAnsi="仿宋" w:eastAsia="仿宋" w:cs="仿宋"/>
          <w:color w:val="000000"/>
          <w:kern w:val="0"/>
          <w:sz w:val="32"/>
          <w:szCs w:val="32"/>
          <w:shd w:val="clear" w:color="auto" w:fill="FFFFFF"/>
        </w:rPr>
      </w:pPr>
      <w:r>
        <w:rPr>
          <w:rFonts w:hint="eastAsia" w:ascii="楷体" w:hAnsi="楷体" w:eastAsia="楷体" w:cs="黑体"/>
          <w:bCs/>
          <w:color w:val="000000"/>
          <w:kern w:val="0"/>
          <w:sz w:val="32"/>
          <w:szCs w:val="32"/>
          <w:shd w:val="clear" w:color="auto" w:fill="FFFFFF"/>
        </w:rPr>
        <w:t>第四条</w:t>
      </w:r>
      <w:r>
        <w:rPr>
          <w:rFonts w:ascii="仿宋" w:hAnsi="仿宋" w:eastAsia="仿宋" w:cs="黑体"/>
          <w:bCs/>
          <w:color w:val="000000"/>
          <w:kern w:val="0"/>
          <w:sz w:val="32"/>
          <w:szCs w:val="32"/>
          <w:shd w:val="clear" w:color="auto" w:fill="FFFFFF"/>
        </w:rPr>
        <w:t xml:space="preserve">  </w:t>
      </w:r>
      <w:r>
        <w:rPr>
          <w:rFonts w:hint="eastAsia" w:ascii="仿宋" w:hAnsi="仿宋" w:eastAsia="仿宋" w:cs="仿宋"/>
          <w:color w:val="000000"/>
          <w:kern w:val="0"/>
          <w:sz w:val="32"/>
          <w:szCs w:val="32"/>
          <w:shd w:val="clear" w:color="auto" w:fill="FFFFFF"/>
        </w:rPr>
        <w:t>烟草制品零售点合理布局以市场为导向，遵循依法行政、科学规划、服务社会、均衡发展的原则。</w:t>
      </w:r>
    </w:p>
    <w:p>
      <w:pPr>
        <w:spacing w:line="576" w:lineRule="exact"/>
        <w:ind w:firstLine="632" w:firstLineChars="200"/>
        <w:jc w:val="left"/>
        <w:rPr>
          <w:rFonts w:ascii="仿宋" w:hAnsi="仿宋" w:eastAsia="仿宋" w:cs="仿宋"/>
          <w:color w:val="000000"/>
          <w:sz w:val="32"/>
          <w:szCs w:val="32"/>
        </w:rPr>
      </w:pPr>
      <w:r>
        <w:rPr>
          <w:rFonts w:hint="eastAsia" w:ascii="楷体" w:hAnsi="楷体" w:eastAsia="楷体" w:cs="黑体"/>
          <w:bCs/>
          <w:color w:val="000000"/>
          <w:kern w:val="0"/>
          <w:sz w:val="32"/>
          <w:szCs w:val="32"/>
          <w:shd w:val="clear" w:color="auto" w:fill="FFFFFF"/>
        </w:rPr>
        <w:t>第五条</w:t>
      </w:r>
      <w:r>
        <w:rPr>
          <w:rFonts w:ascii="仿宋" w:hAnsi="仿宋" w:eastAsia="仿宋" w:cs="仿宋"/>
          <w:color w:val="000000"/>
          <w:sz w:val="32"/>
          <w:szCs w:val="32"/>
        </w:rPr>
        <w:t xml:space="preserve">  </w:t>
      </w:r>
      <w:r>
        <w:rPr>
          <w:rFonts w:hint="eastAsia" w:ascii="仿宋" w:hAnsi="仿宋" w:eastAsia="仿宋" w:cs="仿宋"/>
          <w:color w:val="000000"/>
          <w:sz w:val="32"/>
          <w:szCs w:val="32"/>
        </w:rPr>
        <w:t>由新乡县烟草专卖局综合考虑零售点存量、人口数量、交通状况、经济发展水平、消费能力等因素，将辖区划分若干市场单元，并确定市场单元零售点的指导数。</w:t>
      </w:r>
    </w:p>
    <w:p>
      <w:pPr>
        <w:pStyle w:val="4"/>
        <w:spacing w:after="0" w:line="576" w:lineRule="exact"/>
        <w:ind w:firstLine="632" w:firstLineChars="200"/>
        <w:jc w:val="left"/>
        <w:rPr>
          <w:rFonts w:ascii="仿宋" w:hAnsi="仿宋" w:eastAsia="仿宋" w:cs="仿宋"/>
          <w:color w:val="000000"/>
          <w:sz w:val="32"/>
          <w:szCs w:val="32"/>
        </w:rPr>
      </w:pPr>
      <w:r>
        <w:rPr>
          <w:rFonts w:hint="eastAsia" w:ascii="楷体" w:hAnsi="楷体" w:eastAsia="楷体" w:cs="黑体"/>
          <w:bCs/>
          <w:color w:val="000000"/>
          <w:kern w:val="0"/>
          <w:sz w:val="32"/>
          <w:szCs w:val="32"/>
          <w:shd w:val="clear" w:color="auto" w:fill="FFFFFF"/>
        </w:rPr>
        <w:t>第六条</w:t>
      </w:r>
      <w:r>
        <w:rPr>
          <w:rFonts w:hint="eastAsia" w:ascii="仿宋" w:hAnsi="仿宋" w:eastAsia="仿宋" w:cs="仿宋"/>
          <w:color w:val="000000"/>
          <w:sz w:val="32"/>
          <w:szCs w:val="32"/>
        </w:rPr>
        <w:t xml:space="preserve">  为了合理满足消费需求、防止无序竞争、落实控烟履约要求，对新乡县辖区的市场单元和市场单元内的烟草制品零售点合理布局进行动态调整，以发布为准。根据辖区内的人口数量、交通状况、经济发展水平、消费能力烟草制品零售点数量、盈利水平、诚信等级等因素，科学设定市场单元内的烟草制品零售点数量布局。烟草制品零售点数量布局设置应当以指导数为基本参照，一定时期内根据实际动态把握和调整，在已经满足市场消费需求的情况下，按照“退一进一”原则，根据排队轮候顺序依法受理。</w:t>
      </w:r>
    </w:p>
    <w:p>
      <w:pPr>
        <w:spacing w:line="576" w:lineRule="exact"/>
        <w:ind w:firstLine="632" w:firstLineChars="200"/>
        <w:jc w:val="left"/>
        <w:rPr>
          <w:rFonts w:ascii="仿宋" w:hAnsi="仿宋" w:eastAsia="仿宋" w:cs="仿宋"/>
          <w:color w:val="000000"/>
          <w:sz w:val="32"/>
          <w:szCs w:val="32"/>
          <w:shd w:val="clear" w:color="auto" w:fill="FFFFFF"/>
        </w:rPr>
      </w:pPr>
      <w:r>
        <w:rPr>
          <w:rFonts w:hint="eastAsia" w:ascii="楷体" w:hAnsi="楷体" w:eastAsia="楷体" w:cs="黑体"/>
          <w:bCs/>
          <w:color w:val="000000"/>
          <w:kern w:val="0"/>
          <w:sz w:val="32"/>
          <w:szCs w:val="32"/>
          <w:shd w:val="clear" w:color="auto" w:fill="FFFFFF"/>
        </w:rPr>
        <w:t>第七条</w:t>
      </w:r>
      <w:r>
        <w:rPr>
          <w:rFonts w:ascii="仿宋" w:hAnsi="仿宋" w:eastAsia="仿宋" w:cs="黑体"/>
          <w:bCs/>
          <w:color w:val="000000"/>
          <w:kern w:val="0"/>
          <w:sz w:val="32"/>
          <w:szCs w:val="32"/>
          <w:shd w:val="clear" w:color="auto" w:fill="FFFFFF"/>
        </w:rPr>
        <w:t xml:space="preserve">  </w:t>
      </w:r>
      <w:r>
        <w:rPr>
          <w:rFonts w:hint="eastAsia" w:ascii="仿宋" w:hAnsi="仿宋" w:eastAsia="仿宋" w:cs="仿宋"/>
          <w:color w:val="000000"/>
          <w:sz w:val="32"/>
          <w:szCs w:val="32"/>
        </w:rPr>
        <w:t>零售点合理布局规划应向社会公示。</w:t>
      </w:r>
    </w:p>
    <w:p>
      <w:pPr>
        <w:spacing w:line="576" w:lineRule="exact"/>
        <w:ind w:firstLine="632" w:firstLineChars="200"/>
        <w:jc w:val="center"/>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第二章  零售点总体布局规划</w:t>
      </w:r>
    </w:p>
    <w:p>
      <w:pPr>
        <w:pStyle w:val="10"/>
        <w:shd w:val="clear" w:color="auto" w:fill="FFFFFF"/>
        <w:spacing w:beforeAutospacing="0" w:afterAutospacing="0" w:line="576" w:lineRule="exact"/>
        <w:ind w:firstLine="632"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本辖区内烟草制品零售点的总体布局规划实行：“距离+总量+限制性条款”组合模式。</w:t>
      </w:r>
    </w:p>
    <w:p>
      <w:pPr>
        <w:pStyle w:val="10"/>
        <w:shd w:val="clear" w:color="auto" w:fill="FFFFFF"/>
        <w:spacing w:beforeAutospacing="0" w:afterAutospacing="0" w:line="576" w:lineRule="exact"/>
        <w:ind w:firstLine="632" w:firstLineChars="200"/>
        <w:rPr>
          <w:rFonts w:ascii="仿宋" w:hAnsi="仿宋" w:eastAsia="仿宋" w:cs="仿宋"/>
          <w:color w:val="000000"/>
          <w:sz w:val="32"/>
          <w:szCs w:val="32"/>
          <w:shd w:val="clear" w:color="auto" w:fill="FFFFFF"/>
        </w:rPr>
      </w:pPr>
      <w:r>
        <w:rPr>
          <w:rFonts w:hint="eastAsia" w:ascii="楷体" w:hAnsi="楷体" w:eastAsia="楷体" w:cs="黑体"/>
          <w:bCs/>
          <w:color w:val="000000"/>
          <w:sz w:val="32"/>
          <w:szCs w:val="32"/>
          <w:shd w:val="clear" w:color="auto" w:fill="FFFFFF"/>
        </w:rPr>
        <w:t>第八条</w:t>
      </w:r>
      <w:r>
        <w:rPr>
          <w:rFonts w:ascii="仿宋" w:hAnsi="仿宋" w:eastAsia="仿宋" w:cs="黑体"/>
          <w:bCs/>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距离限制模式</w:t>
      </w:r>
    </w:p>
    <w:p>
      <w:pPr>
        <w:widowControl/>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根据区域位置、消费结构、人口密度、环境差异等因素将新乡县辖区划分为</w:t>
      </w:r>
      <w:r>
        <w:rPr>
          <w:rFonts w:hint="eastAsia" w:ascii="仿宋" w:hAnsi="仿宋" w:eastAsia="仿宋" w:cs="仿宋"/>
          <w:color w:val="000000"/>
          <w:kern w:val="0"/>
          <w:sz w:val="32"/>
          <w:szCs w:val="32"/>
          <w:shd w:val="clear" w:color="auto" w:fill="FFFFFF"/>
          <w:lang w:bidi="ar"/>
        </w:rPr>
        <w:t>乡镇区域和农村区域。</w:t>
      </w:r>
    </w:p>
    <w:p>
      <w:pPr>
        <w:widowControl/>
        <w:ind w:firstLine="632"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rPr>
        <w:t>乡镇区域（</w:t>
      </w:r>
      <w:r>
        <w:rPr>
          <w:rFonts w:hint="eastAsia" w:ascii="仿宋" w:hAnsi="仿宋" w:eastAsia="仿宋" w:cs="仿宋"/>
          <w:color w:val="000000"/>
          <w:kern w:val="0"/>
          <w:sz w:val="32"/>
          <w:szCs w:val="32"/>
          <w:shd w:val="clear" w:color="auto" w:fill="FFFFFF"/>
          <w:lang w:bidi="ar"/>
        </w:rPr>
        <w:t>指小冀镇、朗公庙镇、七里营镇、古固寨镇、翟坡镇、大召营镇、合河乡的乡镇区域</w:t>
      </w:r>
      <w:r>
        <w:rPr>
          <w:rFonts w:hint="eastAsia" w:ascii="仿宋" w:hAnsi="仿宋" w:eastAsia="仿宋" w:cs="仿宋"/>
          <w:color w:val="000000"/>
          <w:sz w:val="32"/>
          <w:szCs w:val="32"/>
        </w:rPr>
        <w:t>）</w:t>
      </w:r>
      <w:r>
        <w:rPr>
          <w:rFonts w:hint="eastAsia" w:ascii="仿宋" w:hAnsi="仿宋" w:eastAsia="仿宋" w:cs="仿宋"/>
          <w:color w:val="000000"/>
          <w:sz w:val="32"/>
          <w:szCs w:val="32"/>
          <w:shd w:val="clear" w:color="auto" w:fill="FFFFFF"/>
        </w:rPr>
        <w:t>两个零售点间距不低于50米（不受距离限制及放宽情形的除外）。</w:t>
      </w:r>
    </w:p>
    <w:p>
      <w:pPr>
        <w:widowControl/>
        <w:ind w:firstLine="632"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农村区域（</w:t>
      </w:r>
      <w:r>
        <w:rPr>
          <w:rFonts w:hint="eastAsia" w:ascii="仿宋" w:hAnsi="仿宋" w:eastAsia="仿宋" w:cs="仿宋"/>
          <w:color w:val="000000"/>
          <w:kern w:val="0"/>
          <w:sz w:val="32"/>
          <w:szCs w:val="32"/>
          <w:shd w:val="clear" w:color="auto" w:fill="FFFFFF"/>
          <w:lang w:bidi="ar"/>
        </w:rPr>
        <w:t>指除乡镇区域以外的全部行政村、自然村及社区区域</w:t>
      </w:r>
      <w:r>
        <w:rPr>
          <w:rFonts w:hint="eastAsia" w:ascii="仿宋" w:hAnsi="仿宋" w:eastAsia="仿宋" w:cs="仿宋"/>
          <w:color w:val="000000"/>
          <w:sz w:val="32"/>
          <w:szCs w:val="32"/>
          <w:shd w:val="clear" w:color="auto" w:fill="FFFFFF"/>
        </w:rPr>
        <w:t>）两个零售点间距不低于100米（不受距离限制及放宽情形的除外）。</w:t>
      </w:r>
    </w:p>
    <w:p>
      <w:pPr>
        <w:pStyle w:val="10"/>
        <w:shd w:val="clear" w:color="auto" w:fill="FFFFFF"/>
        <w:spacing w:beforeAutospacing="0" w:afterAutospacing="0" w:line="576" w:lineRule="exact"/>
        <w:ind w:firstLine="632" w:firstLineChars="200"/>
        <w:rPr>
          <w:rFonts w:ascii="仿宋" w:hAnsi="仿宋" w:eastAsia="仿宋" w:cs="仿宋"/>
          <w:color w:val="000000"/>
          <w:sz w:val="32"/>
          <w:szCs w:val="32"/>
          <w:shd w:val="clear" w:color="auto" w:fill="FFFFFF"/>
        </w:rPr>
      </w:pPr>
      <w:r>
        <w:rPr>
          <w:rFonts w:hint="eastAsia" w:ascii="楷体" w:hAnsi="楷体" w:eastAsia="楷体" w:cs="黑体"/>
          <w:bCs/>
          <w:color w:val="000000"/>
          <w:sz w:val="32"/>
          <w:szCs w:val="32"/>
          <w:shd w:val="clear" w:color="auto" w:fill="FFFFFF"/>
        </w:rPr>
        <w:t>第九条</w:t>
      </w:r>
      <w:r>
        <w:rPr>
          <w:rFonts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总量限制模式</w:t>
      </w:r>
    </w:p>
    <w:p>
      <w:pPr>
        <w:pStyle w:val="10"/>
        <w:shd w:val="clear" w:color="auto" w:fill="FFFFFF"/>
        <w:spacing w:beforeAutospacing="0" w:afterAutospacing="0" w:line="576" w:lineRule="exact"/>
        <w:ind w:firstLine="632"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（一）有下列情形之一的，不受</w:t>
      </w:r>
      <w:r>
        <w:rPr>
          <w:rFonts w:hint="eastAsia" w:ascii="仿宋" w:hAnsi="仿宋" w:eastAsia="仿宋" w:cs="仿宋"/>
          <w:color w:val="000000"/>
          <w:sz w:val="32"/>
          <w:szCs w:val="32"/>
        </w:rPr>
        <w:t>本规划第八条</w:t>
      </w:r>
      <w:r>
        <w:rPr>
          <w:rFonts w:hint="eastAsia" w:ascii="仿宋" w:hAnsi="仿宋" w:eastAsia="仿宋" w:cs="仿宋"/>
          <w:color w:val="000000"/>
          <w:sz w:val="32"/>
          <w:szCs w:val="32"/>
          <w:shd w:val="clear" w:color="auto" w:fill="FFFFFF"/>
        </w:rPr>
        <w:t>限制。</w:t>
      </w:r>
    </w:p>
    <w:p>
      <w:pPr>
        <w:pStyle w:val="4"/>
        <w:spacing w:after="0" w:line="576" w:lineRule="exact"/>
        <w:ind w:firstLine="632" w:firstLineChars="200"/>
        <w:rPr>
          <w:rFonts w:ascii="仿宋" w:hAnsi="仿宋" w:eastAsia="仿宋" w:cs="仿宋"/>
          <w:color w:val="000000"/>
          <w:kern w:val="0"/>
          <w:sz w:val="32"/>
          <w:szCs w:val="32"/>
          <w:shd w:val="clear" w:color="auto" w:fill="FFFFFF"/>
        </w:rPr>
      </w:pPr>
      <w:r>
        <w:rPr>
          <w:rFonts w:hint="eastAsia" w:ascii="仿宋" w:hAnsi="仿宋" w:eastAsia="仿宋"/>
          <w:color w:val="000000"/>
          <w:sz w:val="32"/>
          <w:szCs w:val="32"/>
        </w:rPr>
        <w:t>（1）汽车站、火车站、高铁站候车厅内，每个候车厅内可设置1个零售点</w:t>
      </w:r>
      <w:r>
        <w:rPr>
          <w:rFonts w:hint="eastAsia" w:ascii="仿宋" w:hAnsi="仿宋" w:eastAsia="仿宋" w:cs="仿宋"/>
          <w:color w:val="000000"/>
          <w:kern w:val="0"/>
          <w:sz w:val="32"/>
          <w:szCs w:val="32"/>
          <w:shd w:val="clear" w:color="auto" w:fill="FFFFFF"/>
        </w:rPr>
        <w:t>。</w:t>
      </w:r>
    </w:p>
    <w:p>
      <w:pPr>
        <w:spacing w:line="530" w:lineRule="exact"/>
        <w:ind w:firstLine="560"/>
        <w:rPr>
          <w:rFonts w:ascii="仿宋" w:hAnsi="仿宋" w:eastAsia="仿宋"/>
          <w:color w:val="000000"/>
          <w:sz w:val="32"/>
          <w:szCs w:val="32"/>
        </w:rPr>
      </w:pPr>
      <w:r>
        <w:rPr>
          <w:rFonts w:hint="eastAsia" w:ascii="仿宋" w:hAnsi="仿宋" w:eastAsia="仿宋" w:cs="仿宋"/>
          <w:color w:val="000000"/>
          <w:kern w:val="0"/>
          <w:sz w:val="32"/>
          <w:szCs w:val="32"/>
          <w:shd w:val="clear" w:color="auto" w:fill="FFFFFF"/>
        </w:rPr>
        <w:t>（2）</w:t>
      </w:r>
      <w:r>
        <w:rPr>
          <w:rFonts w:hint="eastAsia" w:ascii="仿宋" w:hAnsi="仿宋" w:eastAsia="仿宋" w:cs="仿宋"/>
          <w:color w:val="000000"/>
          <w:sz w:val="32"/>
          <w:szCs w:val="32"/>
          <w:lang w:bidi="ar"/>
        </w:rPr>
        <w:t>农贸市场、集贸市场、各类综合(批发)市场内部区域设置零售点总量不超过3个（原已设置烟草制品零售点超过3个的维持现状，总量不再增加）。</w:t>
      </w:r>
    </w:p>
    <w:p>
      <w:pPr>
        <w:spacing w:line="576" w:lineRule="exact"/>
        <w:ind w:firstLine="632" w:firstLineChars="200"/>
        <w:rPr>
          <w:rFonts w:ascii="仿宋" w:hAnsi="仿宋" w:eastAsia="仿宋" w:cs="仿宋"/>
          <w:color w:val="000000"/>
          <w:kern w:val="0"/>
          <w:sz w:val="32"/>
          <w:szCs w:val="32"/>
          <w:shd w:val="clear" w:color="auto" w:fill="FFFFFF"/>
        </w:rPr>
      </w:pPr>
      <w:r>
        <w:rPr>
          <w:rFonts w:hint="eastAsia" w:ascii="仿宋" w:hAnsi="仿宋" w:eastAsia="仿宋"/>
          <w:color w:val="000000"/>
          <w:sz w:val="32"/>
          <w:szCs w:val="32"/>
        </w:rPr>
        <w:t>（3）达到3000人以上规模的</w:t>
      </w:r>
      <w:r>
        <w:rPr>
          <w:rFonts w:hint="eastAsia" w:ascii="仿宋" w:hAnsi="仿宋" w:eastAsia="仿宋" w:cs="仿宋"/>
          <w:color w:val="000000"/>
          <w:kern w:val="0"/>
          <w:sz w:val="32"/>
          <w:szCs w:val="32"/>
          <w:shd w:val="clear" w:color="auto" w:fill="FFFFFF"/>
        </w:rPr>
        <w:t>高等院校内（同一校区）可设置</w:t>
      </w:r>
      <w:r>
        <w:rPr>
          <w:rFonts w:ascii="仿宋" w:hAnsi="仿宋" w:eastAsia="仿宋" w:cs="仿宋"/>
          <w:color w:val="000000"/>
          <w:kern w:val="0"/>
          <w:sz w:val="32"/>
          <w:szCs w:val="32"/>
          <w:shd w:val="clear" w:color="auto" w:fill="FFFFFF"/>
        </w:rPr>
        <w:t>3</w:t>
      </w:r>
      <w:r>
        <w:rPr>
          <w:rFonts w:hint="eastAsia" w:ascii="仿宋" w:hAnsi="仿宋" w:eastAsia="仿宋" w:cs="仿宋"/>
          <w:color w:val="000000"/>
          <w:kern w:val="0"/>
          <w:sz w:val="32"/>
          <w:szCs w:val="32"/>
          <w:shd w:val="clear" w:color="auto" w:fill="FFFFFF"/>
        </w:rPr>
        <w:t>个零售点</w:t>
      </w:r>
      <w:r>
        <w:rPr>
          <w:rFonts w:hint="eastAsia" w:ascii="仿宋" w:hAnsi="仿宋" w:eastAsia="仿宋" w:cs="仿宋"/>
          <w:color w:val="000000"/>
          <w:sz w:val="32"/>
          <w:szCs w:val="32"/>
          <w:lang w:bidi="ar"/>
        </w:rPr>
        <w:t>（原已设置烟草制品零售点超过</w:t>
      </w:r>
      <w:r>
        <w:rPr>
          <w:rFonts w:ascii="仿宋" w:hAnsi="仿宋" w:eastAsia="仿宋" w:cs="仿宋"/>
          <w:color w:val="000000"/>
          <w:sz w:val="32"/>
          <w:szCs w:val="32"/>
          <w:lang w:bidi="ar"/>
        </w:rPr>
        <w:t>3</w:t>
      </w:r>
      <w:r>
        <w:rPr>
          <w:rFonts w:hint="eastAsia" w:ascii="仿宋" w:hAnsi="仿宋" w:eastAsia="仿宋" w:cs="仿宋"/>
          <w:color w:val="000000"/>
          <w:sz w:val="32"/>
          <w:szCs w:val="32"/>
          <w:lang w:bidi="ar"/>
        </w:rPr>
        <w:t>个的维持现状，总量不再增加；</w:t>
      </w:r>
      <w:r>
        <w:rPr>
          <w:rFonts w:hint="eastAsia" w:ascii="仿宋" w:hAnsi="仿宋" w:eastAsia="仿宋" w:cs="仿宋"/>
          <w:color w:val="000000"/>
          <w:kern w:val="0"/>
          <w:sz w:val="32"/>
          <w:szCs w:val="32"/>
          <w:shd w:val="clear" w:color="auto" w:fill="FFFFFF"/>
          <w:lang w:bidi="ar"/>
        </w:rPr>
        <w:t>设立零售点的，申请人应事先协调门卫、安保等环节，确保烟草部门执法及服务人员的后续监督检查等工作能够正常开展</w:t>
      </w:r>
      <w:r>
        <w:rPr>
          <w:rFonts w:hint="eastAsia" w:ascii="仿宋" w:hAnsi="仿宋" w:eastAsia="仿宋" w:cs="仿宋"/>
          <w:color w:val="000000"/>
          <w:sz w:val="32"/>
          <w:szCs w:val="32"/>
          <w:lang w:bidi="ar"/>
        </w:rPr>
        <w:t>）</w:t>
      </w:r>
      <w:r>
        <w:rPr>
          <w:rFonts w:hint="eastAsia" w:ascii="仿宋" w:hAnsi="仿宋" w:eastAsia="仿宋" w:cs="仿宋"/>
          <w:color w:val="000000"/>
          <w:kern w:val="0"/>
          <w:sz w:val="32"/>
          <w:szCs w:val="32"/>
          <w:shd w:val="clear" w:color="auto" w:fill="FFFFFF"/>
        </w:rPr>
        <w:t>。</w:t>
      </w:r>
    </w:p>
    <w:p>
      <w:pPr>
        <w:spacing w:line="576" w:lineRule="exact"/>
        <w:ind w:firstLine="632"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w:t>
      </w:r>
      <w:r>
        <w:rPr>
          <w:rFonts w:hint="eastAsia" w:ascii="仿宋" w:hAnsi="仿宋" w:eastAsia="仿宋" w:cs="仿宋"/>
          <w:color w:val="000000"/>
          <w:sz w:val="32"/>
          <w:szCs w:val="32"/>
          <w:shd w:val="clear" w:color="auto" w:fill="FFFFFF"/>
        </w:rPr>
        <w:t>客房达到100间以上的宾馆酒店，</w:t>
      </w:r>
      <w:r>
        <w:rPr>
          <w:rFonts w:hint="eastAsia" w:ascii="仿宋" w:hAnsi="仿宋" w:eastAsia="仿宋" w:cs="仿宋"/>
          <w:color w:val="000000"/>
          <w:kern w:val="0"/>
          <w:sz w:val="32"/>
          <w:szCs w:val="32"/>
          <w:shd w:val="clear" w:color="auto" w:fill="FFFFFF"/>
        </w:rPr>
        <w:t>可设置1个零售点。</w:t>
      </w:r>
    </w:p>
    <w:p>
      <w:pPr>
        <w:spacing w:line="576" w:lineRule="exact"/>
        <w:ind w:firstLine="632" w:firstLineChars="200"/>
        <w:rPr>
          <w:rFonts w:ascii="仿宋" w:hAnsi="仿宋" w:eastAsia="仿宋" w:cs="仿宋"/>
          <w:color w:val="000000"/>
          <w:sz w:val="32"/>
          <w:szCs w:val="32"/>
          <w:shd w:val="clear" w:color="auto" w:fill="FFFFFF"/>
        </w:rPr>
      </w:pPr>
      <w:r>
        <w:rPr>
          <w:rFonts w:hint="eastAsia" w:ascii="仿宋" w:hAnsi="仿宋" w:eastAsia="仿宋" w:cs="仿宋"/>
          <w:color w:val="000000"/>
          <w:kern w:val="0"/>
          <w:sz w:val="32"/>
          <w:szCs w:val="32"/>
          <w:shd w:val="clear" w:color="auto" w:fill="FFFFFF"/>
        </w:rPr>
        <w:t>（5）</w:t>
      </w:r>
      <w:r>
        <w:rPr>
          <w:rFonts w:hint="eastAsia" w:ascii="仿宋" w:hAnsi="仿宋" w:eastAsia="仿宋" w:cs="仿宋"/>
          <w:color w:val="000000"/>
          <w:sz w:val="32"/>
          <w:szCs w:val="32"/>
          <w:shd w:val="clear" w:color="auto" w:fill="FFFFFF"/>
        </w:rPr>
        <w:t>封闭式旅游景区、度假村以满足停留在设施内特定顾客消费的经营场所</w:t>
      </w:r>
      <w:r>
        <w:rPr>
          <w:rFonts w:hint="eastAsia" w:ascii="仿宋" w:hAnsi="仿宋" w:eastAsia="仿宋" w:cs="仿宋"/>
          <w:color w:val="000000"/>
          <w:sz w:val="32"/>
          <w:szCs w:val="32"/>
        </w:rPr>
        <w:t>，</w:t>
      </w:r>
      <w:r>
        <w:rPr>
          <w:rFonts w:hint="eastAsia" w:ascii="仿宋" w:hAnsi="仿宋" w:eastAsia="仿宋" w:cs="仿宋"/>
          <w:color w:val="000000"/>
          <w:sz w:val="32"/>
          <w:szCs w:val="32"/>
          <w:shd w:val="clear" w:color="auto" w:fill="FFFFFF"/>
        </w:rPr>
        <w:t>按照一址一证的原则办理；</w:t>
      </w:r>
      <w:r>
        <w:rPr>
          <w:rFonts w:hint="eastAsia" w:ascii="仿宋" w:hAnsi="仿宋" w:eastAsia="仿宋" w:cs="仿宋"/>
          <w:color w:val="000000"/>
          <w:sz w:val="32"/>
          <w:szCs w:val="32"/>
        </w:rPr>
        <w:t>高速公路服务区（单侧）设置2个零售点。</w:t>
      </w:r>
    </w:p>
    <w:p>
      <w:pPr>
        <w:spacing w:line="576" w:lineRule="exact"/>
        <w:ind w:firstLine="632"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（6）</w:t>
      </w:r>
      <w:r>
        <w:rPr>
          <w:rFonts w:hint="eastAsia" w:ascii="仿宋" w:hAnsi="仿宋" w:eastAsia="仿宋" w:cs="仿宋"/>
          <w:color w:val="000000"/>
          <w:kern w:val="0"/>
          <w:sz w:val="32"/>
          <w:szCs w:val="32"/>
          <w:shd w:val="clear" w:color="auto" w:fill="FFFFFF"/>
          <w:lang w:bidi="ar"/>
        </w:rPr>
        <w:t>军队大院、看守所等相对封闭以满足本区域内人群消费的区域设置1个零售点（此区域设立零售点的，申请人应事先协调门卫、安保等环节，确保烟草部门执法及服务人员的后续监督检查等工作能够正常开展）。</w:t>
      </w:r>
    </w:p>
    <w:p>
      <w:pPr>
        <w:pStyle w:val="4"/>
        <w:spacing w:after="0" w:line="576" w:lineRule="exact"/>
        <w:ind w:firstLine="632"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二）与烟草制品零售业务没有直接或间接互补营销关系的经营场所（包括但不限于蛋糕店、五金电料、礼品回收、童车、首饰店、按摩推拿、文化体育、音像制品、母婴用品、寄卖典当、汽车租赁、农畜养殖、床上用品、书店、渔具、水产、花卉、祭祀用品、通信器材、报亭、文玩、洗车、装修材料、快递点、药店、油库营业室、旅行社等），设置零售点不得超过本辖区持证商户的1%，按照”退一进一”的原则办理。</w:t>
      </w:r>
    </w:p>
    <w:p>
      <w:pPr>
        <w:pStyle w:val="4"/>
        <w:spacing w:after="0" w:line="576" w:lineRule="exact"/>
        <w:ind w:firstLine="632" w:firstLineChars="200"/>
        <w:jc w:val="left"/>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（三）许可证总量、网格归属情况根据上级要求及市场变化情况随时调整。</w:t>
      </w:r>
    </w:p>
    <w:p>
      <w:pPr>
        <w:spacing w:line="576" w:lineRule="exact"/>
        <w:ind w:firstLine="632" w:firstLineChars="200"/>
        <w:jc w:val="center"/>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第三章  放宽情形</w:t>
      </w:r>
    </w:p>
    <w:p>
      <w:pPr>
        <w:ind w:firstLine="632" w:firstLineChars="200"/>
        <w:rPr>
          <w:rFonts w:ascii="仿宋" w:hAnsi="仿宋" w:eastAsia="仿宋" w:cs="仿宋"/>
          <w:color w:val="000000"/>
          <w:sz w:val="32"/>
          <w:szCs w:val="32"/>
        </w:rPr>
      </w:pPr>
      <w:r>
        <w:rPr>
          <w:rFonts w:hint="eastAsia" w:ascii="楷体" w:hAnsi="楷体" w:eastAsia="楷体" w:cs="黑体"/>
          <w:bCs/>
          <w:color w:val="000000"/>
          <w:kern w:val="0"/>
          <w:sz w:val="32"/>
          <w:szCs w:val="32"/>
          <w:shd w:val="clear" w:color="auto" w:fill="FFFFFF"/>
        </w:rPr>
        <w:t>第十条</w:t>
      </w:r>
      <w:r>
        <w:rPr>
          <w:rFonts w:hint="eastAsia" w:ascii="仿宋" w:hAnsi="仿宋" w:eastAsia="仿宋" w:cs="仿宋"/>
          <w:color w:val="000000"/>
          <w:sz w:val="32"/>
          <w:szCs w:val="32"/>
        </w:rPr>
        <w:t xml:space="preserve"> 对下列情形在距离上予以放宽</w:t>
      </w:r>
    </w:p>
    <w:p>
      <w:pPr>
        <w:ind w:firstLine="632" w:firstLineChars="200"/>
        <w:rPr>
          <w:rFonts w:ascii="仿宋" w:hAnsi="仿宋" w:eastAsia="仿宋_GB2312" w:cs="仿宋"/>
          <w:color w:val="000000"/>
          <w:sz w:val="32"/>
          <w:szCs w:val="32"/>
        </w:rPr>
      </w:pPr>
      <w:r>
        <w:rPr>
          <w:rFonts w:hint="eastAsia" w:ascii="仿宋" w:hAnsi="仿宋" w:eastAsia="仿宋" w:cs="仿宋"/>
          <w:color w:val="000000"/>
          <w:sz w:val="32"/>
          <w:szCs w:val="32"/>
        </w:rPr>
        <w:t>（一）残疾人（残疾人为本人且具有自主经营能力人）、烈属（以家庭为单位）首次申领，与周边最近零售点间距不得低于20米。</w:t>
      </w:r>
    </w:p>
    <w:p>
      <w:pPr>
        <w:pStyle w:val="4"/>
        <w:spacing w:after="0" w:line="576" w:lineRule="exact"/>
        <w:ind w:firstLine="632" w:firstLineChars="200"/>
        <w:jc w:val="left"/>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（二）实际经营面积在</w:t>
      </w:r>
      <w:r>
        <w:rPr>
          <w:rFonts w:hint="eastAsia" w:ascii="仿宋" w:hAnsi="仿宋" w:eastAsia="仿宋" w:cs="仿宋"/>
          <w:color w:val="FF0000"/>
          <w:sz w:val="32"/>
          <w:szCs w:val="32"/>
          <w:lang w:val="en-US" w:eastAsia="zh-CN"/>
        </w:rPr>
        <w:t>5</w:t>
      </w:r>
      <w:r>
        <w:rPr>
          <w:rFonts w:ascii="仿宋" w:hAnsi="仿宋" w:eastAsia="仿宋" w:cs="仿宋"/>
          <w:color w:val="FF0000"/>
          <w:sz w:val="32"/>
          <w:szCs w:val="32"/>
        </w:rPr>
        <w:t>000</w:t>
      </w:r>
      <w:r>
        <w:rPr>
          <w:rFonts w:hint="eastAsia" w:ascii="仿宋" w:hAnsi="仿宋" w:eastAsia="仿宋" w:cs="仿宋"/>
          <w:color w:val="FF0000"/>
          <w:sz w:val="32"/>
          <w:szCs w:val="32"/>
        </w:rPr>
        <w:t>平方米以上的</w:t>
      </w:r>
      <w:r>
        <w:rPr>
          <w:rFonts w:hint="eastAsia" w:ascii="仿宋" w:hAnsi="仿宋" w:eastAsia="仿宋" w:cs="仿宋"/>
          <w:color w:val="FF0000"/>
          <w:kern w:val="0"/>
          <w:sz w:val="32"/>
          <w:szCs w:val="32"/>
          <w:lang w:bidi="ar"/>
        </w:rPr>
        <w:t>大型超市</w:t>
      </w:r>
      <w:r>
        <w:rPr>
          <w:rFonts w:hint="eastAsia" w:ascii="仿宋" w:hAnsi="仿宋" w:eastAsia="仿宋" w:cs="仿宋"/>
          <w:color w:val="FF0000"/>
          <w:sz w:val="32"/>
          <w:szCs w:val="32"/>
        </w:rPr>
        <w:t>；新乡市新乡县内拥有20家以上品牌连锁便利店，为同一法人、统一门头、统一结算、统一配送的或纳入县级以上政府备案或推荐的品牌连锁便利店，申请零售许可证的，</w:t>
      </w:r>
      <w:r>
        <w:rPr>
          <w:rFonts w:hint="eastAsia" w:ascii="仿宋" w:hAnsi="仿宋" w:eastAsia="仿宋" w:cs="仿宋"/>
          <w:color w:val="FF0000"/>
          <w:sz w:val="32"/>
          <w:szCs w:val="32"/>
          <w:lang w:eastAsia="zh-CN"/>
        </w:rPr>
        <w:t>免于排队轮候，予以优先办理。</w:t>
      </w:r>
    </w:p>
    <w:p>
      <w:pPr>
        <w:pStyle w:val="4"/>
        <w:spacing w:after="0" w:line="576" w:lineRule="exact"/>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（三）河南老兵驿站连锁超市有限公司门店，</w:t>
      </w:r>
      <w:r>
        <w:rPr>
          <w:rFonts w:hint="eastAsia" w:ascii="仿宋" w:hAnsi="仿宋" w:eastAsia="仿宋" w:cs="仿宋"/>
          <w:color w:val="000000"/>
          <w:kern w:val="0"/>
          <w:sz w:val="32"/>
          <w:szCs w:val="32"/>
          <w:shd w:val="clear" w:color="auto" w:fill="FFFFFF"/>
          <w:lang w:bidi="ar"/>
        </w:rPr>
        <w:t>提交的新办申请，</w:t>
      </w:r>
      <w:r>
        <w:rPr>
          <w:rFonts w:hint="eastAsia" w:ascii="仿宋" w:hAnsi="仿宋" w:eastAsia="仿宋" w:cs="仿宋"/>
          <w:color w:val="000000"/>
          <w:sz w:val="32"/>
          <w:szCs w:val="32"/>
        </w:rPr>
        <w:t>与周边最近零售点间距不得低于20米。</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（四）因道路规划、城市建设等客观原因造成无法在核定的经营地址经营的零售点，持证人提出变更申请到原发证机关辖区内其他地址经营的，不受距离限制（中小学、幼儿园周边除外）。</w:t>
      </w:r>
    </w:p>
    <w:p>
      <w:pPr>
        <w:ind w:firstLine="818" w:firstLineChars="25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申请新办烟草制品零售许可证，经营范围只有雪茄烟（不经营卷烟）的零售点，不受布局总量和间距的限制（中小学、幼儿园周围的限制距离除外）；既经营卷烟，又经营雪茄烟的零售点，按照合理布局规定指导数量和间距执行。</w:t>
      </w:r>
    </w:p>
    <w:p>
      <w:pPr>
        <w:ind w:firstLine="63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（六）对于雪茄烟专营商户，经营范围增加卷烟的，应提前申请变更许可证经营范围，且按照合理布局规定指导数量和间距执行。</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（七）其他有政策扶持需要的情形。</w:t>
      </w:r>
    </w:p>
    <w:p>
      <w:pPr>
        <w:pStyle w:val="4"/>
        <w:spacing w:after="0" w:line="576" w:lineRule="exact"/>
        <w:ind w:firstLine="632"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新办申请在实地核查测量零售点最近间距时，不受残疾人、烈属、大型连锁便利店、“老兵驿站”连锁超市等已享受间距照顾的持证商户限制。</w:t>
      </w:r>
    </w:p>
    <w:p>
      <w:pPr>
        <w:pStyle w:val="4"/>
        <w:spacing w:after="0" w:line="576" w:lineRule="exact"/>
        <w:ind w:firstLine="632" w:firstLineChars="200"/>
        <w:jc w:val="left"/>
        <w:rPr>
          <w:rFonts w:ascii="仿宋" w:hAnsi="仿宋" w:eastAsia="仿宋" w:cs="仿宋"/>
          <w:color w:val="000000"/>
          <w:sz w:val="32"/>
          <w:szCs w:val="32"/>
          <w:shd w:val="clear" w:color="auto" w:fill="FFFFFF"/>
        </w:rPr>
      </w:pPr>
      <w:r>
        <w:rPr>
          <w:rFonts w:hint="eastAsia" w:ascii="楷体" w:hAnsi="楷体" w:eastAsia="楷体" w:cs="黑体"/>
          <w:bCs/>
          <w:color w:val="000000"/>
          <w:kern w:val="0"/>
          <w:sz w:val="32"/>
          <w:szCs w:val="32"/>
          <w:shd w:val="clear" w:color="auto" w:fill="FFFFFF"/>
        </w:rPr>
        <w:t xml:space="preserve">第十一条 </w:t>
      </w:r>
      <w:r>
        <w:rPr>
          <w:rFonts w:hint="eastAsia" w:ascii="仿宋" w:hAnsi="仿宋" w:eastAsia="仿宋" w:cs="仿宋"/>
          <w:color w:val="000000"/>
          <w:sz w:val="32"/>
          <w:szCs w:val="32"/>
        </w:rPr>
        <w:t>因中小学、幼儿园新建、改造导致的先店后校、先店后门等情况，以及合理布局标准修订等客观原因造成中小学、幼儿园周边零售点不符合相关要求，持证人提出变更申请到原发证机关辖区内其他地址经营的,不受间距</w:t>
      </w:r>
      <w:r>
        <w:rPr>
          <w:rFonts w:ascii="仿宋" w:hAnsi="仿宋" w:eastAsia="仿宋" w:cs="仿宋"/>
          <w:color w:val="000000"/>
          <w:sz w:val="32"/>
          <w:szCs w:val="32"/>
        </w:rPr>
        <w:t>和数量的限制。</w:t>
      </w:r>
    </w:p>
    <w:p>
      <w:pPr>
        <w:spacing w:line="576" w:lineRule="exact"/>
        <w:ind w:firstLine="632" w:firstLineChars="200"/>
        <w:jc w:val="center"/>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第四章</w:t>
      </w:r>
      <w:r>
        <w:rPr>
          <w:rFonts w:ascii="黑体" w:hAnsi="黑体" w:eastAsia="黑体" w:cs="黑体"/>
          <w:color w:val="000000"/>
          <w:kern w:val="0"/>
          <w:sz w:val="32"/>
          <w:szCs w:val="32"/>
          <w:shd w:val="clear" w:color="auto" w:fill="FFFFFF"/>
        </w:rPr>
        <w:t xml:space="preserve">  </w:t>
      </w:r>
      <w:r>
        <w:rPr>
          <w:rFonts w:hint="eastAsia" w:ascii="黑体" w:hAnsi="黑体" w:eastAsia="黑体" w:cs="黑体"/>
          <w:color w:val="000000"/>
          <w:kern w:val="0"/>
          <w:sz w:val="32"/>
          <w:szCs w:val="32"/>
          <w:shd w:val="clear" w:color="auto" w:fill="FFFFFF"/>
        </w:rPr>
        <w:t>不予延续情形</w:t>
      </w:r>
    </w:p>
    <w:p>
      <w:pPr>
        <w:ind w:firstLine="632" w:firstLineChars="200"/>
        <w:rPr>
          <w:rFonts w:ascii="仿宋" w:hAnsi="仿宋" w:eastAsia="仿宋" w:cs="仿宋"/>
          <w:color w:val="000000"/>
          <w:sz w:val="32"/>
          <w:szCs w:val="32"/>
        </w:rPr>
      </w:pPr>
      <w:r>
        <w:rPr>
          <w:rFonts w:hint="eastAsia" w:ascii="楷体" w:hAnsi="楷体" w:eastAsia="楷体" w:cs="黑体"/>
          <w:bCs/>
          <w:color w:val="000000"/>
          <w:kern w:val="0"/>
          <w:sz w:val="32"/>
          <w:szCs w:val="32"/>
          <w:shd w:val="clear" w:color="auto" w:fill="FFFFFF"/>
        </w:rPr>
        <w:t xml:space="preserve">第十二条 </w:t>
      </w:r>
      <w:r>
        <w:rPr>
          <w:rFonts w:hint="eastAsia" w:ascii="仿宋" w:hAnsi="仿宋" w:eastAsia="仿宋" w:cs="仿宋"/>
          <w:color w:val="000000"/>
          <w:sz w:val="32"/>
          <w:szCs w:val="32"/>
        </w:rPr>
        <w:t>有下列情形之一的，烟草专卖零售许可证有效期届满后不予延续：</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（一）经营场所基于安全因素不适宜经营卷烟的；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（二）中小学、幼儿园周围；</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（三）经营主体发生变化的；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（四）不再具备固定经营场所的；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（五）经营场所不再与住所相独立的；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（六）经营场所条件发生变化导致其既不符合取得许可时也不符合申请延续时的烟草制品零售点合理布局规划要求的； </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（七）非法生产经营烟草专卖品数额在5万元以上或者违法所得数额在2万元以上或者非法经营卷烟20万支以上，未被追究刑事责任的；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（八）因非法生产经营烟草专卖品被追究刑事责任的；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（九）买卖、出租、出借或者以其他形式非法转让烟草专卖许可证的；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（十）被市场监管部门吊销营业执照的；</w:t>
      </w:r>
    </w:p>
    <w:p>
      <w:pPr>
        <w:ind w:firstLine="632"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rPr>
        <w:t>（十一）其他严重违法行为的。</w:t>
      </w:r>
    </w:p>
    <w:p>
      <w:pPr>
        <w:spacing w:line="576" w:lineRule="exact"/>
        <w:ind w:firstLine="632" w:firstLineChars="200"/>
        <w:jc w:val="center"/>
        <w:rPr>
          <w:rFonts w:ascii="黑体" w:hAnsi="黑体" w:eastAsia="黑体"/>
          <w:color w:val="000000"/>
          <w:sz w:val="32"/>
          <w:szCs w:val="32"/>
        </w:rPr>
      </w:pPr>
      <w:r>
        <w:rPr>
          <w:rFonts w:hint="eastAsia" w:ascii="黑体" w:hAnsi="黑体" w:eastAsia="黑体" w:cs="黑体"/>
          <w:color w:val="000000"/>
          <w:kern w:val="0"/>
          <w:sz w:val="32"/>
          <w:szCs w:val="32"/>
          <w:shd w:val="clear" w:color="auto" w:fill="FFFFFF"/>
        </w:rPr>
        <w:t>第五章</w:t>
      </w:r>
      <w:r>
        <w:rPr>
          <w:rFonts w:ascii="黑体" w:hAnsi="黑体" w:eastAsia="黑体" w:cs="黑体"/>
          <w:color w:val="000000"/>
          <w:kern w:val="0"/>
          <w:sz w:val="32"/>
          <w:szCs w:val="32"/>
          <w:shd w:val="clear" w:color="auto" w:fill="FFFFFF"/>
        </w:rPr>
        <w:t xml:space="preserve">  </w:t>
      </w:r>
      <w:r>
        <w:rPr>
          <w:rFonts w:hint="eastAsia" w:ascii="黑体" w:hAnsi="黑体" w:eastAsia="黑体" w:cs="黑体"/>
          <w:color w:val="000000"/>
          <w:kern w:val="0"/>
          <w:sz w:val="32"/>
          <w:szCs w:val="32"/>
          <w:shd w:val="clear" w:color="auto" w:fill="FFFFFF"/>
        </w:rPr>
        <w:t>不予设置情形</w:t>
      </w:r>
    </w:p>
    <w:p>
      <w:pPr>
        <w:ind w:firstLine="632" w:firstLineChars="200"/>
        <w:rPr>
          <w:rFonts w:ascii="仿宋" w:hAnsi="仿宋" w:eastAsia="仿宋" w:cs="仿宋"/>
          <w:color w:val="000000"/>
          <w:sz w:val="32"/>
          <w:szCs w:val="32"/>
        </w:rPr>
      </w:pPr>
      <w:r>
        <w:rPr>
          <w:rFonts w:hint="eastAsia" w:ascii="楷体" w:hAnsi="楷体" w:eastAsia="楷体" w:cs="楷体"/>
          <w:color w:val="000000"/>
          <w:sz w:val="32"/>
          <w:szCs w:val="32"/>
        </w:rPr>
        <w:t>第十三条</w:t>
      </w:r>
      <w:r>
        <w:rPr>
          <w:rFonts w:hint="eastAsia" w:ascii="仿宋" w:hAnsi="仿宋" w:eastAsia="仿宋" w:cs="仿宋"/>
          <w:color w:val="000000"/>
          <w:sz w:val="32"/>
          <w:szCs w:val="32"/>
        </w:rPr>
        <w:t xml:space="preserve"> 有下列情形之一的，不予设置烟草制品零售点:</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（一）申请人无固定经营场所的；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（二）申请人不具备申请资格的；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（三）申请人的经营场所与住所不相独立的；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（四）取消从事烟草专卖业务资格不满三年的；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（五）因申请人隐瞒有关情况或者提供虚假材料的，申请人在一年内再次申请烟草专卖许可证的；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（六）因申请人以欺骗、贿赂等不正当手段取得的烟草专卖许可证被撤销后，申请人三年内再次提出申请的；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（七）未领取烟草专卖零售许可证经营烟草专卖品业务，并且一年内被执法机关处罚两次以上，在三年内申请领取烟草专卖零售许可证的；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（八）未领取烟草专卖零售许可证经营烟草专卖品业务被追究刑事责任，在三年内申请领取烟草专卖零售许可证的；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（九）经营场所基于安全因素不适宜经营卷烟，</w:t>
      </w:r>
      <w:r>
        <w:rPr>
          <w:rFonts w:hint="eastAsia" w:ascii="仿宋" w:hAnsi="仿宋" w:eastAsia="仿宋" w:cs="仿宋"/>
          <w:color w:val="000000"/>
          <w:sz w:val="32"/>
          <w:szCs w:val="32"/>
          <w:shd w:val="clear" w:color="auto" w:fill="FFFFFF"/>
        </w:rPr>
        <w:t>经消防等职能部门认定的安全隐患，生产、经营、储存有毒有害、易挥发类物质，不符合食品安全标准，容易造成卷烟污染的</w:t>
      </w:r>
      <w:r>
        <w:rPr>
          <w:rFonts w:hint="eastAsia" w:ascii="仿宋" w:hAnsi="仿宋" w:eastAsia="仿宋" w:cs="仿宋"/>
          <w:color w:val="000000"/>
          <w:sz w:val="32"/>
          <w:szCs w:val="32"/>
        </w:rPr>
        <w:t>；</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（十）中小学校依法可通行的出入口100米以内不予设置零售点；幼儿园依法可通行的出入口50米以内不予设置零售点；可向学校、幼儿园内销售卷烟的窗口、栅栏等情形的；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（十一）一个经营场所已经办理了烟草专卖零售许可证的；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（十二）外商投资的商业企业或者个体工商户不得从事烟草专卖品批发或者零售业务，以特许、吸纳加盟店及其他再投资等形式变相从事烟草专卖品经营业务的；</w:t>
      </w:r>
    </w:p>
    <w:p>
      <w:pPr>
        <w:pStyle w:val="3"/>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（十三）公民、法人或者其他组织利用自动售货机或者其他自动售货形式，销售或者变相销售烟草制品的。</w:t>
      </w:r>
    </w:p>
    <w:p>
      <w:pPr>
        <w:pStyle w:val="3"/>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（十四）除了取得烟草专卖生产企业许可证或者烟草专卖批发企业许可证的企业依法销售烟草专卖品外，任何公民、法人或者其他组织通过信息网络销售烟草专卖品的；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（十五） 申请人为无民事行为能力人或者限制行为能力人的；</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（十六）经营场所位于国家机关、党政机关内部和医疗机构内部的；</w:t>
      </w:r>
    </w:p>
    <w:p>
      <w:pPr>
        <w:ind w:firstLine="632"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rPr>
        <w:t>（十七）相关法律、法规、规章和烟草专卖行政主管部门及政府行政规范性文件规定的其它情形；</w:t>
      </w:r>
    </w:p>
    <w:p>
      <w:pPr>
        <w:spacing w:line="576" w:lineRule="exact"/>
        <w:ind w:firstLine="632" w:firstLineChars="200"/>
        <w:jc w:val="center"/>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第六章  附  则</w:t>
      </w:r>
    </w:p>
    <w:p>
      <w:pPr>
        <w:ind w:firstLine="631"/>
        <w:rPr>
          <w:rFonts w:ascii="仿宋" w:hAnsi="仿宋" w:eastAsia="仿宋" w:cs="仿宋"/>
          <w:color w:val="000000"/>
          <w:sz w:val="32"/>
          <w:szCs w:val="32"/>
        </w:rPr>
      </w:pPr>
      <w:r>
        <w:rPr>
          <w:rFonts w:hint="eastAsia" w:ascii="楷体" w:hAnsi="楷体" w:eastAsia="楷体" w:cs="楷体"/>
          <w:color w:val="000000"/>
          <w:sz w:val="32"/>
          <w:szCs w:val="32"/>
        </w:rPr>
        <w:t>第十四条</w:t>
      </w:r>
      <w:r>
        <w:rPr>
          <w:rFonts w:hint="eastAsia" w:ascii="仿宋" w:hAnsi="仿宋" w:eastAsia="仿宋" w:cs="仿宋"/>
          <w:color w:val="000000"/>
          <w:sz w:val="32"/>
          <w:szCs w:val="32"/>
        </w:rPr>
        <w:t xml:space="preserve"> 本规划所称“经营场所”是指市场主体从事经营活动的营业场所，应当与经营范围相适应，依法取得使用权，具有合法的产权权属、使用功能及法定用途，不属于违法建设、危险建筑、被征收房屋等依法不能用作经营场所的房屋。</w:t>
      </w:r>
    </w:p>
    <w:p>
      <w:pPr>
        <w:ind w:firstLine="632" w:firstLineChars="200"/>
        <w:rPr>
          <w:rFonts w:ascii="仿宋" w:hAnsi="仿宋" w:eastAsia="仿宋" w:cs="仿宋"/>
          <w:color w:val="000000"/>
          <w:sz w:val="32"/>
          <w:szCs w:val="32"/>
        </w:rPr>
      </w:pPr>
      <w:r>
        <w:rPr>
          <w:rFonts w:hint="eastAsia" w:ascii="楷体" w:hAnsi="楷体" w:eastAsia="楷体" w:cs="楷体"/>
          <w:color w:val="000000"/>
          <w:sz w:val="32"/>
          <w:szCs w:val="32"/>
        </w:rPr>
        <w:t xml:space="preserve">第十五条 </w:t>
      </w:r>
      <w:r>
        <w:rPr>
          <w:rFonts w:hint="eastAsia" w:ascii="仿宋" w:hAnsi="仿宋" w:eastAsia="仿宋" w:cs="仿宋"/>
          <w:color w:val="000000"/>
          <w:sz w:val="32"/>
          <w:szCs w:val="32"/>
        </w:rPr>
        <w:t>本规划所称“距离”是指拟从事烟草制品零售业务经营场所与参照零售点或中小学校、幼儿园之间的步行最短距离</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rPr>
        <w:t>（距离测量时，以</w:t>
      </w:r>
      <w:r>
        <w:rPr>
          <w:rFonts w:hint="eastAsia" w:ascii="仿宋" w:hAnsi="仿宋" w:eastAsia="仿宋" w:cs="仿宋"/>
          <w:color w:val="000000"/>
          <w:kern w:val="0"/>
          <w:sz w:val="32"/>
          <w:szCs w:val="32"/>
        </w:rPr>
        <w:t>依法可通行的最短距离为标准，</w:t>
      </w:r>
      <w:r>
        <w:rPr>
          <w:rFonts w:hint="eastAsia" w:ascii="仿宋" w:hAnsi="仿宋" w:eastAsia="仿宋" w:cs="仿宋"/>
          <w:color w:val="000000"/>
          <w:sz w:val="32"/>
          <w:szCs w:val="32"/>
        </w:rPr>
        <w:t>按照</w:t>
      </w:r>
      <w:r>
        <w:rPr>
          <w:rFonts w:hint="eastAsia" w:ascii="仿宋" w:hAnsi="仿宋" w:eastAsia="仿宋" w:cs="仿宋"/>
          <w:color w:val="000000"/>
          <w:sz w:val="32"/>
          <w:szCs w:val="32"/>
          <w:shd w:val="clear" w:color="auto" w:fill="FFFFFF"/>
        </w:rPr>
        <w:t>两个参照点最近一侧的门沿进行测量，</w:t>
      </w:r>
      <w:r>
        <w:rPr>
          <w:rFonts w:hint="eastAsia" w:ascii="仿宋" w:hAnsi="仿宋" w:eastAsia="仿宋" w:cs="仿宋"/>
          <w:color w:val="000000"/>
          <w:sz w:val="32"/>
          <w:szCs w:val="32"/>
        </w:rPr>
        <w:t>不得穿越隔离护栏、护墙、花坛、花园、建筑物等设施或禁止性道路标线）。</w:t>
      </w:r>
    </w:p>
    <w:p>
      <w:pPr>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楷体" w:hAnsi="楷体" w:eastAsia="楷体" w:cs="楷体"/>
          <w:color w:val="000000"/>
          <w:sz w:val="32"/>
          <w:szCs w:val="32"/>
        </w:rPr>
        <w:t xml:space="preserve">第十六条 </w:t>
      </w:r>
      <w:r>
        <w:rPr>
          <w:rFonts w:hint="eastAsia" w:ascii="仿宋" w:hAnsi="仿宋" w:eastAsia="仿宋" w:cs="仿宋"/>
          <w:color w:val="000000"/>
          <w:sz w:val="32"/>
          <w:szCs w:val="32"/>
        </w:rPr>
        <w:t>本规划所称“中小学”引用《中华人民共和国未成年人保护法》的“学校”含义：指普通中小学、中等职业学校、特殊教育学校、专门学校。</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特殊教育学校”：特殊教育学校是指由政府、企业事业组织、社会团体、其他社会组织及公民个人依法举办的专门对残疾儿童、少年实施义务教育的机构。（见《特殊教育学校暂行规程》，中华人民共和国教育部令，1998年12月2日颁布）。</w:t>
      </w:r>
    </w:p>
    <w:p>
      <w:pPr>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专门学校”：国家加强专门学校建设，对有严重不良行为的未成年人进行专门教育。专门教育是国民教育体系的组成部分，是对有严重不良行为的未成年人进行教育和矫治的重要保护处分措施。（见《中华人民共和国预防未成年人犯罪法》，自2021年6月1日起施行）。</w:t>
      </w:r>
    </w:p>
    <w:p>
      <w:pPr>
        <w:pStyle w:val="4"/>
        <w:rPr>
          <w:rFonts w:ascii="仿宋" w:hAnsi="仿宋" w:eastAsia="仿宋" w:cs="仿宋"/>
          <w:color w:val="000000"/>
          <w:sz w:val="32"/>
          <w:szCs w:val="32"/>
        </w:rPr>
      </w:pPr>
      <w:r>
        <w:rPr>
          <w:rFonts w:hint="eastAsia" w:ascii="仿宋" w:hAnsi="仿宋" w:eastAsia="仿宋" w:cs="仿宋"/>
          <w:color w:val="000000"/>
          <w:sz w:val="32"/>
          <w:szCs w:val="32"/>
        </w:rPr>
        <w:t xml:space="preserve">    宾馆酒店客房数量以相关机构认定的客房数量为准。  </w:t>
      </w:r>
    </w:p>
    <w:p>
      <w:pPr>
        <w:ind w:firstLine="631"/>
        <w:rPr>
          <w:rFonts w:ascii="仿宋" w:hAnsi="仿宋" w:eastAsia="仿宋" w:cs="仿宋"/>
          <w:color w:val="000000"/>
          <w:sz w:val="32"/>
          <w:szCs w:val="32"/>
        </w:rPr>
      </w:pPr>
      <w:r>
        <w:rPr>
          <w:rFonts w:hint="eastAsia" w:ascii="楷体" w:hAnsi="楷体" w:eastAsia="楷体" w:cs="楷体"/>
          <w:color w:val="000000"/>
          <w:sz w:val="32"/>
          <w:szCs w:val="32"/>
        </w:rPr>
        <w:t xml:space="preserve">第十七条 </w:t>
      </w:r>
      <w:r>
        <w:rPr>
          <w:rFonts w:hint="eastAsia" w:ascii="仿宋" w:hAnsi="仿宋" w:eastAsia="仿宋" w:cs="仿宋"/>
          <w:color w:val="000000"/>
          <w:sz w:val="32"/>
          <w:szCs w:val="32"/>
        </w:rPr>
        <w:t>本规划所称“幼儿园”指具有幼儿园性质的学前教育机构。</w:t>
      </w:r>
    </w:p>
    <w:p>
      <w:pPr>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楷体" w:hAnsi="楷体" w:eastAsia="楷体" w:cs="楷体"/>
          <w:color w:val="000000"/>
          <w:sz w:val="32"/>
          <w:szCs w:val="32"/>
        </w:rPr>
        <w:t>第十八条</w:t>
      </w:r>
      <w:r>
        <w:rPr>
          <w:rFonts w:hint="eastAsia" w:ascii="仿宋" w:hAnsi="仿宋" w:eastAsia="仿宋" w:cs="仿宋"/>
          <w:color w:val="000000"/>
          <w:sz w:val="32"/>
          <w:szCs w:val="32"/>
        </w:rPr>
        <w:t xml:space="preserve"> 本规划所称的“以内”、“以上”、“不低于”、“不得超过”均含本数。</w:t>
      </w:r>
    </w:p>
    <w:p>
      <w:pPr>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楷体" w:hAnsi="楷体" w:eastAsia="楷体" w:cs="楷体"/>
          <w:color w:val="000000"/>
          <w:sz w:val="32"/>
          <w:szCs w:val="32"/>
        </w:rPr>
        <w:t>第十九条</w:t>
      </w:r>
      <w:r>
        <w:rPr>
          <w:rFonts w:hint="eastAsia" w:ascii="仿宋" w:hAnsi="仿宋" w:eastAsia="仿宋" w:cs="仿宋"/>
          <w:color w:val="000000"/>
          <w:sz w:val="32"/>
          <w:szCs w:val="32"/>
        </w:rPr>
        <w:t xml:space="preserve"> 本规划由新乡县烟草专卖局负责解释。</w:t>
      </w:r>
    </w:p>
    <w:p>
      <w:pPr>
        <w:ind w:right="309" w:rightChars="150" w:firstLine="631"/>
        <w:jc w:val="center"/>
        <w:rPr>
          <w:rFonts w:ascii="仿宋" w:hAnsi="仿宋" w:eastAsia="仿宋" w:cs="仿宋"/>
          <w:color w:val="000000"/>
          <w:sz w:val="32"/>
          <w:szCs w:val="32"/>
        </w:rPr>
      </w:pPr>
      <w:r>
        <w:rPr>
          <w:rFonts w:hint="eastAsia" w:ascii="楷体" w:hAnsi="楷体" w:eastAsia="楷体" w:cs="楷体"/>
          <w:color w:val="000000"/>
          <w:sz w:val="32"/>
          <w:szCs w:val="32"/>
        </w:rPr>
        <w:t>第二十条</w:t>
      </w:r>
      <w:r>
        <w:rPr>
          <w:rFonts w:hint="eastAsia" w:ascii="仿宋" w:hAnsi="仿宋" w:eastAsia="仿宋" w:cs="仿宋"/>
          <w:color w:val="000000"/>
          <w:sz w:val="32"/>
          <w:szCs w:val="32"/>
        </w:rPr>
        <w:t xml:space="preserve"> 本规划自发布之日起实施，原《新乡县烟草制品零售点合理布局规划》（</w:t>
      </w:r>
      <w:r>
        <w:rPr>
          <w:rFonts w:hint="eastAsia" w:ascii="仿宋_GB2312" w:hAnsi="仿宋" w:eastAsia="仿宋_GB2312" w:cs="仿宋"/>
          <w:color w:val="000000"/>
          <w:sz w:val="32"/>
          <w:szCs w:val="32"/>
        </w:rPr>
        <w:t>新烟〔202</w:t>
      </w:r>
      <w:r>
        <w:rPr>
          <w:rFonts w:hint="eastAsia" w:ascii="仿宋_GB2312" w:hAnsi="仿宋" w:eastAsia="仿宋_GB2312" w:cs="仿宋"/>
          <w:color w:val="000000"/>
          <w:sz w:val="32"/>
          <w:szCs w:val="32"/>
          <w:lang w:val="en-US" w:eastAsia="zh-CN"/>
        </w:rPr>
        <w:t>4</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号</w:t>
      </w:r>
      <w:r>
        <w:rPr>
          <w:rFonts w:hint="eastAsia" w:ascii="仿宋" w:hAnsi="仿宋" w:eastAsia="仿宋" w:cs="仿宋"/>
          <w:color w:val="000000"/>
          <w:sz w:val="32"/>
          <w:szCs w:val="32"/>
        </w:rPr>
        <w:t>）同时废止。</w:t>
      </w:r>
    </w:p>
    <w:p>
      <w:pPr>
        <w:ind w:right="309" w:rightChars="150" w:firstLine="631"/>
        <w:jc w:val="center"/>
        <w:rPr>
          <w:rFonts w:ascii="仿宋" w:hAnsi="仿宋" w:eastAsia="仿宋" w:cs="仿宋"/>
          <w:color w:val="000000"/>
          <w:sz w:val="32"/>
          <w:szCs w:val="32"/>
        </w:rPr>
      </w:pPr>
    </w:p>
    <w:p>
      <w:pPr>
        <w:ind w:right="309" w:rightChars="150" w:firstLine="631"/>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附件: 1.新乡县烟草制品零售点经营场所间距测量标准</w:t>
      </w:r>
    </w:p>
    <w:p>
      <w:pPr>
        <w:pStyle w:val="4"/>
        <w:spacing w:after="0" w:line="576" w:lineRule="exact"/>
        <w:ind w:firstLine="1580" w:firstLineChars="5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2.新乡县市场单元布局信息目录</w:t>
      </w:r>
    </w:p>
    <w:p>
      <w:pPr>
        <w:pStyle w:val="4"/>
        <w:spacing w:after="0" w:line="576" w:lineRule="exact"/>
        <w:ind w:left="515" w:leftChars="250" w:firstLine="1106" w:firstLineChars="350"/>
        <w:jc w:val="left"/>
        <w:rPr>
          <w:rFonts w:ascii="仿宋" w:hAnsi="仿宋" w:eastAsia="仿宋" w:cs="仿宋"/>
          <w:color w:val="000000"/>
          <w:kern w:val="0"/>
          <w:sz w:val="32"/>
          <w:szCs w:val="32"/>
          <w:shd w:val="clear" w:color="auto" w:fill="FFFFFF"/>
        </w:rPr>
      </w:pPr>
      <w:r>
        <w:rPr>
          <w:rFonts w:ascii="仿宋" w:hAnsi="仿宋" w:eastAsia="仿宋" w:cs="仿宋"/>
          <w:kern w:val="0"/>
          <w:sz w:val="32"/>
          <w:szCs w:val="32"/>
          <w:shd w:val="clear" w:color="auto" w:fill="FFFFFF"/>
        </w:rPr>
        <w:t>3.</w:t>
      </w:r>
      <w:r>
        <w:rPr>
          <w:rFonts w:hint="eastAsia" w:ascii="仿宋" w:hAnsi="仿宋" w:eastAsia="仿宋" w:cs="仿宋"/>
          <w:color w:val="000000"/>
          <w:kern w:val="0"/>
          <w:sz w:val="32"/>
          <w:szCs w:val="32"/>
          <w:shd w:val="clear" w:color="auto" w:fill="FFFFFF"/>
        </w:rPr>
        <w:t>与烟草制品零售业务没有直接或者间接互补营销关系的场所名录</w:t>
      </w:r>
    </w:p>
    <w:p>
      <w:pPr>
        <w:widowControl/>
        <w:jc w:val="left"/>
        <w:rPr>
          <w:rFonts w:ascii="黑体" w:hAnsi="黑体" w:eastAsia="黑体" w:cs="仿宋"/>
          <w:color w:val="000000"/>
          <w:sz w:val="32"/>
          <w:szCs w:val="32"/>
          <w:shd w:val="clear" w:color="auto" w:fill="FFFFFF"/>
        </w:rPr>
      </w:pPr>
    </w:p>
    <w:p>
      <w:pPr>
        <w:widowControl/>
        <w:jc w:val="left"/>
        <w:rPr>
          <w:rFonts w:ascii="黑体" w:hAnsi="黑体" w:eastAsia="黑体" w:cs="仿宋"/>
          <w:color w:val="000000"/>
          <w:sz w:val="32"/>
          <w:szCs w:val="32"/>
          <w:shd w:val="clear" w:color="auto" w:fill="FFFFFF"/>
        </w:rPr>
      </w:pPr>
    </w:p>
    <w:p>
      <w:pPr>
        <w:widowControl/>
        <w:jc w:val="left"/>
        <w:rPr>
          <w:rFonts w:ascii="黑体" w:hAnsi="黑体" w:eastAsia="黑体" w:cs="仿宋"/>
          <w:color w:val="000000"/>
          <w:sz w:val="32"/>
          <w:szCs w:val="32"/>
          <w:shd w:val="clear" w:color="auto" w:fill="FFFFFF"/>
        </w:rPr>
      </w:pPr>
    </w:p>
    <w:p>
      <w:pPr>
        <w:widowControl/>
        <w:jc w:val="left"/>
        <w:rPr>
          <w:rFonts w:ascii="黑体" w:hAnsi="黑体" w:eastAsia="黑体" w:cs="仿宋"/>
          <w:color w:val="000000"/>
          <w:sz w:val="32"/>
          <w:szCs w:val="32"/>
          <w:shd w:val="clear" w:color="auto" w:fill="FFFFFF"/>
        </w:rPr>
      </w:pPr>
      <w:r>
        <w:rPr>
          <w:rFonts w:hint="eastAsia" w:ascii="黑体" w:hAnsi="黑体" w:eastAsia="黑体" w:cs="仿宋"/>
          <w:color w:val="000000"/>
          <w:sz w:val="32"/>
          <w:szCs w:val="32"/>
          <w:shd w:val="clear" w:color="auto" w:fill="FFFFFF"/>
        </w:rPr>
        <w:t>附件1</w:t>
      </w:r>
    </w:p>
    <w:p>
      <w:pPr>
        <w:pStyle w:val="10"/>
        <w:shd w:val="clear" w:color="auto" w:fill="FFFFFF"/>
        <w:spacing w:beforeAutospacing="0" w:afterAutospacing="0" w:line="576" w:lineRule="exact"/>
        <w:jc w:val="center"/>
        <w:rPr>
          <w:rFonts w:ascii="方正小标宋简体" w:hAnsi="仿宋" w:eastAsia="方正小标宋简体" w:cs="仿宋"/>
          <w:color w:val="000000"/>
          <w:sz w:val="44"/>
          <w:szCs w:val="44"/>
          <w:shd w:val="clear" w:color="auto" w:fill="FFFFFF"/>
        </w:rPr>
      </w:pPr>
      <w:r>
        <w:rPr>
          <w:rFonts w:hint="eastAsia" w:ascii="方正小标宋简体" w:hAnsi="仿宋" w:eastAsia="方正小标宋简体" w:cs="仿宋"/>
          <w:color w:val="000000"/>
          <w:sz w:val="44"/>
          <w:szCs w:val="44"/>
          <w:shd w:val="clear" w:color="auto" w:fill="FFFFFF"/>
        </w:rPr>
        <w:t>新乡县烟草制品零售点</w:t>
      </w:r>
    </w:p>
    <w:p>
      <w:pPr>
        <w:pStyle w:val="10"/>
        <w:shd w:val="clear" w:color="auto" w:fill="FFFFFF"/>
        <w:spacing w:beforeAutospacing="0" w:afterAutospacing="0" w:line="576" w:lineRule="exact"/>
        <w:jc w:val="center"/>
        <w:rPr>
          <w:rFonts w:ascii="方正小标宋简体" w:hAnsi="仿宋" w:eastAsia="方正小标宋简体" w:cs="仿宋"/>
          <w:color w:val="000000"/>
          <w:sz w:val="44"/>
          <w:szCs w:val="44"/>
          <w:shd w:val="clear" w:color="auto" w:fill="FFFFFF"/>
        </w:rPr>
      </w:pPr>
      <w:r>
        <w:rPr>
          <w:rFonts w:hint="eastAsia" w:ascii="方正小标宋简体" w:hAnsi="仿宋" w:eastAsia="方正小标宋简体" w:cs="仿宋"/>
          <w:color w:val="000000"/>
          <w:sz w:val="44"/>
          <w:szCs w:val="44"/>
          <w:shd w:val="clear" w:color="auto" w:fill="FFFFFF"/>
        </w:rPr>
        <w:t>经营场所间距测量标准</w:t>
      </w:r>
    </w:p>
    <w:p>
      <w:pPr>
        <w:spacing w:line="580" w:lineRule="exact"/>
        <w:ind w:left="640"/>
        <w:rPr>
          <w:rFonts w:ascii="仿宋" w:hAnsi="仿宋" w:eastAsia="仿宋" w:cs="仿宋"/>
          <w:color w:val="000000"/>
          <w:sz w:val="32"/>
          <w:szCs w:val="32"/>
        </w:rPr>
      </w:pPr>
    </w:p>
    <w:p>
      <w:pPr>
        <w:spacing w:line="580" w:lineRule="exact"/>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一、《规划》中“距离、间距”指新申请方与测量参照物之间,按“边对边”原则测量的可通行最短距离。测量参照物指周边最近的持证零售户或中小学校、幼儿园学生通勤出入口。现场核查新申请方与参照物之间的测量以“不违反交通规定、可通行最短距离”为总体原则。具体场所测量示意图如下：</w:t>
      </w:r>
    </w:p>
    <w:p>
      <w:pPr>
        <w:spacing w:line="580" w:lineRule="exact"/>
        <w:ind w:firstLine="632" w:firstLineChars="200"/>
        <w:jc w:val="left"/>
        <w:rPr>
          <w:rFonts w:ascii="仿宋" w:hAnsi="仿宋" w:eastAsia="仿宋" w:cs="仿宋"/>
          <w:color w:val="000000"/>
          <w:sz w:val="32"/>
          <w:szCs w:val="32"/>
        </w:rPr>
      </w:pPr>
    </w:p>
    <w:p>
      <w:pPr>
        <w:ind w:firstLine="552" w:firstLineChars="200"/>
        <w:jc w:val="left"/>
        <w:rPr>
          <w:rFonts w:ascii="仿宋_GB2312" w:hAnsi="楷体_GB2312" w:eastAsia="仿宋_GB2312" w:cs="楷体_GB2312"/>
          <w:color w:val="000000"/>
          <w:sz w:val="28"/>
          <w:szCs w:val="28"/>
        </w:rPr>
      </w:pPr>
      <w:r>
        <w:rPr>
          <w:rFonts w:hint="eastAsia" w:ascii="仿宋_GB2312" w:hAnsi="楷体_GB2312" w:eastAsia="仿宋_GB2312" w:cs="楷体_GB2312"/>
          <w:color w:val="000000"/>
          <w:sz w:val="28"/>
          <w:szCs w:val="28"/>
        </w:rPr>
        <w:t>1.申请方和测量参照物在同一侧马路的，参照图1测量，距离=a。</w:t>
      </w:r>
    </w:p>
    <w:p>
      <w:pPr>
        <w:jc w:val="center"/>
        <w:rPr>
          <w:rFonts w:ascii="仿宋_GB2312" w:hAnsi="仿宋" w:eastAsia="仿宋_GB2312" w:cs="仿宋"/>
          <w:color w:val="000000"/>
          <w:szCs w:val="32"/>
        </w:rPr>
      </w:pPr>
      <w:r>
        <w:rPr>
          <w:rFonts w:hint="eastAsia" w:ascii="仿宋_GB2312" w:hAnsi="仿宋" w:eastAsia="仿宋_GB2312" w:cs="仿宋"/>
          <w:color w:val="000000"/>
          <w:szCs w:val="32"/>
        </w:rPr>
        <w:drawing>
          <wp:inline distT="0" distB="0" distL="0" distR="0">
            <wp:extent cx="4244340" cy="1333500"/>
            <wp:effectExtent l="0" t="0" r="3810" b="0"/>
            <wp:docPr id="15" name="图片 15" descr="1629271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2927179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244340" cy="1333500"/>
                    </a:xfrm>
                    <a:prstGeom prst="rect">
                      <a:avLst/>
                    </a:prstGeom>
                    <a:noFill/>
                    <a:ln>
                      <a:noFill/>
                    </a:ln>
                  </pic:spPr>
                </pic:pic>
              </a:graphicData>
            </a:graphic>
          </wp:inline>
        </w:drawing>
      </w:r>
    </w:p>
    <w:p>
      <w:pPr>
        <w:ind w:firstLine="632" w:firstLineChars="200"/>
        <w:jc w:val="left"/>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2.申请方和测量参照物在马路两侧，马路中间设有隔离带的，从隔离带最近开口处作为测量通道,参照图2测量，距离=a+b+c。</w:t>
      </w:r>
    </w:p>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drawing>
          <wp:inline distT="0" distB="0" distL="0" distR="0">
            <wp:extent cx="3421380" cy="3162300"/>
            <wp:effectExtent l="0" t="0" r="7620" b="0"/>
            <wp:docPr id="14" name="图片 14" descr="1629271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2927193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21380" cy="3162300"/>
                    </a:xfrm>
                    <a:prstGeom prst="rect">
                      <a:avLst/>
                    </a:prstGeom>
                    <a:noFill/>
                    <a:ln>
                      <a:noFill/>
                    </a:ln>
                  </pic:spPr>
                </pic:pic>
              </a:graphicData>
            </a:graphic>
          </wp:inline>
        </w:drawing>
      </w:r>
    </w:p>
    <w:p>
      <w:pPr>
        <w:ind w:firstLine="632" w:firstLineChars="200"/>
        <w:jc w:val="left"/>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3.申请方和测量参照物在马路两侧，马路中间没有隔离带但是有斑马线的，参照图3测量，距离=a+b+c。</w:t>
      </w:r>
    </w:p>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drawing>
          <wp:inline distT="0" distB="0" distL="0" distR="0">
            <wp:extent cx="2933700" cy="2689860"/>
            <wp:effectExtent l="0" t="0" r="0" b="0"/>
            <wp:docPr id="13" name="图片 13" descr="1629272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2927202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33700" cy="2689860"/>
                    </a:xfrm>
                    <a:prstGeom prst="rect">
                      <a:avLst/>
                    </a:prstGeom>
                    <a:noFill/>
                    <a:ln>
                      <a:noFill/>
                    </a:ln>
                  </pic:spPr>
                </pic:pic>
              </a:graphicData>
            </a:graphic>
          </wp:inline>
        </w:drawing>
      </w:r>
    </w:p>
    <w:p>
      <w:pPr>
        <w:ind w:firstLine="632" w:firstLineChars="200"/>
        <w:jc w:val="left"/>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4.申请方和测量参照物在马路两侧，马路中间没有斑马线或者隔离带的，参照图4测量，距离=a。</w:t>
      </w:r>
    </w:p>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drawing>
          <wp:inline distT="0" distB="0" distL="0" distR="0">
            <wp:extent cx="3154680" cy="2667000"/>
            <wp:effectExtent l="0" t="0" r="7620" b="0"/>
            <wp:docPr id="10" name="图片 10" descr="162927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2927208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54680" cy="2667000"/>
                    </a:xfrm>
                    <a:prstGeom prst="rect">
                      <a:avLst/>
                    </a:prstGeom>
                    <a:noFill/>
                    <a:ln>
                      <a:noFill/>
                    </a:ln>
                  </pic:spPr>
                </pic:pic>
              </a:graphicData>
            </a:graphic>
          </wp:inline>
        </w:drawing>
      </w:r>
    </w:p>
    <w:p>
      <w:pPr>
        <w:jc w:val="center"/>
        <w:rPr>
          <w:rFonts w:ascii="仿宋_GB2312" w:hAnsi="仿宋" w:eastAsia="仿宋_GB2312" w:cs="仿宋"/>
          <w:color w:val="000000"/>
          <w:sz w:val="32"/>
          <w:szCs w:val="32"/>
        </w:rPr>
      </w:pPr>
    </w:p>
    <w:p>
      <w:pPr>
        <w:ind w:firstLine="632" w:firstLineChars="200"/>
        <w:jc w:val="left"/>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5.申请方和测量参照物处于马路拐角位置，参照图5测量，距离=a+b。</w:t>
      </w:r>
    </w:p>
    <w:p>
      <w:pPr>
        <w:jc w:val="center"/>
        <w:rPr>
          <w:rFonts w:ascii="仿宋_GB2312" w:hAnsi="宋体" w:eastAsia="仿宋_GB2312"/>
          <w:color w:val="000000"/>
          <w:sz w:val="32"/>
          <w:szCs w:val="32"/>
        </w:rPr>
      </w:pPr>
      <w:r>
        <w:rPr>
          <w:rFonts w:hint="eastAsia" w:ascii="仿宋_GB2312" w:hAnsi="仿宋" w:eastAsia="仿宋_GB2312" w:cs="仿宋"/>
          <w:color w:val="000000"/>
          <w:sz w:val="32"/>
          <w:szCs w:val="32"/>
        </w:rPr>
        <w:drawing>
          <wp:inline distT="0" distB="0" distL="0" distR="0">
            <wp:extent cx="3131820" cy="3345180"/>
            <wp:effectExtent l="0" t="0" r="0" b="7620"/>
            <wp:docPr id="9" name="图片 9" descr="1629272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2927218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31820" cy="3345180"/>
                    </a:xfrm>
                    <a:prstGeom prst="rect">
                      <a:avLst/>
                    </a:prstGeom>
                    <a:noFill/>
                    <a:ln>
                      <a:noFill/>
                    </a:ln>
                  </pic:spPr>
                </pic:pic>
              </a:graphicData>
            </a:graphic>
          </wp:inline>
        </w:drawing>
      </w:r>
    </w:p>
    <w:p>
      <w:pPr>
        <w:widowControl/>
        <w:spacing w:line="480" w:lineRule="exact"/>
        <w:ind w:firstLine="632" w:firstLineChars="200"/>
        <w:rPr>
          <w:rFonts w:ascii="仿宋_GB2312" w:hAnsi="宋体" w:eastAsia="仿宋_GB2312"/>
          <w:color w:val="000000"/>
          <w:sz w:val="32"/>
          <w:szCs w:val="32"/>
        </w:rPr>
      </w:pPr>
      <w:r>
        <w:rPr>
          <w:rFonts w:hint="eastAsia" w:ascii="仿宋_GB2312" w:eastAsia="仿宋_GB2312"/>
          <w:color w:val="000000"/>
          <w:kern w:val="0"/>
          <w:sz w:val="32"/>
          <w:szCs w:val="32"/>
        </w:rPr>
        <w:t>四、本测量办法由新乡县烟草专卖局负责解释。如遇本办法未明确测量方法的特殊情形时，其测量方法由新乡县烟草专卖局确定。</w:t>
      </w:r>
    </w:p>
    <w:p>
      <w:pPr>
        <w:spacing w:line="576" w:lineRule="exact"/>
        <w:ind w:firstLine="632" w:firstLineChars="200"/>
        <w:rPr>
          <w:rFonts w:ascii="仿宋" w:hAnsi="仿宋" w:eastAsia="仿宋"/>
          <w:color w:val="000000"/>
          <w:kern w:val="0"/>
          <w:sz w:val="32"/>
          <w:szCs w:val="32"/>
        </w:rPr>
      </w:pPr>
    </w:p>
    <w:p>
      <w:pPr>
        <w:widowControl/>
        <w:jc w:val="left"/>
        <w:rPr>
          <w:rFonts w:ascii="黑体" w:hAnsi="黑体" w:eastAsia="黑体" w:cs="仿宋"/>
          <w:color w:val="000000"/>
          <w:sz w:val="32"/>
          <w:szCs w:val="32"/>
          <w:shd w:val="clear" w:color="auto" w:fill="FFFFFF"/>
        </w:rPr>
      </w:pPr>
      <w:r>
        <w:rPr>
          <w:rFonts w:ascii="仿宋" w:hAnsi="仿宋" w:eastAsia="仿宋"/>
          <w:color w:val="000000"/>
          <w:kern w:val="0"/>
          <w:sz w:val="32"/>
          <w:szCs w:val="32"/>
        </w:rPr>
        <w:br w:type="page"/>
      </w:r>
      <w:r>
        <w:rPr>
          <w:rFonts w:hint="eastAsia" w:ascii="黑体" w:hAnsi="黑体" w:eastAsia="黑体" w:cs="仿宋"/>
          <w:color w:val="000000"/>
          <w:sz w:val="32"/>
          <w:szCs w:val="32"/>
          <w:shd w:val="clear" w:color="auto" w:fill="FFFFFF"/>
        </w:rPr>
        <w:t>附件2</w:t>
      </w:r>
    </w:p>
    <w:tbl>
      <w:tblPr>
        <w:tblStyle w:val="11"/>
        <w:tblW w:w="8925" w:type="dxa"/>
        <w:tblInd w:w="-15" w:type="dxa"/>
        <w:tblLayout w:type="fixed"/>
        <w:tblCellMar>
          <w:top w:w="0" w:type="dxa"/>
          <w:left w:w="108" w:type="dxa"/>
          <w:bottom w:w="0" w:type="dxa"/>
          <w:right w:w="108" w:type="dxa"/>
        </w:tblCellMar>
      </w:tblPr>
      <w:tblGrid>
        <w:gridCol w:w="8925"/>
      </w:tblGrid>
      <w:tr>
        <w:tblPrEx>
          <w:tblCellMar>
            <w:top w:w="0" w:type="dxa"/>
            <w:left w:w="108" w:type="dxa"/>
            <w:bottom w:w="0" w:type="dxa"/>
            <w:right w:w="108" w:type="dxa"/>
          </w:tblCellMar>
        </w:tblPrEx>
        <w:trPr>
          <w:trHeight w:val="1020" w:hRule="atLeast"/>
        </w:trPr>
        <w:tc>
          <w:tcPr>
            <w:tcW w:w="8925" w:type="dxa"/>
            <w:tcBorders>
              <w:top w:val="nil"/>
              <w:left w:val="nil"/>
              <w:bottom w:val="nil"/>
              <w:right w:val="nil"/>
            </w:tcBorders>
            <w:noWrap/>
            <w:vAlign w:val="center"/>
          </w:tcPr>
          <w:p>
            <w:pPr>
              <w:widowControl/>
              <w:spacing w:line="700" w:lineRule="exact"/>
              <w:jc w:val="center"/>
              <w:textAlignment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
                <w:color w:val="000000"/>
                <w:kern w:val="0"/>
                <w:sz w:val="44"/>
                <w:szCs w:val="44"/>
              </w:rPr>
              <w:t>新乡县市场单元布局信息目录</w:t>
            </w:r>
          </w:p>
        </w:tc>
      </w:tr>
    </w:tbl>
    <w:p>
      <w:pPr>
        <w:ind w:firstLine="975"/>
        <w:rPr>
          <w:rFonts w:ascii="仿宋" w:hAnsi="仿宋" w:eastAsia="仿宋" w:cs="Times New Roman"/>
          <w:color w:val="000000"/>
          <w:sz w:val="32"/>
          <w:szCs w:val="32"/>
        </w:rPr>
      </w:pPr>
    </w:p>
    <w:tbl>
      <w:tblPr>
        <w:tblStyle w:val="11"/>
        <w:tblW w:w="9375" w:type="dxa"/>
        <w:tblInd w:w="0" w:type="dxa"/>
        <w:tblLayout w:type="fixed"/>
        <w:tblCellMar>
          <w:top w:w="0" w:type="dxa"/>
          <w:left w:w="108" w:type="dxa"/>
          <w:bottom w:w="0" w:type="dxa"/>
          <w:right w:w="108" w:type="dxa"/>
        </w:tblCellMar>
      </w:tblPr>
      <w:tblGrid>
        <w:gridCol w:w="716"/>
        <w:gridCol w:w="2024"/>
        <w:gridCol w:w="3061"/>
        <w:gridCol w:w="2753"/>
        <w:gridCol w:w="821"/>
      </w:tblGrid>
      <w:tr>
        <w:tblPrEx>
          <w:tblCellMar>
            <w:top w:w="0" w:type="dxa"/>
            <w:left w:w="108" w:type="dxa"/>
            <w:bottom w:w="0" w:type="dxa"/>
            <w:right w:w="108" w:type="dxa"/>
          </w:tblCellMar>
        </w:tblPrEx>
        <w:trPr>
          <w:trHeight w:val="480" w:hRule="atLeast"/>
        </w:trPr>
        <w:tc>
          <w:tcPr>
            <w:tcW w:w="8554" w:type="dxa"/>
            <w:gridSpan w:val="4"/>
            <w:tcBorders>
              <w:top w:val="nil"/>
              <w:left w:val="nil"/>
              <w:bottom w:val="nil"/>
              <w:right w:val="nil"/>
            </w:tcBorders>
            <w:noWrap/>
            <w:vAlign w:val="center"/>
          </w:tcPr>
          <w:p>
            <w:pPr>
              <w:widowControl/>
              <w:rPr>
                <w:rFonts w:ascii="方正小标宋简体" w:hAnsi="宋体" w:eastAsia="方正小标宋简体" w:cs="宋体"/>
                <w:color w:val="000000"/>
                <w:kern w:val="0"/>
                <w:sz w:val="28"/>
                <w:szCs w:val="28"/>
              </w:rPr>
            </w:pPr>
          </w:p>
        </w:tc>
        <w:tc>
          <w:tcPr>
            <w:tcW w:w="821" w:type="dxa"/>
            <w:tcBorders>
              <w:top w:val="nil"/>
              <w:left w:val="nil"/>
              <w:bottom w:val="nil"/>
              <w:right w:val="nil"/>
            </w:tcBorders>
            <w:noWrap/>
            <w:vAlign w:val="center"/>
          </w:tcPr>
          <w:p>
            <w:pPr>
              <w:widowControl/>
              <w:jc w:val="center"/>
              <w:rPr>
                <w:rFonts w:ascii="方正小标宋简体" w:hAnsi="宋体" w:eastAsia="方正小标宋简体" w:cs="宋体"/>
                <w:color w:val="000000"/>
                <w:kern w:val="0"/>
                <w:sz w:val="28"/>
                <w:szCs w:val="28"/>
              </w:rPr>
            </w:pPr>
          </w:p>
        </w:tc>
      </w:tr>
      <w:tr>
        <w:tblPrEx>
          <w:tblCellMar>
            <w:top w:w="0" w:type="dxa"/>
            <w:left w:w="108" w:type="dxa"/>
            <w:bottom w:w="0" w:type="dxa"/>
            <w:right w:w="108" w:type="dxa"/>
          </w:tblCellMar>
        </w:tblPrEx>
        <w:trPr>
          <w:trHeight w:val="679"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0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所属行政乡镇（街道办事处）</w:t>
            </w:r>
          </w:p>
        </w:tc>
        <w:tc>
          <w:tcPr>
            <w:tcW w:w="306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市场单元名称</w:t>
            </w:r>
          </w:p>
        </w:tc>
        <w:tc>
          <w:tcPr>
            <w:tcW w:w="275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市场单元边界范围</w:t>
            </w:r>
          </w:p>
        </w:tc>
        <w:tc>
          <w:tcPr>
            <w:tcW w:w="8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市场单元容量</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东石碑村民委员会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东石碑村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都富村民委员会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都富村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冀庄村民委员会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冀庄村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梁村民委员会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梁村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秦村营村民委员会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秦村营村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西崔庄村民委员会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西崔庄村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西石碑村民委员会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西石碑村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rPr>
          <w:trHeight w:val="735"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小冀镇1区</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香港路以东，青龙路以北，海伦大道以南，黄河大道以西</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r>
      <w:tr>
        <w:tblPrEx>
          <w:tblCellMar>
            <w:top w:w="0" w:type="dxa"/>
            <w:left w:w="108" w:type="dxa"/>
            <w:bottom w:w="0" w:type="dxa"/>
            <w:right w:w="108" w:type="dxa"/>
          </w:tblCellMar>
        </w:tblPrEx>
        <w:trPr>
          <w:trHeight w:val="645"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小冀镇2区</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香港路以东，青龙路以南，民兴路以北，黄河大道以西</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r>
      <w:tr>
        <w:tblPrEx>
          <w:tblCellMar>
            <w:top w:w="0" w:type="dxa"/>
            <w:left w:w="108" w:type="dxa"/>
            <w:bottom w:w="0" w:type="dxa"/>
            <w:right w:w="108" w:type="dxa"/>
          </w:tblCellMar>
        </w:tblPrEx>
        <w:trPr>
          <w:trHeight w:val="63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小冀镇3区</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香港路以东，民兴路以南，和谐大道以北，黄河大道以西</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r>
      <w:tr>
        <w:tblPrEx>
          <w:tblCellMar>
            <w:top w:w="0" w:type="dxa"/>
            <w:left w:w="108" w:type="dxa"/>
            <w:bottom w:w="0" w:type="dxa"/>
            <w:right w:w="108" w:type="dxa"/>
          </w:tblCellMar>
        </w:tblPrEx>
        <w:trPr>
          <w:trHeight w:val="69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小冀镇4区</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香港路以东，和谐大道以南，黄河大道以北，黄河大道以西</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r>
      <w:tr>
        <w:tblPrEx>
          <w:tblCellMar>
            <w:top w:w="0" w:type="dxa"/>
            <w:left w:w="108" w:type="dxa"/>
            <w:bottom w:w="0" w:type="dxa"/>
            <w:right w:w="108" w:type="dxa"/>
          </w:tblCellMar>
        </w:tblPrEx>
        <w:trPr>
          <w:trHeight w:val="705"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小冀镇5区</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香港路以西，青龙路以北，西环以东，海伦大道以南</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r>
      <w:tr>
        <w:trPr>
          <w:trHeight w:val="63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小冀镇6区</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香港路以西，青龙路以南，西环以东，民兴路以北</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r>
      <w:tr>
        <w:tblPrEx>
          <w:tblCellMar>
            <w:top w:w="0" w:type="dxa"/>
            <w:left w:w="108" w:type="dxa"/>
            <w:bottom w:w="0" w:type="dxa"/>
            <w:right w:w="108" w:type="dxa"/>
          </w:tblCellMar>
        </w:tblPrEx>
        <w:trPr>
          <w:trHeight w:val="675"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小冀镇7区</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香港路以西，和谐大道以北，西环以东，民兴路以南</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r>
      <w:tr>
        <w:tblPrEx>
          <w:tblCellMar>
            <w:top w:w="0" w:type="dxa"/>
            <w:left w:w="108" w:type="dxa"/>
            <w:bottom w:w="0" w:type="dxa"/>
            <w:right w:w="108" w:type="dxa"/>
          </w:tblCellMar>
        </w:tblPrEx>
        <w:trPr>
          <w:trHeight w:val="675"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小冀镇8区</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香港路以西，和谐大道以南，西环以东，黄河大道以北</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r>
      <w:tr>
        <w:tblPrEx>
          <w:tblCellMar>
            <w:top w:w="0" w:type="dxa"/>
            <w:left w:w="108" w:type="dxa"/>
            <w:bottom w:w="0" w:type="dxa"/>
            <w:right w:w="108" w:type="dxa"/>
          </w:tblCellMar>
        </w:tblPrEx>
        <w:trPr>
          <w:trHeight w:val="66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小冀镇火车站片区</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时瑞公司以东，火车站办公楼以南，鸿泰浴场以西，海伦大道以北</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杏庄村民委员会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杏庄村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小冀镇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西寺村民委员会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西寺村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大召营镇西</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大召营镇富康路以西</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大召营镇东</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大召营镇富康路以东</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李大召村民委员会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李大召村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刘大召村民委员会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刘大召村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后高庄村民委员会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后高庄村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北杨庄村民委员会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北杨庄村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前高庄村民委员会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前高庄村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代店村民委员会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代店村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店后营村民委员会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店后营村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文营村民委员会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文营村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李唐马村民委员会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李唐马村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张唐马村民委员会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张唐马村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大召营镇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马唐马村民委员会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马唐马村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202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202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都小郭村民委员会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都小郭村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郭小郭村民委员会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郭小郭村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田小郭村民委员会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田小郭村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朱小郭村民委员会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朱小郭村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崔小郭村民委员会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崔小郭村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贾桥村民委员会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贾桥村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潘屯村民委员会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潘屯村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前村民委员会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前村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后村民委员会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后村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范岭村民委员会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范岭村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西河村民委员会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西河村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东元封村民委员会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东元封村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西元封村民委员会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西元封村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南永康村民委员会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南永康村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西北永康村民委员会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西北永康村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东北永康村民委员会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东北永康村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合河</w:t>
            </w:r>
            <w:r>
              <w:rPr>
                <w:rFonts w:hint="eastAsia" w:ascii="宋体" w:hAnsi="宋体" w:cs="宋体"/>
                <w:color w:val="000000"/>
                <w:kern w:val="0"/>
                <w:sz w:val="22"/>
                <w:szCs w:val="22"/>
                <w:lang w:eastAsia="zh-CN"/>
              </w:rPr>
              <w:t>乡</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西永康村民委员会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西永康村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翟坡镇街里民委员会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翟坡镇街里</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大宋佛村民委员会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大宋佛村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小宋佛村民委员会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小宋佛村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中大阳村民委员会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中大阳村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东营村民委员会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东营村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西大阳堤村民委员会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西大阳堤村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西营村民委员会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西营村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周王庄民委员会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周王庄</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杨任旺村民委员会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杨任旺村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牛任旺村民委员会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牛任旺村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高任旺村民委员会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高任旺村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李任旺村民委员会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李任旺村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常兴铺村民委员会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常兴铺村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寺王村民委员会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寺王村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红林村民委员会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红林村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岗头村民委员会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岗头村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北翟坡村民委员会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北翟坡村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任小营村民委员会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任小营村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南翟坡西村民委员会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南翟坡西村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南翟坡东村民委员会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南翟坡东村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焦田庄村民委员会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焦田庄村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东大阳堤村民委员会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东大阳堤村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翟坡镇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兴宁村民委员会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兴宁村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西马头王村民委员会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西马头王村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小河村民委员会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小河村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后庄村民委员会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后庄村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东马头王村民委员会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东马头王村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毛庄村民委员会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毛庄村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前庄村民委员会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前庄村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小马头王村民委员会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小马头王村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原庄村民委员会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原庄村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111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朗北街、朗中街、朗南街区域</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朗公庙镇朗北街村和朗中街村和朗南街村、007乡道（三干河）以南、229省道（新原路）以东区域</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张湾村民委员会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张湾村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贺堤村民委员会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贺堤村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东荆楼村民委员会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东荆楼村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朱堤村民委员会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朱堤村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南固军村民委员会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南固军村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曲水村民委员会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曲水村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赵堤村民委员会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赵堤村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北固军村民委员会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北固军村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南于店村民委员会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南于店村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王府庄村民委员会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王府庄村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永安村民委员会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永安村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大泉村民委员会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大泉村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西荆楼村民委员会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西荆楼村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张庄村民委员会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张庄村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北于店村民委员会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北于店村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土门村民委员会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土门村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杨街村民委员会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杨街村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朗公庙镇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崔庄村民委员会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崔庄村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古固寨镇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古固寨镇南区</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古固寨镇新延路以南区域</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r>
      <w:tr>
        <w:tblPrEx>
          <w:tblCellMar>
            <w:top w:w="0" w:type="dxa"/>
            <w:left w:w="108" w:type="dxa"/>
            <w:bottom w:w="0" w:type="dxa"/>
            <w:right w:w="108" w:type="dxa"/>
          </w:tblCellMar>
        </w:tblPrEx>
        <w:trPr>
          <w:trHeight w:val="585"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古固寨镇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古固寨镇北区</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古固寨镇新延路以北、富康大道以南区域</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古固寨镇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冷庄村民委员会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冷庄村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古固寨镇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三王庄村民委员会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三王庄村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古固寨镇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史屯村民委员会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史屯村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古固寨镇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王连屯村民委员会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王连屯村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古固寨镇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前辛庄村民委员会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前辛庄村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古固寨镇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南张庄村民委员会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南张庄村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古固寨镇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小屯村民委员会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小屯村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古固寨镇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南辛庄村民委员会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南辛庄村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古固寨镇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后辛庄村民委员会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后辛庄村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古固寨镇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崔井村民委员会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崔井村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古固寨镇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小古固寨村民委员会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小古固寨村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古固寨镇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于庄村民委员会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七里营镇西区</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七里营镇青年路刘庄街以西</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八柳树村民委员会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八柳树村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李台村民委员会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李台村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r>
      <w:tr>
        <w:tblPrEx>
          <w:tblCellMar>
            <w:top w:w="0" w:type="dxa"/>
            <w:left w:w="108" w:type="dxa"/>
            <w:bottom w:w="0" w:type="dxa"/>
            <w:right w:w="108" w:type="dxa"/>
          </w:tblCellMar>
        </w:tblPrEx>
        <w:trPr>
          <w:trHeight w:val="75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杨屯新区</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七里营镇文昌路以南、金融路以北、中央大道以东、祥和街以西</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刘店村民委员会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刘店村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毛滩村民委员会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毛滩村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东王庄村民委员会</w:t>
            </w:r>
          </w:p>
        </w:tc>
        <w:tc>
          <w:tcPr>
            <w:tcW w:w="2753"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东王庄村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七里营镇东区</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七里营镇青年路刘庄街以东</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大张庄村民委员会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大张庄村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丁庄村民委员会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丁庄村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东高村民委员会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东高村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大兴村民委员会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府庄村民委员会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府庄村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康庄村民委员会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康庄村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夏庄村民委员会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夏庄村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新庄村民委员会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新庄村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杨屯村民委员会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杨屯村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陈庄村民委员会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东曹村民委员会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东曹村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东李寨村民委员会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东李寨村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任庄村民委员会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西曹村民委员会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西曹村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西阳兴村民委员会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西阳兴村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小张庄村民委员会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小张庄村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春庄村民委员会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春庄村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大赵庄村民委员会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大赵庄村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沟王村民委员会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沟王村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刘庄村民委员会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罗滩村民委员会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罗滩村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苗庄村民委员会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苗庄村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147</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中曹村民委员会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中曹村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北周庄村民委员会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北周庄村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刘八庄村民委员会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刘八庄村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南王庄村民委员会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南王庄村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南位庄村民委员会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南位庄村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戚庄村民委员会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戚庄村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西高村民委员会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西高村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西李寨村民委员会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西李寨村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余庄村民委员会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曹杨庄村民委员会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曹杨庄村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曹庄村民委员会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东阳兴村民委员会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东阳兴村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老杨庄村民委员会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老杨庄村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刘纪岗庄村民委员会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刘纪岗庄村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马庄村民委员会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宋庄村民委员会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宋庄村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杨庄村、杨堤村</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杨庄村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龙泉村民委员会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龙泉村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480" w:hRule="atLeast"/>
        </w:trPr>
        <w:tc>
          <w:tcPr>
            <w:tcW w:w="71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165</w:t>
            </w:r>
          </w:p>
        </w:tc>
        <w:tc>
          <w:tcPr>
            <w:tcW w:w="202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七里营镇</w:t>
            </w:r>
          </w:p>
        </w:tc>
        <w:tc>
          <w:tcPr>
            <w:tcW w:w="3061" w:type="dxa"/>
            <w:tcBorders>
              <w:top w:val="nil"/>
              <w:left w:val="nil"/>
              <w:bottom w:val="single" w:color="auto" w:sz="4" w:space="0"/>
              <w:right w:val="single" w:color="auto" w:sz="4" w:space="0"/>
            </w:tcBorders>
            <w:vAlign w:val="center"/>
          </w:tcPr>
          <w:p>
            <w:pPr>
              <w:widowControl/>
              <w:jc w:val="center"/>
              <w:rPr>
                <w:rFonts w:ascii="雅黑" w:hAnsi="雅黑" w:cs="宋体"/>
                <w:color w:val="000000"/>
                <w:kern w:val="0"/>
                <w:sz w:val="22"/>
                <w:szCs w:val="22"/>
              </w:rPr>
            </w:pPr>
            <w:r>
              <w:rPr>
                <w:rFonts w:ascii="雅黑" w:hAnsi="雅黑" w:cs="宋体"/>
                <w:color w:val="000000"/>
                <w:kern w:val="0"/>
                <w:sz w:val="22"/>
                <w:szCs w:val="22"/>
              </w:rPr>
              <w:t>敦留店村民委员会</w:t>
            </w:r>
          </w:p>
        </w:tc>
        <w:tc>
          <w:tcPr>
            <w:tcW w:w="27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敦留店村</w:t>
            </w:r>
          </w:p>
        </w:tc>
        <w:tc>
          <w:tcPr>
            <w:tcW w:w="8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bl>
    <w:p>
      <w:pPr>
        <w:ind w:firstLine="975"/>
        <w:rPr>
          <w:rFonts w:ascii="仿宋" w:hAnsi="仿宋" w:eastAsia="仿宋" w:cs="Times New Roman"/>
          <w:color w:val="000000"/>
          <w:sz w:val="32"/>
          <w:szCs w:val="32"/>
        </w:rPr>
      </w:pPr>
    </w:p>
    <w:p>
      <w:pPr>
        <w:rPr>
          <w:rFonts w:ascii="仿宋" w:hAnsi="仿宋" w:eastAsia="仿宋" w:cs="Times New Roman"/>
          <w:color w:val="000000"/>
          <w:sz w:val="32"/>
          <w:szCs w:val="32"/>
        </w:rPr>
      </w:pPr>
    </w:p>
    <w:p>
      <w:pPr>
        <w:pStyle w:val="4"/>
        <w:rPr>
          <w:rFonts w:ascii="仿宋" w:hAnsi="仿宋" w:eastAsia="仿宋" w:cs="Times New Roman"/>
          <w:color w:val="000000"/>
          <w:sz w:val="32"/>
          <w:szCs w:val="32"/>
        </w:rPr>
      </w:pPr>
    </w:p>
    <w:p>
      <w:pPr>
        <w:pStyle w:val="4"/>
        <w:rPr>
          <w:rFonts w:ascii="仿宋" w:hAnsi="仿宋" w:eastAsia="仿宋" w:cs="Times New Roman"/>
          <w:color w:val="000000"/>
          <w:sz w:val="32"/>
          <w:szCs w:val="32"/>
        </w:rPr>
      </w:pPr>
    </w:p>
    <w:p>
      <w:pPr>
        <w:pStyle w:val="4"/>
        <w:rPr>
          <w:rFonts w:ascii="仿宋" w:hAnsi="仿宋" w:eastAsia="仿宋" w:cs="Times New Roman"/>
          <w:color w:val="000000"/>
          <w:sz w:val="32"/>
          <w:szCs w:val="32"/>
        </w:rPr>
      </w:pPr>
    </w:p>
    <w:p>
      <w:pPr>
        <w:pStyle w:val="4"/>
        <w:rPr>
          <w:rFonts w:ascii="仿宋" w:hAnsi="仿宋" w:eastAsia="仿宋" w:cs="Times New Roman"/>
          <w:color w:val="000000"/>
          <w:sz w:val="32"/>
          <w:szCs w:val="32"/>
        </w:rPr>
      </w:pPr>
    </w:p>
    <w:p>
      <w:pPr>
        <w:pStyle w:val="4"/>
        <w:jc w:val="left"/>
        <w:rPr>
          <w:rFonts w:hint="eastAsia" w:ascii="黑体" w:hAnsi="黑体" w:eastAsia="黑体" w:cs="仿宋"/>
          <w:color w:val="000000"/>
          <w:sz w:val="32"/>
          <w:szCs w:val="32"/>
          <w:shd w:val="clear" w:color="auto" w:fill="FFFFFF"/>
        </w:rPr>
      </w:pPr>
    </w:p>
    <w:p>
      <w:pPr>
        <w:pStyle w:val="4"/>
        <w:jc w:val="left"/>
        <w:rPr>
          <w:rFonts w:hint="eastAsia" w:ascii="黑体" w:hAnsi="黑体" w:eastAsia="黑体" w:cs="仿宋"/>
          <w:color w:val="000000"/>
          <w:sz w:val="32"/>
          <w:szCs w:val="32"/>
          <w:shd w:val="clear" w:color="auto" w:fill="FFFFFF"/>
        </w:rPr>
      </w:pPr>
    </w:p>
    <w:p>
      <w:pPr>
        <w:pStyle w:val="4"/>
        <w:jc w:val="left"/>
        <w:rPr>
          <w:rFonts w:hint="eastAsia" w:ascii="黑体" w:hAnsi="黑体" w:eastAsia="黑体" w:cs="仿宋"/>
          <w:color w:val="000000"/>
          <w:sz w:val="32"/>
          <w:szCs w:val="32"/>
          <w:shd w:val="clear" w:color="auto" w:fill="FFFFFF"/>
        </w:rPr>
      </w:pPr>
    </w:p>
    <w:p>
      <w:pPr>
        <w:pStyle w:val="4"/>
        <w:jc w:val="left"/>
        <w:rPr>
          <w:rFonts w:hint="eastAsia" w:ascii="黑体" w:hAnsi="黑体" w:eastAsia="黑体" w:cs="仿宋"/>
          <w:color w:val="000000"/>
          <w:sz w:val="32"/>
          <w:szCs w:val="32"/>
          <w:shd w:val="clear" w:color="auto" w:fill="FFFFFF"/>
        </w:rPr>
      </w:pPr>
    </w:p>
    <w:p>
      <w:pPr>
        <w:pStyle w:val="4"/>
        <w:jc w:val="left"/>
        <w:rPr>
          <w:rFonts w:hint="eastAsia" w:ascii="黑体" w:hAnsi="黑体" w:eastAsia="黑体" w:cs="仿宋"/>
          <w:color w:val="000000"/>
          <w:sz w:val="32"/>
          <w:szCs w:val="32"/>
          <w:shd w:val="clear" w:color="auto" w:fill="FFFFFF"/>
        </w:rPr>
      </w:pPr>
    </w:p>
    <w:p>
      <w:pPr>
        <w:pStyle w:val="4"/>
        <w:jc w:val="left"/>
        <w:rPr>
          <w:rFonts w:ascii="黑体" w:hAnsi="黑体" w:eastAsia="黑体" w:cs="仿宋"/>
          <w:color w:val="000000"/>
          <w:sz w:val="32"/>
          <w:szCs w:val="32"/>
          <w:shd w:val="clear" w:color="auto" w:fill="FFFFFF"/>
        </w:rPr>
      </w:pPr>
    </w:p>
    <w:p>
      <w:pPr>
        <w:pStyle w:val="4"/>
        <w:jc w:val="left"/>
        <w:rPr>
          <w:rFonts w:ascii="黑体" w:hAnsi="黑体" w:eastAsia="黑体" w:cs="仿宋"/>
          <w:color w:val="000000"/>
          <w:sz w:val="32"/>
          <w:szCs w:val="32"/>
          <w:shd w:val="clear" w:color="auto" w:fill="FFFFFF"/>
        </w:rPr>
      </w:pPr>
      <w:r>
        <w:rPr>
          <w:rFonts w:hint="eastAsia" w:ascii="黑体" w:hAnsi="黑体" w:eastAsia="黑体" w:cs="仿宋"/>
          <w:color w:val="000000"/>
          <w:sz w:val="32"/>
          <w:szCs w:val="32"/>
          <w:shd w:val="clear" w:color="auto" w:fill="FFFFFF"/>
        </w:rPr>
        <w:t>附件3：</w:t>
      </w:r>
    </w:p>
    <w:p>
      <w:pPr>
        <w:pStyle w:val="4"/>
        <w:jc w:val="center"/>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与烟草制品零售业务没有直接或者间接互补营销关系的场所名录</w:t>
      </w:r>
    </w:p>
    <w:tbl>
      <w:tblPr>
        <w:tblStyle w:val="11"/>
        <w:tblW w:w="8438" w:type="dxa"/>
        <w:tblInd w:w="8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040"/>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shd w:val="clear" w:color="auto" w:fill="auto"/>
          </w:tcPr>
          <w:p>
            <w:pPr>
              <w:pStyle w:val="4"/>
              <w:jc w:val="center"/>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序号</w:t>
            </w:r>
          </w:p>
        </w:tc>
        <w:tc>
          <w:tcPr>
            <w:tcW w:w="2040" w:type="dxa"/>
            <w:shd w:val="clear" w:color="auto" w:fill="auto"/>
          </w:tcPr>
          <w:p>
            <w:pPr>
              <w:pStyle w:val="4"/>
              <w:jc w:val="center"/>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许可证号</w:t>
            </w:r>
          </w:p>
        </w:tc>
        <w:tc>
          <w:tcPr>
            <w:tcW w:w="5445" w:type="dxa"/>
            <w:shd w:val="clear" w:color="auto" w:fill="auto"/>
          </w:tcPr>
          <w:p>
            <w:pPr>
              <w:pStyle w:val="4"/>
              <w:jc w:val="center"/>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企业（字号）名称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p>
        </w:tc>
        <w:tc>
          <w:tcPr>
            <w:tcW w:w="2040"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410721*****9</w:t>
            </w:r>
          </w:p>
        </w:tc>
        <w:tc>
          <w:tcPr>
            <w:tcW w:w="5445"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新乡经济开发区花仙宾馆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w:t>
            </w:r>
          </w:p>
        </w:tc>
        <w:tc>
          <w:tcPr>
            <w:tcW w:w="2040"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410721*****1</w:t>
            </w:r>
          </w:p>
        </w:tc>
        <w:tc>
          <w:tcPr>
            <w:tcW w:w="5445"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新乡县小冀镇成诚手机维修店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3</w:t>
            </w:r>
          </w:p>
        </w:tc>
        <w:tc>
          <w:tcPr>
            <w:tcW w:w="2040"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410721*****9</w:t>
            </w:r>
          </w:p>
        </w:tc>
        <w:tc>
          <w:tcPr>
            <w:tcW w:w="5445"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新乡县小冀镇难忘今宵娱乐城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w:t>
            </w:r>
          </w:p>
        </w:tc>
        <w:tc>
          <w:tcPr>
            <w:tcW w:w="2040"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410721*****8</w:t>
            </w:r>
          </w:p>
        </w:tc>
        <w:tc>
          <w:tcPr>
            <w:tcW w:w="5445"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中国邮政集团有限公司河南省新乡县小冀支局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5</w:t>
            </w:r>
          </w:p>
        </w:tc>
        <w:tc>
          <w:tcPr>
            <w:tcW w:w="2040"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41072*****0</w:t>
            </w:r>
          </w:p>
        </w:tc>
        <w:tc>
          <w:tcPr>
            <w:tcW w:w="5445"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新乡市经开区古固寨镇虹苍农林场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6</w:t>
            </w:r>
          </w:p>
        </w:tc>
        <w:tc>
          <w:tcPr>
            <w:tcW w:w="2040"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410721*****5</w:t>
            </w:r>
          </w:p>
        </w:tc>
        <w:tc>
          <w:tcPr>
            <w:tcW w:w="5445"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新乡县古固寨镇铭领百货店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7</w:t>
            </w:r>
          </w:p>
        </w:tc>
        <w:tc>
          <w:tcPr>
            <w:tcW w:w="2040"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410721*****9</w:t>
            </w:r>
          </w:p>
        </w:tc>
        <w:tc>
          <w:tcPr>
            <w:tcW w:w="5445"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中国邮政集团有限公司河南省新乡县古固寨支局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8</w:t>
            </w:r>
          </w:p>
        </w:tc>
        <w:tc>
          <w:tcPr>
            <w:tcW w:w="2040"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410721*****7</w:t>
            </w:r>
          </w:p>
        </w:tc>
        <w:tc>
          <w:tcPr>
            <w:tcW w:w="5445"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新乡县大召营镇金三角温泉宾馆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9</w:t>
            </w:r>
          </w:p>
        </w:tc>
        <w:tc>
          <w:tcPr>
            <w:tcW w:w="2040"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410721*****5</w:t>
            </w:r>
          </w:p>
        </w:tc>
        <w:tc>
          <w:tcPr>
            <w:tcW w:w="5445"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新乡县翟坡镇兴昌干菜粮油店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10</w:t>
            </w:r>
          </w:p>
        </w:tc>
        <w:tc>
          <w:tcPr>
            <w:tcW w:w="2040"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410721*****1</w:t>
            </w:r>
          </w:p>
        </w:tc>
        <w:tc>
          <w:tcPr>
            <w:tcW w:w="5445"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新乡县七里营镇素梅百货门市部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11</w:t>
            </w:r>
          </w:p>
        </w:tc>
        <w:tc>
          <w:tcPr>
            <w:tcW w:w="2040"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410721*****8</w:t>
            </w:r>
          </w:p>
        </w:tc>
        <w:tc>
          <w:tcPr>
            <w:tcW w:w="5445"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新乡县朗公庙镇永利百货商店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12</w:t>
            </w:r>
          </w:p>
        </w:tc>
        <w:tc>
          <w:tcPr>
            <w:tcW w:w="2040"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410721*****4</w:t>
            </w:r>
          </w:p>
        </w:tc>
        <w:tc>
          <w:tcPr>
            <w:tcW w:w="5445" w:type="dxa"/>
            <w:shd w:val="clear" w:color="auto" w:fill="auto"/>
          </w:tcPr>
          <w:p>
            <w:pPr>
              <w:pStyle w:val="4"/>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新乡县利民酒店有限公司</w:t>
            </w:r>
          </w:p>
        </w:tc>
      </w:tr>
    </w:tbl>
    <w:p>
      <w:pPr>
        <w:pStyle w:val="4"/>
        <w:jc w:val="center"/>
        <w:rPr>
          <w:rFonts w:ascii="仿宋" w:hAnsi="仿宋" w:eastAsia="仿宋" w:cs="Times New Roman"/>
          <w:color w:val="000000"/>
          <w:sz w:val="32"/>
          <w:szCs w:val="32"/>
        </w:rPr>
      </w:pPr>
    </w:p>
    <w:p>
      <w:pPr>
        <w:adjustRightInd w:val="0"/>
        <w:snapToGrid w:val="0"/>
        <w:jc w:val="center"/>
        <w:rPr>
          <w:rFonts w:ascii="仿宋_GB2312" w:hAnsi="仿宋_GB2312" w:eastAsia="仿宋_GB2312"/>
          <w:sz w:val="32"/>
          <w:szCs w:val="32"/>
        </w:rPr>
      </w:pPr>
    </w:p>
    <w:p>
      <w:pPr>
        <w:adjustRightInd w:val="0"/>
        <w:snapToGrid w:val="0"/>
        <w:rPr>
          <w:rFonts w:ascii="仿宋_GB2312" w:hAnsi="仿宋_GB2312" w:eastAsia="仿宋_GB2312"/>
          <w:sz w:val="32"/>
          <w:szCs w:val="32"/>
        </w:rPr>
      </w:pPr>
    </w:p>
    <w:p>
      <w:pPr>
        <w:adjustRightInd w:val="0"/>
        <w:snapToGrid w:val="0"/>
        <w:rPr>
          <w:rFonts w:ascii="仿宋_GB2312" w:hAnsi="仿宋_GB2312" w:eastAsia="仿宋_GB2312"/>
          <w:sz w:val="32"/>
          <w:szCs w:val="32"/>
        </w:rPr>
      </w:pPr>
    </w:p>
    <w:p>
      <w:pPr>
        <w:adjustRightInd w:val="0"/>
        <w:snapToGrid w:val="0"/>
        <w:rPr>
          <w:rFonts w:ascii="仿宋_GB2312" w:hAnsi="仿宋_GB2312" w:eastAsia="仿宋_GB2312"/>
          <w:sz w:val="32"/>
          <w:szCs w:val="32"/>
        </w:rPr>
      </w:pPr>
    </w:p>
    <w:p>
      <w:pPr>
        <w:adjustRightInd w:val="0"/>
        <w:snapToGrid w:val="0"/>
        <w:rPr>
          <w:rFonts w:ascii="仿宋_GB2312" w:hAnsi="仿宋" w:eastAsia="仿宋_GB2312" w:cs="Times New Roman"/>
          <w:sz w:val="32"/>
          <w:szCs w:val="32"/>
        </w:rPr>
      </w:pPr>
      <w:r>
        <w:rPr>
          <w:rFonts w:ascii="仿宋_GB2312" w:hAnsi="仿宋_GB2312" w:eastAsia="仿宋_GB2312"/>
          <w:sz w:val="32"/>
          <w:szCs w:val="32"/>
        </w:rPr>
        <w:pict>
          <v:shape id="_x0000_s1031" o:spid="_x0000_s1031" o:spt="75" type="#_x0000_t75" style="position:absolute;left:0pt;margin-left:-69.9pt;margin-top:-693.85pt;height:30pt;width:60pt;visibility:hidden;z-index:251664384;mso-width-relative:page;mso-height-relative:page;" filled="f" o:preferrelative="t" stroked="f" coordsize="21600,21600">
            <v:path/>
            <v:fill on="f" focussize="0,0"/>
            <v:stroke on="f" joinstyle="miter"/>
            <v:imagedata r:id="rId11" o:title=""/>
            <o:lock v:ext="edit" aspectratio="t"/>
          </v:shape>
        </w:pict>
      </w:r>
      <w:bookmarkStart w:id="1" w:name="_GoBack"/>
      <w:bookmarkEnd w:id="1"/>
    </w:p>
    <w:sectPr>
      <w:headerReference r:id="rId3" w:type="default"/>
      <w:footerReference r:id="rId4" w:type="default"/>
      <w:pgSz w:w="11906" w:h="16838"/>
      <w:pgMar w:top="1418" w:right="1418" w:bottom="1418" w:left="1418" w:header="851" w:footer="992" w:gutter="0"/>
      <w:cols w:space="0" w:num="1"/>
      <w:rtlGutter w:val="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雅黑">
    <w:altName w:val="黑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page" w:hAnchor="page" w:x="5596" w:y="15804"/>
      <w:tabs>
        <w:tab w:val="center" w:pos="4153"/>
        <w:tab w:val="right" w:pos="8306"/>
      </w:tabs>
      <w:snapToGrid w:val="0"/>
      <w:jc w:val="left"/>
      <w:rPr>
        <w:rFonts w:ascii="宋体" w:hAnsi="宋体" w:eastAsia="仿宋_GB2312" w:cs="Times New Roman"/>
        <w:sz w:val="28"/>
        <w:szCs w:val="28"/>
      </w:rPr>
    </w:pP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22</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 xml:space="preserve"> ––</w:t>
    </w:r>
  </w:p>
  <w:p>
    <w:pP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3"/>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F2"/>
    <w:rsid w:val="00015C5B"/>
    <w:rsid w:val="00016169"/>
    <w:rsid w:val="00027712"/>
    <w:rsid w:val="00033AB2"/>
    <w:rsid w:val="00057E78"/>
    <w:rsid w:val="00057F6A"/>
    <w:rsid w:val="00063391"/>
    <w:rsid w:val="000649AA"/>
    <w:rsid w:val="00074ED6"/>
    <w:rsid w:val="0008187E"/>
    <w:rsid w:val="0008301A"/>
    <w:rsid w:val="00083057"/>
    <w:rsid w:val="00084141"/>
    <w:rsid w:val="00091E9E"/>
    <w:rsid w:val="00092334"/>
    <w:rsid w:val="000A037A"/>
    <w:rsid w:val="000A2A73"/>
    <w:rsid w:val="000A42AC"/>
    <w:rsid w:val="000A664F"/>
    <w:rsid w:val="000A783D"/>
    <w:rsid w:val="000B037E"/>
    <w:rsid w:val="000D395A"/>
    <w:rsid w:val="000D5979"/>
    <w:rsid w:val="000E73FD"/>
    <w:rsid w:val="000F0830"/>
    <w:rsid w:val="000F10ED"/>
    <w:rsid w:val="000F546E"/>
    <w:rsid w:val="00135D24"/>
    <w:rsid w:val="00142E63"/>
    <w:rsid w:val="0015760F"/>
    <w:rsid w:val="00164262"/>
    <w:rsid w:val="00170035"/>
    <w:rsid w:val="00171DB5"/>
    <w:rsid w:val="00172083"/>
    <w:rsid w:val="001762FB"/>
    <w:rsid w:val="00190148"/>
    <w:rsid w:val="001B74BF"/>
    <w:rsid w:val="002052A2"/>
    <w:rsid w:val="00215F91"/>
    <w:rsid w:val="00222859"/>
    <w:rsid w:val="00222EA9"/>
    <w:rsid w:val="00225907"/>
    <w:rsid w:val="00237A01"/>
    <w:rsid w:val="002423B3"/>
    <w:rsid w:val="00244F6F"/>
    <w:rsid w:val="002466D1"/>
    <w:rsid w:val="0025046C"/>
    <w:rsid w:val="002634EA"/>
    <w:rsid w:val="002740B4"/>
    <w:rsid w:val="00290F64"/>
    <w:rsid w:val="00293FCD"/>
    <w:rsid w:val="002A15E0"/>
    <w:rsid w:val="002B29D7"/>
    <w:rsid w:val="002B30E2"/>
    <w:rsid w:val="002B444F"/>
    <w:rsid w:val="002D7F5B"/>
    <w:rsid w:val="00302797"/>
    <w:rsid w:val="003175A4"/>
    <w:rsid w:val="003229A2"/>
    <w:rsid w:val="00342F7F"/>
    <w:rsid w:val="00343E3F"/>
    <w:rsid w:val="0034757B"/>
    <w:rsid w:val="00347F48"/>
    <w:rsid w:val="00373DEE"/>
    <w:rsid w:val="0038457B"/>
    <w:rsid w:val="00396C13"/>
    <w:rsid w:val="003A7327"/>
    <w:rsid w:val="003D77E2"/>
    <w:rsid w:val="003D7801"/>
    <w:rsid w:val="003F0CBB"/>
    <w:rsid w:val="00406D1A"/>
    <w:rsid w:val="00416C15"/>
    <w:rsid w:val="0043257B"/>
    <w:rsid w:val="00436FDD"/>
    <w:rsid w:val="00437B20"/>
    <w:rsid w:val="00456740"/>
    <w:rsid w:val="004907BB"/>
    <w:rsid w:val="004A4E53"/>
    <w:rsid w:val="004B7A58"/>
    <w:rsid w:val="004C1716"/>
    <w:rsid w:val="004C1A1D"/>
    <w:rsid w:val="004C1A4F"/>
    <w:rsid w:val="00504207"/>
    <w:rsid w:val="005107BE"/>
    <w:rsid w:val="00527E82"/>
    <w:rsid w:val="00543D2B"/>
    <w:rsid w:val="0054413F"/>
    <w:rsid w:val="005502C1"/>
    <w:rsid w:val="00551759"/>
    <w:rsid w:val="0057061C"/>
    <w:rsid w:val="00572849"/>
    <w:rsid w:val="00574013"/>
    <w:rsid w:val="0059278E"/>
    <w:rsid w:val="005A4758"/>
    <w:rsid w:val="005C1CE2"/>
    <w:rsid w:val="005F22BB"/>
    <w:rsid w:val="00601AA1"/>
    <w:rsid w:val="00616A67"/>
    <w:rsid w:val="006200D0"/>
    <w:rsid w:val="0063017D"/>
    <w:rsid w:val="00644E29"/>
    <w:rsid w:val="00646674"/>
    <w:rsid w:val="00686699"/>
    <w:rsid w:val="0069036E"/>
    <w:rsid w:val="006A3AF3"/>
    <w:rsid w:val="006A6075"/>
    <w:rsid w:val="006A7AB2"/>
    <w:rsid w:val="006B0FE7"/>
    <w:rsid w:val="006D28C5"/>
    <w:rsid w:val="006E0FD6"/>
    <w:rsid w:val="006E1B59"/>
    <w:rsid w:val="006F7E46"/>
    <w:rsid w:val="007126A3"/>
    <w:rsid w:val="00723AB9"/>
    <w:rsid w:val="00732D73"/>
    <w:rsid w:val="00747B84"/>
    <w:rsid w:val="00755BF8"/>
    <w:rsid w:val="00756FF1"/>
    <w:rsid w:val="00762FDC"/>
    <w:rsid w:val="00776339"/>
    <w:rsid w:val="00795931"/>
    <w:rsid w:val="007A38F5"/>
    <w:rsid w:val="007A6BEF"/>
    <w:rsid w:val="007B12F2"/>
    <w:rsid w:val="007C707C"/>
    <w:rsid w:val="007D462D"/>
    <w:rsid w:val="007E3D2A"/>
    <w:rsid w:val="0080175D"/>
    <w:rsid w:val="00821AD8"/>
    <w:rsid w:val="008223E2"/>
    <w:rsid w:val="008255A6"/>
    <w:rsid w:val="00827FD4"/>
    <w:rsid w:val="008455D2"/>
    <w:rsid w:val="008578B6"/>
    <w:rsid w:val="00863CF9"/>
    <w:rsid w:val="008943EF"/>
    <w:rsid w:val="008B6A79"/>
    <w:rsid w:val="008B799C"/>
    <w:rsid w:val="008D2052"/>
    <w:rsid w:val="008F2928"/>
    <w:rsid w:val="0090254E"/>
    <w:rsid w:val="00911064"/>
    <w:rsid w:val="00921789"/>
    <w:rsid w:val="00931038"/>
    <w:rsid w:val="00942B21"/>
    <w:rsid w:val="00954259"/>
    <w:rsid w:val="00955A7B"/>
    <w:rsid w:val="00961970"/>
    <w:rsid w:val="009649EF"/>
    <w:rsid w:val="0097727C"/>
    <w:rsid w:val="00977892"/>
    <w:rsid w:val="009B326B"/>
    <w:rsid w:val="009D0C09"/>
    <w:rsid w:val="009E013D"/>
    <w:rsid w:val="009E497E"/>
    <w:rsid w:val="009F21B2"/>
    <w:rsid w:val="009F5E8A"/>
    <w:rsid w:val="00A12F3A"/>
    <w:rsid w:val="00A2009A"/>
    <w:rsid w:val="00A259A4"/>
    <w:rsid w:val="00A270F6"/>
    <w:rsid w:val="00A4597A"/>
    <w:rsid w:val="00A6072C"/>
    <w:rsid w:val="00A77B03"/>
    <w:rsid w:val="00AB47F4"/>
    <w:rsid w:val="00AB65CC"/>
    <w:rsid w:val="00AD2C01"/>
    <w:rsid w:val="00AF2F9F"/>
    <w:rsid w:val="00B108CB"/>
    <w:rsid w:val="00B1146B"/>
    <w:rsid w:val="00B21EF1"/>
    <w:rsid w:val="00B27C3B"/>
    <w:rsid w:val="00B3794B"/>
    <w:rsid w:val="00B82224"/>
    <w:rsid w:val="00B904F6"/>
    <w:rsid w:val="00B90667"/>
    <w:rsid w:val="00BA6286"/>
    <w:rsid w:val="00BB5814"/>
    <w:rsid w:val="00BC212A"/>
    <w:rsid w:val="00BD15FC"/>
    <w:rsid w:val="00BE3705"/>
    <w:rsid w:val="00BF56C1"/>
    <w:rsid w:val="00C1022B"/>
    <w:rsid w:val="00C36FA5"/>
    <w:rsid w:val="00C47145"/>
    <w:rsid w:val="00C4767B"/>
    <w:rsid w:val="00C67F7A"/>
    <w:rsid w:val="00C7104D"/>
    <w:rsid w:val="00C74048"/>
    <w:rsid w:val="00C76D41"/>
    <w:rsid w:val="00C84227"/>
    <w:rsid w:val="00C85031"/>
    <w:rsid w:val="00CA107D"/>
    <w:rsid w:val="00CA22CA"/>
    <w:rsid w:val="00CB45B0"/>
    <w:rsid w:val="00CB5FB9"/>
    <w:rsid w:val="00CC2C16"/>
    <w:rsid w:val="00CC3506"/>
    <w:rsid w:val="00CC4978"/>
    <w:rsid w:val="00CD6304"/>
    <w:rsid w:val="00CF2D76"/>
    <w:rsid w:val="00CF4314"/>
    <w:rsid w:val="00D058D6"/>
    <w:rsid w:val="00D21B9A"/>
    <w:rsid w:val="00D22715"/>
    <w:rsid w:val="00D40962"/>
    <w:rsid w:val="00D432D1"/>
    <w:rsid w:val="00D55365"/>
    <w:rsid w:val="00D73170"/>
    <w:rsid w:val="00D81C84"/>
    <w:rsid w:val="00D83759"/>
    <w:rsid w:val="00D909FD"/>
    <w:rsid w:val="00D96C54"/>
    <w:rsid w:val="00DC0D84"/>
    <w:rsid w:val="00DD4D6A"/>
    <w:rsid w:val="00DF2215"/>
    <w:rsid w:val="00DF23EF"/>
    <w:rsid w:val="00DF592E"/>
    <w:rsid w:val="00E02945"/>
    <w:rsid w:val="00E04FC0"/>
    <w:rsid w:val="00E10101"/>
    <w:rsid w:val="00E373E1"/>
    <w:rsid w:val="00E56A99"/>
    <w:rsid w:val="00E7526E"/>
    <w:rsid w:val="00E81685"/>
    <w:rsid w:val="00EB4971"/>
    <w:rsid w:val="00EB54AE"/>
    <w:rsid w:val="00ED0CB7"/>
    <w:rsid w:val="00ED7AD9"/>
    <w:rsid w:val="00EE1AA5"/>
    <w:rsid w:val="00EE433E"/>
    <w:rsid w:val="00EE6254"/>
    <w:rsid w:val="00EF77B8"/>
    <w:rsid w:val="00F067EF"/>
    <w:rsid w:val="00F06D92"/>
    <w:rsid w:val="00F2393B"/>
    <w:rsid w:val="00F367ED"/>
    <w:rsid w:val="00F432BA"/>
    <w:rsid w:val="00F4671E"/>
    <w:rsid w:val="00F46EC6"/>
    <w:rsid w:val="00F50D86"/>
    <w:rsid w:val="00F8163D"/>
    <w:rsid w:val="00F82078"/>
    <w:rsid w:val="00F841F7"/>
    <w:rsid w:val="00F92A1F"/>
    <w:rsid w:val="00F93E07"/>
    <w:rsid w:val="00F97973"/>
    <w:rsid w:val="00FC149D"/>
    <w:rsid w:val="07235D0F"/>
    <w:rsid w:val="085B1C94"/>
    <w:rsid w:val="0ABB023B"/>
    <w:rsid w:val="169533C7"/>
    <w:rsid w:val="17F371BF"/>
    <w:rsid w:val="1A4D7895"/>
    <w:rsid w:val="20633AAD"/>
    <w:rsid w:val="20E124AE"/>
    <w:rsid w:val="245740C7"/>
    <w:rsid w:val="26B74E99"/>
    <w:rsid w:val="28C02C47"/>
    <w:rsid w:val="2A1F2576"/>
    <w:rsid w:val="2AFB7FBB"/>
    <w:rsid w:val="2F8D153A"/>
    <w:rsid w:val="305A3689"/>
    <w:rsid w:val="34D97C49"/>
    <w:rsid w:val="3A9A7617"/>
    <w:rsid w:val="3B137451"/>
    <w:rsid w:val="40844343"/>
    <w:rsid w:val="41663484"/>
    <w:rsid w:val="42DE5E0A"/>
    <w:rsid w:val="44830C9E"/>
    <w:rsid w:val="4B367096"/>
    <w:rsid w:val="56DB0A4C"/>
    <w:rsid w:val="584917B5"/>
    <w:rsid w:val="5C6079AB"/>
    <w:rsid w:val="6748785F"/>
    <w:rsid w:val="67B154EA"/>
    <w:rsid w:val="6F316EC8"/>
    <w:rsid w:val="6F915051"/>
    <w:rsid w:val="70110D50"/>
    <w:rsid w:val="70AF0C49"/>
    <w:rsid w:val="70E00124"/>
    <w:rsid w:val="748454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sdException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仿宋_GB2312" w:eastAsia="仿宋_GB2312"/>
      <w:sz w:val="32"/>
      <w:szCs w:val="32"/>
    </w:rPr>
  </w:style>
  <w:style w:type="paragraph" w:styleId="3">
    <w:name w:val="annotation text"/>
    <w:basedOn w:val="1"/>
    <w:link w:val="26"/>
    <w:unhideWhenUsed/>
    <w:qFormat/>
    <w:uiPriority w:val="99"/>
    <w:pPr>
      <w:jc w:val="left"/>
    </w:pPr>
    <w:rPr>
      <w:rFonts w:ascii="Times New Roman" w:hAnsi="Times New Roman"/>
    </w:rPr>
  </w:style>
  <w:style w:type="paragraph" w:styleId="4">
    <w:name w:val="Body Text"/>
    <w:basedOn w:val="1"/>
    <w:link w:val="22"/>
    <w:qFormat/>
    <w:uiPriority w:val="99"/>
    <w:pPr>
      <w:spacing w:after="120"/>
    </w:pPr>
    <w:rPr>
      <w:rFonts w:ascii="Times New Roman" w:hAnsi="Times New Roman"/>
    </w:rPr>
  </w:style>
  <w:style w:type="paragraph" w:styleId="5">
    <w:name w:val="Body Text Indent"/>
    <w:basedOn w:val="1"/>
    <w:link w:val="20"/>
    <w:qFormat/>
    <w:uiPriority w:val="0"/>
    <w:pPr>
      <w:ind w:left="420"/>
    </w:pPr>
    <w:rPr>
      <w:rFonts w:ascii="Times New Roman" w:hAnsi="Times New Roman" w:eastAsia="黑体"/>
      <w:sz w:val="36"/>
    </w:rPr>
  </w:style>
  <w:style w:type="paragraph" w:styleId="6">
    <w:name w:val="Date"/>
    <w:basedOn w:val="1"/>
    <w:next w:val="1"/>
    <w:link w:val="18"/>
    <w:qFormat/>
    <w:uiPriority w:val="0"/>
    <w:pPr>
      <w:ind w:left="100" w:leftChars="2500"/>
    </w:pPr>
  </w:style>
  <w:style w:type="paragraph" w:styleId="7">
    <w:name w:val="Balloon Text"/>
    <w:basedOn w:val="1"/>
    <w:link w:val="19"/>
    <w:unhideWhenUsed/>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szCs w:val="24"/>
    </w:rPr>
  </w:style>
  <w:style w:type="table" w:styleId="12">
    <w:name w:val="Table Grid"/>
    <w:basedOn w:val="11"/>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locked/>
    <w:uiPriority w:val="22"/>
    <w:rPr>
      <w:b/>
      <w:bCs/>
    </w:rPr>
  </w:style>
  <w:style w:type="character" w:styleId="15">
    <w:name w:val="page number"/>
    <w:basedOn w:val="13"/>
    <w:qFormat/>
    <w:uiPriority w:val="99"/>
  </w:style>
  <w:style w:type="character" w:customStyle="1" w:styleId="16">
    <w:name w:val="页脚 字符"/>
    <w:basedOn w:val="13"/>
    <w:link w:val="8"/>
    <w:qFormat/>
    <w:locked/>
    <w:uiPriority w:val="99"/>
    <w:rPr>
      <w:sz w:val="18"/>
      <w:szCs w:val="18"/>
    </w:rPr>
  </w:style>
  <w:style w:type="character" w:customStyle="1" w:styleId="17">
    <w:name w:val="页眉 字符"/>
    <w:basedOn w:val="13"/>
    <w:link w:val="9"/>
    <w:qFormat/>
    <w:locked/>
    <w:uiPriority w:val="99"/>
    <w:rPr>
      <w:sz w:val="18"/>
      <w:szCs w:val="18"/>
    </w:rPr>
  </w:style>
  <w:style w:type="character" w:customStyle="1" w:styleId="18">
    <w:name w:val="日期 字符"/>
    <w:basedOn w:val="13"/>
    <w:link w:val="6"/>
    <w:uiPriority w:val="0"/>
    <w:rPr>
      <w:rFonts w:ascii="Calibri" w:hAnsi="Calibri" w:cs="Calibri"/>
      <w:kern w:val="2"/>
      <w:sz w:val="21"/>
      <w:szCs w:val="21"/>
    </w:rPr>
  </w:style>
  <w:style w:type="character" w:customStyle="1" w:styleId="19">
    <w:name w:val="批注框文本 字符"/>
    <w:basedOn w:val="13"/>
    <w:link w:val="7"/>
    <w:semiHidden/>
    <w:qFormat/>
    <w:uiPriority w:val="99"/>
    <w:rPr>
      <w:rFonts w:ascii="Calibri" w:hAnsi="Calibri" w:cs="Calibri"/>
      <w:kern w:val="2"/>
      <w:sz w:val="18"/>
      <w:szCs w:val="18"/>
    </w:rPr>
  </w:style>
  <w:style w:type="character" w:customStyle="1" w:styleId="20">
    <w:name w:val="正文文本缩进 字符"/>
    <w:link w:val="5"/>
    <w:uiPriority w:val="0"/>
    <w:rPr>
      <w:rFonts w:eastAsia="黑体" w:cs="Calibri"/>
      <w:kern w:val="2"/>
      <w:sz w:val="36"/>
      <w:szCs w:val="21"/>
    </w:rPr>
  </w:style>
  <w:style w:type="character" w:customStyle="1" w:styleId="21">
    <w:name w:val="页脚 Char"/>
    <w:qFormat/>
    <w:uiPriority w:val="99"/>
    <w:rPr>
      <w:sz w:val="18"/>
      <w:szCs w:val="18"/>
    </w:rPr>
  </w:style>
  <w:style w:type="character" w:customStyle="1" w:styleId="22">
    <w:name w:val="正文文本 字符"/>
    <w:link w:val="4"/>
    <w:uiPriority w:val="99"/>
    <w:rPr>
      <w:rFonts w:cs="Calibri"/>
      <w:kern w:val="2"/>
      <w:sz w:val="21"/>
      <w:szCs w:val="21"/>
    </w:rPr>
  </w:style>
  <w:style w:type="character" w:customStyle="1" w:styleId="23">
    <w:name w:val="页眉 Char"/>
    <w:qFormat/>
    <w:uiPriority w:val="99"/>
    <w:rPr>
      <w:sz w:val="18"/>
      <w:szCs w:val="18"/>
    </w:rPr>
  </w:style>
  <w:style w:type="character" w:customStyle="1" w:styleId="24">
    <w:name w:val="正文文本 字符1"/>
    <w:basedOn w:val="13"/>
    <w:semiHidden/>
    <w:uiPriority w:val="0"/>
    <w:rPr>
      <w:rFonts w:ascii="Calibri" w:hAnsi="Calibri" w:cs="Calibri"/>
      <w:kern w:val="2"/>
      <w:sz w:val="21"/>
      <w:szCs w:val="21"/>
    </w:rPr>
  </w:style>
  <w:style w:type="character" w:customStyle="1" w:styleId="25">
    <w:name w:val="正文文本缩进 字符1"/>
    <w:basedOn w:val="13"/>
    <w:semiHidden/>
    <w:uiPriority w:val="0"/>
    <w:rPr>
      <w:rFonts w:ascii="Calibri" w:hAnsi="Calibri" w:cs="Calibri"/>
      <w:kern w:val="2"/>
      <w:sz w:val="21"/>
      <w:szCs w:val="21"/>
    </w:rPr>
  </w:style>
  <w:style w:type="character" w:customStyle="1" w:styleId="26">
    <w:name w:val="批注文字 字符"/>
    <w:basedOn w:val="13"/>
    <w:link w:val="3"/>
    <w:uiPriority w:val="99"/>
    <w:rPr>
      <w:rFonts w:cs="Calibri"/>
      <w:kern w:val="2"/>
      <w:sz w:val="21"/>
      <w:szCs w:val="21"/>
    </w:rPr>
  </w:style>
  <w:style w:type="paragraph" w:customStyle="1" w:styleId="27">
    <w:name w:val="cjk"/>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w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1437</Words>
  <Characters>8197</Characters>
  <Lines>68</Lines>
  <Paragraphs>19</Paragraphs>
  <TotalTime>5</TotalTime>
  <ScaleCrop>false</ScaleCrop>
  <LinksUpToDate>false</LinksUpToDate>
  <CharactersWithSpaces>9615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2024-03-04T01:49:00Z</dcterms:created>
  <dc:creator>王振</dc:creator>
  <cp:lastModifiedBy>流浪的云</cp:lastModifiedBy>
  <cp:lastPrinted>2024-03-04T01:56:00Z</cp:lastPrinted>
  <dcterms:modified xsi:type="dcterms:W3CDTF">2024-08-14T07:43:50Z</dcterms:modified>
  <dc:title>紧急程度位置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