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8857E">
      <w:pPr>
        <w:spacing w:line="580" w:lineRule="exact"/>
        <w:ind w:firstLine="0" w:firstLineChars="0"/>
        <w:rPr>
          <w:rFonts w:hint="eastAsia" w:ascii="黑体" w:hAnsi="黑体" w:eastAsia="黑体" w:cs="仿宋_GB2312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ascii="黑体" w:hAnsi="黑体" w:eastAsia="黑体" w:cs="仿宋_GB2312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仿宋_GB2312"/>
          <w:sz w:val="32"/>
          <w:szCs w:val="32"/>
          <w:highlight w:val="none"/>
          <w:lang w:val="en-US" w:eastAsia="zh-CN"/>
        </w:rPr>
        <w:t>2</w:t>
      </w:r>
    </w:p>
    <w:p w14:paraId="7409CCBA">
      <w:pPr>
        <w:spacing w:line="0" w:lineRule="atLeast"/>
        <w:jc w:val="center"/>
        <w:rPr>
          <w:rFonts w:hint="eastAsia" w:ascii="方正小标宋简体" w:eastAsia="方正小标宋简体"/>
          <w:sz w:val="44"/>
          <w:szCs w:val="44"/>
          <w:highlight w:val="none"/>
          <w:lang w:eastAsia="zh-CN"/>
        </w:rPr>
      </w:pPr>
    </w:p>
    <w:p w14:paraId="7491192B">
      <w:pPr>
        <w:spacing w:line="0" w:lineRule="atLeast"/>
        <w:jc w:val="center"/>
        <w:rPr>
          <w:rFonts w:hint="eastAsia"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</w:rPr>
        <w:t>“有诉即办”问题工作台账</w:t>
      </w:r>
    </w:p>
    <w:p w14:paraId="55924929">
      <w:pPr>
        <w:pStyle w:val="3"/>
        <w:rPr>
          <w:rFonts w:hint="eastAsia"/>
          <w:highlight w:val="none"/>
        </w:rPr>
      </w:pPr>
    </w:p>
    <w:tbl>
      <w:tblPr>
        <w:tblStyle w:val="8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689"/>
        <w:gridCol w:w="691"/>
        <w:gridCol w:w="692"/>
        <w:gridCol w:w="1364"/>
        <w:gridCol w:w="709"/>
        <w:gridCol w:w="1412"/>
        <w:gridCol w:w="660"/>
        <w:gridCol w:w="704"/>
        <w:gridCol w:w="632"/>
        <w:gridCol w:w="689"/>
        <w:gridCol w:w="586"/>
        <w:gridCol w:w="586"/>
        <w:gridCol w:w="586"/>
        <w:gridCol w:w="586"/>
        <w:gridCol w:w="586"/>
        <w:gridCol w:w="586"/>
      </w:tblGrid>
      <w:tr w14:paraId="725EC5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noWrap w:val="0"/>
            <w:vAlign w:val="center"/>
          </w:tcPr>
          <w:p w14:paraId="51E46DEA"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689" w:type="dxa"/>
            <w:noWrap w:val="0"/>
            <w:vAlign w:val="center"/>
          </w:tcPr>
          <w:p w14:paraId="12645A28">
            <w:pPr>
              <w:spacing w:line="0" w:lineRule="atLeast"/>
              <w:jc w:val="center"/>
              <w:rPr>
                <w:rFonts w:hint="default" w:ascii="黑体" w:hAnsi="黑体" w:eastAsia="黑体" w:cs="黑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</w:rPr>
              <w:t>姓名</w:t>
            </w: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  <w:lang w:val="en-US" w:eastAsia="zh-CN"/>
              </w:rPr>
              <w:t>或单位名称</w:t>
            </w:r>
          </w:p>
        </w:tc>
        <w:tc>
          <w:tcPr>
            <w:tcW w:w="691" w:type="dxa"/>
            <w:noWrap w:val="0"/>
            <w:vAlign w:val="center"/>
          </w:tcPr>
          <w:p w14:paraId="378201C5"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</w:rPr>
              <w:t>单位</w:t>
            </w: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  <w:lang w:val="en-US" w:eastAsia="zh-CN"/>
              </w:rPr>
              <w:t>联系人</w:t>
            </w:r>
          </w:p>
        </w:tc>
        <w:tc>
          <w:tcPr>
            <w:tcW w:w="692" w:type="dxa"/>
            <w:noWrap w:val="0"/>
            <w:vAlign w:val="center"/>
          </w:tcPr>
          <w:p w14:paraId="54292B83"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</w:rPr>
              <w:t>联系方式</w:t>
            </w:r>
          </w:p>
        </w:tc>
        <w:tc>
          <w:tcPr>
            <w:tcW w:w="1364" w:type="dxa"/>
            <w:noWrap w:val="0"/>
            <w:vAlign w:val="center"/>
          </w:tcPr>
          <w:p w14:paraId="076F38E3"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</w:rPr>
              <w:t>主要诉求</w:t>
            </w:r>
          </w:p>
        </w:tc>
        <w:tc>
          <w:tcPr>
            <w:tcW w:w="709" w:type="dxa"/>
            <w:noWrap w:val="0"/>
            <w:vAlign w:val="center"/>
          </w:tcPr>
          <w:p w14:paraId="5D6C6B56"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</w:rPr>
              <w:t>诉求类别</w:t>
            </w:r>
          </w:p>
        </w:tc>
        <w:tc>
          <w:tcPr>
            <w:tcW w:w="1412" w:type="dxa"/>
            <w:noWrap w:val="0"/>
            <w:vAlign w:val="center"/>
          </w:tcPr>
          <w:p w14:paraId="5D2D556C"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</w:rPr>
              <w:t>政务服务</w:t>
            </w: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  <w:lang w:val="en-US" w:eastAsia="zh-CN"/>
              </w:rPr>
              <w:t>责任</w:t>
            </w: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</w:rPr>
              <w:t>部门</w:t>
            </w: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  <w:lang w:val="en-US" w:eastAsia="zh-CN"/>
              </w:rPr>
              <w:t>及</w:t>
            </w: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</w:rPr>
              <w:t>牵头部门</w:t>
            </w:r>
          </w:p>
        </w:tc>
        <w:tc>
          <w:tcPr>
            <w:tcW w:w="660" w:type="dxa"/>
            <w:noWrap w:val="0"/>
            <w:vAlign w:val="center"/>
          </w:tcPr>
          <w:p w14:paraId="04FEC460">
            <w:pPr>
              <w:spacing w:line="0" w:lineRule="atLeast"/>
              <w:jc w:val="center"/>
              <w:rPr>
                <w:rFonts w:hint="default" w:ascii="黑体" w:hAnsi="黑体" w:eastAsia="黑体" w:cs="黑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  <w:lang w:val="en-US" w:eastAsia="zh-CN"/>
              </w:rPr>
              <w:t>分办转办时间</w:t>
            </w:r>
          </w:p>
        </w:tc>
        <w:tc>
          <w:tcPr>
            <w:tcW w:w="704" w:type="dxa"/>
            <w:noWrap w:val="0"/>
            <w:vAlign w:val="center"/>
          </w:tcPr>
          <w:p w14:paraId="519C6B1E">
            <w:pPr>
              <w:spacing w:line="0" w:lineRule="atLeast"/>
              <w:jc w:val="center"/>
              <w:rPr>
                <w:rFonts w:hint="default" w:ascii="黑体" w:hAnsi="黑体" w:eastAsia="黑体" w:cs="黑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  <w:lang w:val="en-US" w:eastAsia="zh-CN"/>
              </w:rPr>
              <w:t>要求办理期限</w:t>
            </w:r>
          </w:p>
        </w:tc>
        <w:tc>
          <w:tcPr>
            <w:tcW w:w="632" w:type="dxa"/>
            <w:noWrap w:val="0"/>
            <w:vAlign w:val="center"/>
          </w:tcPr>
          <w:p w14:paraId="548C15FC">
            <w:pPr>
              <w:spacing w:line="0" w:lineRule="atLeast"/>
              <w:jc w:val="center"/>
              <w:rPr>
                <w:rFonts w:hint="default" w:ascii="黑体" w:hAnsi="黑体" w:eastAsia="黑体" w:cs="黑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  <w:lang w:val="en-US" w:eastAsia="zh-CN"/>
              </w:rPr>
              <w:t>是否催办及时间</w:t>
            </w:r>
          </w:p>
        </w:tc>
        <w:tc>
          <w:tcPr>
            <w:tcW w:w="689" w:type="dxa"/>
            <w:noWrap w:val="0"/>
            <w:vAlign w:val="center"/>
          </w:tcPr>
          <w:p w14:paraId="38C7832F">
            <w:pPr>
              <w:spacing w:line="0" w:lineRule="atLeast"/>
              <w:jc w:val="center"/>
              <w:rPr>
                <w:rFonts w:hint="default" w:ascii="黑体" w:hAnsi="黑体" w:eastAsia="黑体" w:cs="黑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  <w:lang w:val="en-US" w:eastAsia="zh-CN"/>
              </w:rPr>
              <w:t>是否督办及时间</w:t>
            </w:r>
          </w:p>
        </w:tc>
        <w:tc>
          <w:tcPr>
            <w:tcW w:w="586" w:type="dxa"/>
            <w:noWrap w:val="0"/>
            <w:vAlign w:val="center"/>
          </w:tcPr>
          <w:p w14:paraId="0C30ECD8">
            <w:pPr>
              <w:spacing w:line="0" w:lineRule="atLeast"/>
              <w:jc w:val="center"/>
              <w:rPr>
                <w:rFonts w:hint="default" w:ascii="黑体" w:hAnsi="黑体" w:eastAsia="黑体" w:cs="黑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  <w:lang w:val="en-US" w:eastAsia="zh-CN"/>
              </w:rPr>
              <w:t>是否退回重办及时间</w:t>
            </w:r>
          </w:p>
        </w:tc>
        <w:tc>
          <w:tcPr>
            <w:tcW w:w="586" w:type="dxa"/>
            <w:noWrap w:val="0"/>
            <w:vAlign w:val="center"/>
          </w:tcPr>
          <w:p w14:paraId="67986906"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  <w:lang w:val="en-US" w:eastAsia="zh-CN"/>
              </w:rPr>
              <w:t>实际</w:t>
            </w: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</w:rPr>
              <w:t>办</w:t>
            </w: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  <w:lang w:val="en-US" w:eastAsia="zh-CN"/>
              </w:rPr>
              <w:t>结</w:t>
            </w: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</w:rPr>
              <w:t>时</w:t>
            </w: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  <w:lang w:val="en-US" w:eastAsia="zh-CN"/>
              </w:rPr>
              <w:t>间</w:t>
            </w:r>
          </w:p>
        </w:tc>
        <w:tc>
          <w:tcPr>
            <w:tcW w:w="586" w:type="dxa"/>
            <w:noWrap w:val="0"/>
            <w:vAlign w:val="center"/>
          </w:tcPr>
          <w:p w14:paraId="72925C4F">
            <w:pPr>
              <w:spacing w:line="0" w:lineRule="atLeast"/>
              <w:jc w:val="center"/>
              <w:rPr>
                <w:rFonts w:hint="default" w:ascii="黑体" w:hAnsi="黑体" w:eastAsia="黑体" w:cs="黑体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</w:rPr>
              <w:t>办理情况</w:t>
            </w:r>
          </w:p>
        </w:tc>
        <w:tc>
          <w:tcPr>
            <w:tcW w:w="586" w:type="dxa"/>
            <w:noWrap w:val="0"/>
            <w:vAlign w:val="center"/>
          </w:tcPr>
          <w:p w14:paraId="34D33776"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18"/>
                <w:szCs w:val="18"/>
                <w:highlight w:val="none"/>
                <w:lang w:val="en-US" w:eastAsia="zh-CN" w:bidi="ar-SA"/>
              </w:rPr>
              <w:t>回访时间</w:t>
            </w:r>
          </w:p>
        </w:tc>
        <w:tc>
          <w:tcPr>
            <w:tcW w:w="586" w:type="dxa"/>
            <w:noWrap w:val="0"/>
            <w:vAlign w:val="center"/>
          </w:tcPr>
          <w:p w14:paraId="78894290">
            <w:pPr>
              <w:spacing w:line="0" w:lineRule="atLeast"/>
              <w:jc w:val="center"/>
              <w:rPr>
                <w:rFonts w:hint="eastAsia" w:ascii="黑体" w:hAnsi="黑体" w:eastAsia="黑体" w:cs="黑体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  <w:lang w:val="en-US" w:eastAsia="zh-CN"/>
              </w:rPr>
              <w:t>办理结果满意度</w:t>
            </w:r>
          </w:p>
        </w:tc>
        <w:tc>
          <w:tcPr>
            <w:tcW w:w="586" w:type="dxa"/>
            <w:noWrap w:val="0"/>
            <w:vAlign w:val="center"/>
          </w:tcPr>
          <w:p w14:paraId="033DAE4F"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</w:rPr>
              <w:t>备注</w:t>
            </w:r>
          </w:p>
        </w:tc>
      </w:tr>
      <w:tr w14:paraId="1015E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599" w:type="dxa"/>
            <w:noWrap w:val="0"/>
            <w:vAlign w:val="center"/>
          </w:tcPr>
          <w:p w14:paraId="7C131B21"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689" w:type="dxa"/>
            <w:noWrap w:val="0"/>
            <w:vAlign w:val="center"/>
          </w:tcPr>
          <w:p w14:paraId="6F5517B4"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691" w:type="dxa"/>
            <w:noWrap w:val="0"/>
            <w:vAlign w:val="center"/>
          </w:tcPr>
          <w:p w14:paraId="3DF8709E"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692" w:type="dxa"/>
            <w:noWrap w:val="0"/>
            <w:vAlign w:val="center"/>
          </w:tcPr>
          <w:p w14:paraId="09D9813F"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0E3F764D"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779EED68"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412" w:type="dxa"/>
            <w:noWrap w:val="0"/>
            <w:vAlign w:val="center"/>
          </w:tcPr>
          <w:p w14:paraId="06EB4F38"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660" w:type="dxa"/>
            <w:noWrap w:val="0"/>
            <w:vAlign w:val="center"/>
          </w:tcPr>
          <w:p w14:paraId="59EB0FE3"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704" w:type="dxa"/>
            <w:noWrap w:val="0"/>
            <w:vAlign w:val="center"/>
          </w:tcPr>
          <w:p w14:paraId="7F2928C4"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632" w:type="dxa"/>
            <w:noWrap w:val="0"/>
            <w:vAlign w:val="center"/>
          </w:tcPr>
          <w:p w14:paraId="5A3C71D0"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689" w:type="dxa"/>
            <w:noWrap w:val="0"/>
            <w:vAlign w:val="center"/>
          </w:tcPr>
          <w:p w14:paraId="6573A8C1"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586" w:type="dxa"/>
            <w:noWrap w:val="0"/>
            <w:vAlign w:val="center"/>
          </w:tcPr>
          <w:p w14:paraId="36E808B7"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586" w:type="dxa"/>
            <w:noWrap w:val="0"/>
            <w:vAlign w:val="center"/>
          </w:tcPr>
          <w:p w14:paraId="4D767135"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586" w:type="dxa"/>
            <w:noWrap w:val="0"/>
            <w:vAlign w:val="center"/>
          </w:tcPr>
          <w:p w14:paraId="02CB307D"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586" w:type="dxa"/>
            <w:noWrap w:val="0"/>
            <w:vAlign w:val="center"/>
          </w:tcPr>
          <w:p w14:paraId="2FC82616"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586" w:type="dxa"/>
            <w:noWrap w:val="0"/>
            <w:vAlign w:val="center"/>
          </w:tcPr>
          <w:p w14:paraId="36595F5F"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586" w:type="dxa"/>
            <w:noWrap w:val="0"/>
            <w:vAlign w:val="center"/>
          </w:tcPr>
          <w:p w14:paraId="5A8BDB9C"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</w:tr>
      <w:tr w14:paraId="281B9D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599" w:type="dxa"/>
            <w:noWrap w:val="0"/>
            <w:vAlign w:val="center"/>
          </w:tcPr>
          <w:p w14:paraId="1D1D9D69"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689" w:type="dxa"/>
            <w:noWrap w:val="0"/>
            <w:vAlign w:val="center"/>
          </w:tcPr>
          <w:p w14:paraId="66F3A8EB"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691" w:type="dxa"/>
            <w:noWrap w:val="0"/>
            <w:vAlign w:val="center"/>
          </w:tcPr>
          <w:p w14:paraId="3FC59FF4"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692" w:type="dxa"/>
            <w:noWrap w:val="0"/>
            <w:vAlign w:val="center"/>
          </w:tcPr>
          <w:p w14:paraId="0AFE7001"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18333ED7"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7DE2989"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412" w:type="dxa"/>
            <w:noWrap w:val="0"/>
            <w:vAlign w:val="center"/>
          </w:tcPr>
          <w:p w14:paraId="6BBFED08"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660" w:type="dxa"/>
            <w:noWrap w:val="0"/>
            <w:vAlign w:val="center"/>
          </w:tcPr>
          <w:p w14:paraId="51C98072"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704" w:type="dxa"/>
            <w:noWrap w:val="0"/>
            <w:vAlign w:val="center"/>
          </w:tcPr>
          <w:p w14:paraId="2B604248"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632" w:type="dxa"/>
            <w:noWrap w:val="0"/>
            <w:vAlign w:val="center"/>
          </w:tcPr>
          <w:p w14:paraId="520BF3FA"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689" w:type="dxa"/>
            <w:noWrap w:val="0"/>
            <w:vAlign w:val="center"/>
          </w:tcPr>
          <w:p w14:paraId="471004A7"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586" w:type="dxa"/>
            <w:noWrap w:val="0"/>
            <w:vAlign w:val="center"/>
          </w:tcPr>
          <w:p w14:paraId="5BE94522"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586" w:type="dxa"/>
            <w:noWrap w:val="0"/>
            <w:vAlign w:val="center"/>
          </w:tcPr>
          <w:p w14:paraId="6906C971"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586" w:type="dxa"/>
            <w:noWrap w:val="0"/>
            <w:vAlign w:val="center"/>
          </w:tcPr>
          <w:p w14:paraId="32F93A71"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586" w:type="dxa"/>
            <w:noWrap w:val="0"/>
            <w:vAlign w:val="center"/>
          </w:tcPr>
          <w:p w14:paraId="74C3969D"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586" w:type="dxa"/>
            <w:noWrap w:val="0"/>
            <w:vAlign w:val="center"/>
          </w:tcPr>
          <w:p w14:paraId="428CA112"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586" w:type="dxa"/>
            <w:noWrap w:val="0"/>
            <w:vAlign w:val="center"/>
          </w:tcPr>
          <w:p w14:paraId="276E9541"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</w:tr>
      <w:tr w14:paraId="0B8583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599" w:type="dxa"/>
            <w:noWrap w:val="0"/>
            <w:vAlign w:val="center"/>
          </w:tcPr>
          <w:p w14:paraId="601C6120"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689" w:type="dxa"/>
            <w:noWrap w:val="0"/>
            <w:vAlign w:val="center"/>
          </w:tcPr>
          <w:p w14:paraId="6F2D42DA"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691" w:type="dxa"/>
            <w:noWrap w:val="0"/>
            <w:vAlign w:val="center"/>
          </w:tcPr>
          <w:p w14:paraId="5B895006"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692" w:type="dxa"/>
            <w:noWrap w:val="0"/>
            <w:vAlign w:val="center"/>
          </w:tcPr>
          <w:p w14:paraId="07E998D1"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77C982EF"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6D9630B"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412" w:type="dxa"/>
            <w:noWrap w:val="0"/>
            <w:vAlign w:val="center"/>
          </w:tcPr>
          <w:p w14:paraId="7A503822"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660" w:type="dxa"/>
            <w:noWrap w:val="0"/>
            <w:vAlign w:val="center"/>
          </w:tcPr>
          <w:p w14:paraId="095B687A"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704" w:type="dxa"/>
            <w:noWrap w:val="0"/>
            <w:vAlign w:val="center"/>
          </w:tcPr>
          <w:p w14:paraId="44E507B9"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632" w:type="dxa"/>
            <w:noWrap w:val="0"/>
            <w:vAlign w:val="center"/>
          </w:tcPr>
          <w:p w14:paraId="3CC868F6"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689" w:type="dxa"/>
            <w:noWrap w:val="0"/>
            <w:vAlign w:val="center"/>
          </w:tcPr>
          <w:p w14:paraId="7356F044"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586" w:type="dxa"/>
            <w:noWrap w:val="0"/>
            <w:vAlign w:val="center"/>
          </w:tcPr>
          <w:p w14:paraId="445770E6"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586" w:type="dxa"/>
            <w:noWrap w:val="0"/>
            <w:vAlign w:val="center"/>
          </w:tcPr>
          <w:p w14:paraId="327E3CDA"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586" w:type="dxa"/>
            <w:noWrap w:val="0"/>
            <w:vAlign w:val="center"/>
          </w:tcPr>
          <w:p w14:paraId="43819DD6"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586" w:type="dxa"/>
            <w:noWrap w:val="0"/>
            <w:vAlign w:val="center"/>
          </w:tcPr>
          <w:p w14:paraId="5FE3C1AE"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586" w:type="dxa"/>
            <w:noWrap w:val="0"/>
            <w:vAlign w:val="center"/>
          </w:tcPr>
          <w:p w14:paraId="7F3884D5"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586" w:type="dxa"/>
            <w:noWrap w:val="0"/>
            <w:vAlign w:val="center"/>
          </w:tcPr>
          <w:p w14:paraId="5BEFC7C6"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</w:tr>
      <w:tr w14:paraId="11BA11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599" w:type="dxa"/>
            <w:noWrap w:val="0"/>
            <w:vAlign w:val="center"/>
          </w:tcPr>
          <w:p w14:paraId="54A6EE8E"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689" w:type="dxa"/>
            <w:noWrap w:val="0"/>
            <w:vAlign w:val="center"/>
          </w:tcPr>
          <w:p w14:paraId="51B0CAC4"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691" w:type="dxa"/>
            <w:noWrap w:val="0"/>
            <w:vAlign w:val="center"/>
          </w:tcPr>
          <w:p w14:paraId="26D1BB90"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692" w:type="dxa"/>
            <w:noWrap w:val="0"/>
            <w:vAlign w:val="center"/>
          </w:tcPr>
          <w:p w14:paraId="6DD291C3"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1274080D"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550806DE"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412" w:type="dxa"/>
            <w:noWrap w:val="0"/>
            <w:vAlign w:val="center"/>
          </w:tcPr>
          <w:p w14:paraId="108DD8B1"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660" w:type="dxa"/>
            <w:noWrap w:val="0"/>
            <w:vAlign w:val="center"/>
          </w:tcPr>
          <w:p w14:paraId="18D3AEA5"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704" w:type="dxa"/>
            <w:noWrap w:val="0"/>
            <w:vAlign w:val="center"/>
          </w:tcPr>
          <w:p w14:paraId="0F971469"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632" w:type="dxa"/>
            <w:noWrap w:val="0"/>
            <w:vAlign w:val="center"/>
          </w:tcPr>
          <w:p w14:paraId="0C1F0482"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689" w:type="dxa"/>
            <w:noWrap w:val="0"/>
            <w:vAlign w:val="center"/>
          </w:tcPr>
          <w:p w14:paraId="4628DBC5"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586" w:type="dxa"/>
            <w:noWrap w:val="0"/>
            <w:vAlign w:val="center"/>
          </w:tcPr>
          <w:p w14:paraId="5213AE1A"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586" w:type="dxa"/>
            <w:noWrap w:val="0"/>
            <w:vAlign w:val="center"/>
          </w:tcPr>
          <w:p w14:paraId="09E1649C"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586" w:type="dxa"/>
            <w:noWrap w:val="0"/>
            <w:vAlign w:val="center"/>
          </w:tcPr>
          <w:p w14:paraId="7832B86B"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586" w:type="dxa"/>
            <w:noWrap w:val="0"/>
            <w:vAlign w:val="center"/>
          </w:tcPr>
          <w:p w14:paraId="79DE2DB7"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586" w:type="dxa"/>
            <w:noWrap w:val="0"/>
            <w:vAlign w:val="center"/>
          </w:tcPr>
          <w:p w14:paraId="5476AF1C"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586" w:type="dxa"/>
            <w:noWrap w:val="0"/>
            <w:vAlign w:val="center"/>
          </w:tcPr>
          <w:p w14:paraId="3AEE2B05"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</w:tr>
    </w:tbl>
    <w:p w14:paraId="1F07A1A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/>
        <w:jc w:val="left"/>
        <w:textAlignment w:val="auto"/>
        <w:rPr>
          <w:rFonts w:hint="eastAsia" w:ascii="仿宋_GB2312" w:hAnsi="Times New Roman" w:eastAsia="仿宋_GB2312" w:cs="仿宋_GB2312"/>
          <w:kern w:val="0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  <w:highlight w:val="none"/>
          <w:shd w:val="clear" w:color="auto" w:fill="FFFFFF"/>
          <w:lang w:val="en-US" w:eastAsia="zh-CN"/>
        </w:rPr>
        <w:t>注：1.“单位联系人”栏仅适用于反映人为单位的情形。</w:t>
      </w:r>
    </w:p>
    <w:p w14:paraId="6A8181DF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630" w:leftChars="300" w:firstLine="0"/>
        <w:jc w:val="left"/>
        <w:textAlignment w:val="auto"/>
        <w:rPr>
          <w:rFonts w:hint="eastAsia" w:ascii="仿宋_GB2312" w:hAnsi="Times New Roman" w:eastAsia="仿宋_GB2312" w:cs="仿宋_GB2312"/>
          <w:kern w:val="0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  <w:highlight w:val="none"/>
          <w:shd w:val="clear" w:color="auto" w:fill="FFFFFF"/>
          <w:lang w:val="en-US" w:eastAsia="zh-CN"/>
        </w:rPr>
        <w:t>2.仅涉及多个政务服务部门的需明确牵头部门。</w:t>
      </w:r>
    </w:p>
    <w:p w14:paraId="6162D40F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897" w:leftChars="290" w:hanging="288" w:hangingChars="103"/>
        <w:textAlignment w:val="auto"/>
      </w:pPr>
      <w:r>
        <w:rPr>
          <w:rFonts w:hint="eastAsia" w:ascii="仿宋_GB2312" w:hAnsi="Times New Roman" w:eastAsia="仿宋_GB2312" w:cs="仿宋_GB2312"/>
          <w:b w:val="0"/>
          <w:bCs w:val="0"/>
          <w:kern w:val="0"/>
          <w:sz w:val="28"/>
          <w:szCs w:val="28"/>
          <w:highlight w:val="none"/>
          <w:shd w:val="clear" w:color="auto" w:fill="FFFFFF"/>
          <w:lang w:val="en-US" w:eastAsia="zh-CN"/>
        </w:rPr>
        <w:t>3.“备注”栏标明“是否超期及超期时间”等。</w:t>
      </w:r>
    </w:p>
    <w:sectPr>
      <w:footerReference r:id="rId3" w:type="default"/>
      <w:pgSz w:w="16838" w:h="11906" w:orient="landscape"/>
      <w:pgMar w:top="1587" w:right="1701" w:bottom="1587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18E26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ECBFE79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CBFE79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M5ZTVlZDhlMmEzZTkwZDk0NjBhOGZmMGZlODk4YTAifQ=="/>
  </w:docVars>
  <w:rsids>
    <w:rsidRoot w:val="00AC3F13"/>
    <w:rsid w:val="002818E7"/>
    <w:rsid w:val="0034558F"/>
    <w:rsid w:val="003A3417"/>
    <w:rsid w:val="005D3304"/>
    <w:rsid w:val="0062422C"/>
    <w:rsid w:val="00633A2A"/>
    <w:rsid w:val="0073091F"/>
    <w:rsid w:val="008A1036"/>
    <w:rsid w:val="00907607"/>
    <w:rsid w:val="009D38AD"/>
    <w:rsid w:val="00A35375"/>
    <w:rsid w:val="00AC3F13"/>
    <w:rsid w:val="00BB76DD"/>
    <w:rsid w:val="00CA2A45"/>
    <w:rsid w:val="015F16AF"/>
    <w:rsid w:val="06A63AF3"/>
    <w:rsid w:val="083376BB"/>
    <w:rsid w:val="0881082B"/>
    <w:rsid w:val="0AF10769"/>
    <w:rsid w:val="0CA40E40"/>
    <w:rsid w:val="0D865199"/>
    <w:rsid w:val="1D856AE9"/>
    <w:rsid w:val="1E16506D"/>
    <w:rsid w:val="22390FDC"/>
    <w:rsid w:val="22912400"/>
    <w:rsid w:val="26A331D9"/>
    <w:rsid w:val="2AF27C49"/>
    <w:rsid w:val="2B842F99"/>
    <w:rsid w:val="2D516967"/>
    <w:rsid w:val="2D9447DC"/>
    <w:rsid w:val="2F715851"/>
    <w:rsid w:val="31E43E73"/>
    <w:rsid w:val="32272ACB"/>
    <w:rsid w:val="35E965A4"/>
    <w:rsid w:val="362037BC"/>
    <w:rsid w:val="440209A9"/>
    <w:rsid w:val="4C081052"/>
    <w:rsid w:val="4E522069"/>
    <w:rsid w:val="50EF617E"/>
    <w:rsid w:val="559D089E"/>
    <w:rsid w:val="5A774636"/>
    <w:rsid w:val="5F31076B"/>
    <w:rsid w:val="60A736BC"/>
    <w:rsid w:val="63977DC5"/>
    <w:rsid w:val="6BF16DF6"/>
    <w:rsid w:val="760D5437"/>
    <w:rsid w:val="79D8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qFormat/>
    <w:uiPriority w:val="0"/>
    <w:pPr>
      <w:keepNext/>
      <w:keepLines/>
      <w:ind w:left="851" w:hanging="851"/>
      <w:outlineLvl w:val="4"/>
    </w:pPr>
    <w:rPr>
      <w:rFonts w:ascii="Calibri" w:hAnsi="Calibri" w:cs="宋体"/>
      <w:b/>
      <w:bCs/>
      <w:szCs w:val="28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qFormat/>
    <w:uiPriority w:val="99"/>
    <w:rPr>
      <w:rFonts w:ascii="Times New Roman" w:hAnsi="Times New Roman" w:eastAsia="宋体" w:cs="Times New Roman"/>
      <w:szCs w:val="20"/>
    </w:rPr>
  </w:style>
  <w:style w:type="paragraph" w:styleId="4">
    <w:name w:val="Body Text"/>
    <w:basedOn w:val="1"/>
    <w:unhideWhenUsed/>
    <w:qFormat/>
    <w:uiPriority w:val="99"/>
    <w:pPr>
      <w:spacing w:before="240"/>
    </w:pPr>
    <w:rPr>
      <w:rFonts w:ascii="仿宋_GB2312" w:eastAsia="仿宋_GB231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2185</Words>
  <Characters>2215</Characters>
  <Lines>9</Lines>
  <Paragraphs>2</Paragraphs>
  <TotalTime>2</TotalTime>
  <ScaleCrop>false</ScaleCrop>
  <LinksUpToDate>false</LinksUpToDate>
  <CharactersWithSpaces>2273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2022-07-15T00:32:00Z</dcterms:created>
  <dc:creator>dashuju</dc:creator>
  <cp:lastModifiedBy>WPS_1515079879</cp:lastModifiedBy>
  <cp:lastPrinted>2022-09-15T00:46:00Z</cp:lastPrinted>
  <dcterms:modified xsi:type="dcterms:W3CDTF">2024-12-26T06:06:07Z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1C65B715FDDA49BF944F7F2BA608DC99_13</vt:lpwstr>
  </property>
  <property fmtid="{D5CDD505-2E9C-101B-9397-08002B2CF9AE}" pid="4" name="KSOTemplateDocerSaveRecord">
    <vt:lpwstr>eyJoZGlkIjoiNTcyZTkzY2ZkZDE5NjIxZDUyYjNlNWI0YWQ4MTVkZTkiLCJ1c2VySWQiOiIyNTU5MTcwMDcifQ==</vt:lpwstr>
  </property>
</Properties>
</file>