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189BF2">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jc w:val="center"/>
        <w:textAlignment w:val="auto"/>
        <w:outlineLvl w:val="9"/>
        <w:rPr>
          <w:rFonts w:hint="default" w:ascii="Times New Roman" w:hAnsi="Times New Roman" w:eastAsia="宋体" w:cs="Times New Roman"/>
          <w:b/>
          <w:kern w:val="2"/>
          <w:sz w:val="30"/>
          <w:szCs w:val="22"/>
          <w:lang w:val="en-US" w:eastAsia="zh-CN" w:bidi="ar-SA"/>
        </w:rPr>
        <w:sectPr>
          <w:headerReference r:id="rId5" w:type="default"/>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r>
        <w:rPr>
          <w:rFonts w:hint="default" w:ascii="Times New Roman" w:hAnsi="Times New Roman" w:eastAsia="宋体" w:cs="Times New Roman"/>
          <w:b/>
          <w:kern w:val="2"/>
          <w:sz w:val="30"/>
          <w:szCs w:val="22"/>
          <w:lang w:val="en-US" w:eastAsia="zh-CN" w:bidi="ar-SA"/>
        </w:rPr>
        <w:drawing>
          <wp:anchor distT="0" distB="0" distL="114300" distR="114300" simplePos="0" relativeHeight="251662336" behindDoc="1" locked="0" layoutInCell="1" allowOverlap="1">
            <wp:simplePos x="0" y="0"/>
            <wp:positionH relativeFrom="column">
              <wp:posOffset>-878205</wp:posOffset>
            </wp:positionH>
            <wp:positionV relativeFrom="paragraph">
              <wp:posOffset>-805180</wp:posOffset>
            </wp:positionV>
            <wp:extent cx="7465695" cy="9858375"/>
            <wp:effectExtent l="0" t="0" r="1905" b="9525"/>
            <wp:wrapNone/>
            <wp:docPr id="59" name="图片 59" descr="300625c3a617a207688693368ef78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300625c3a617a207688693368ef78444"/>
                    <pic:cNvPicPr>
                      <a:picLocks noChangeAspect="1"/>
                    </pic:cNvPicPr>
                  </pic:nvPicPr>
                  <pic:blipFill>
                    <a:blip r:embed="rId10"/>
                    <a:stretch>
                      <a:fillRect/>
                    </a:stretch>
                  </pic:blipFill>
                  <pic:spPr>
                    <a:xfrm>
                      <a:off x="0" y="0"/>
                      <a:ext cx="7465695" cy="9858375"/>
                    </a:xfrm>
                    <a:prstGeom prst="rect">
                      <a:avLst/>
                    </a:prstGeom>
                  </pic:spPr>
                </pic:pic>
              </a:graphicData>
            </a:graphic>
          </wp:anchor>
        </w:drawing>
      </w:r>
    </w:p>
    <w:p w14:paraId="086E2E1D">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jc w:val="center"/>
        <w:textAlignment w:val="auto"/>
        <w:outlineLvl w:val="9"/>
        <w:rPr>
          <w:rFonts w:hint="default" w:ascii="Times New Roman" w:hAnsi="Times New Roman" w:eastAsia="宋体" w:cs="Times New Roman"/>
          <w:b/>
          <w:kern w:val="2"/>
          <w:sz w:val="30"/>
          <w:szCs w:val="22"/>
          <w:lang w:val="en-US" w:eastAsia="zh-CN" w:bidi="ar-SA"/>
        </w:rPr>
        <w:sectPr>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r>
        <w:rPr>
          <w:rFonts w:hint="default" w:ascii="Times New Roman" w:hAnsi="Times New Roman" w:eastAsia="宋体" w:cs="Times New Roman"/>
          <w:b/>
          <w:kern w:val="2"/>
          <w:sz w:val="30"/>
          <w:szCs w:val="22"/>
          <w:lang w:val="en-US" w:eastAsia="zh-CN" w:bidi="ar-SA"/>
        </w:rPr>
        <w:drawing>
          <wp:anchor distT="0" distB="0" distL="114300" distR="114300" simplePos="0" relativeHeight="251662336" behindDoc="1" locked="0" layoutInCell="1" allowOverlap="1">
            <wp:simplePos x="0" y="0"/>
            <wp:positionH relativeFrom="column">
              <wp:posOffset>-2103755</wp:posOffset>
            </wp:positionH>
            <wp:positionV relativeFrom="paragraph">
              <wp:posOffset>540385</wp:posOffset>
            </wp:positionV>
            <wp:extent cx="9745980" cy="6950075"/>
            <wp:effectExtent l="0" t="0" r="3175" b="7620"/>
            <wp:wrapNone/>
            <wp:docPr id="60" name="图片 60" descr="fe00abff40c085d93bdbf73fc4e561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e00abff40c085d93bdbf73fc4e5616d"/>
                    <pic:cNvPicPr>
                      <a:picLocks noChangeAspect="1"/>
                    </pic:cNvPicPr>
                  </pic:nvPicPr>
                  <pic:blipFill>
                    <a:blip r:embed="rId11"/>
                    <a:stretch>
                      <a:fillRect/>
                    </a:stretch>
                  </pic:blipFill>
                  <pic:spPr>
                    <a:xfrm rot="16200000">
                      <a:off x="0" y="0"/>
                      <a:ext cx="9745980" cy="6950075"/>
                    </a:xfrm>
                    <a:prstGeom prst="rect">
                      <a:avLst/>
                    </a:prstGeom>
                  </pic:spPr>
                </pic:pic>
              </a:graphicData>
            </a:graphic>
          </wp:anchor>
        </w:drawing>
      </w:r>
    </w:p>
    <w:p w14:paraId="2E3D1B0F">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jc w:val="center"/>
        <w:textAlignment w:val="auto"/>
        <w:outlineLvl w:val="9"/>
        <w:rPr>
          <w:rFonts w:hint="default" w:ascii="Times New Roman" w:hAnsi="Times New Roman" w:eastAsia="宋体" w:cs="Times New Roman"/>
          <w:b/>
          <w:kern w:val="2"/>
          <w:sz w:val="30"/>
          <w:szCs w:val="22"/>
          <w:lang w:val="en-US" w:eastAsia="zh-CN" w:bidi="ar-SA"/>
        </w:rPr>
        <w:sectPr>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r>
        <w:drawing>
          <wp:anchor distT="0" distB="0" distL="114300" distR="114300" simplePos="0" relativeHeight="251662336" behindDoc="1" locked="0" layoutInCell="1" allowOverlap="1">
            <wp:simplePos x="0" y="0"/>
            <wp:positionH relativeFrom="column">
              <wp:posOffset>-719455</wp:posOffset>
            </wp:positionH>
            <wp:positionV relativeFrom="paragraph">
              <wp:posOffset>-624205</wp:posOffset>
            </wp:positionV>
            <wp:extent cx="7072630" cy="9543415"/>
            <wp:effectExtent l="0" t="0" r="13970" b="635"/>
            <wp:wrapNone/>
            <wp:docPr id="61"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4"/>
                    <pic:cNvPicPr>
                      <a:picLocks noChangeAspect="1"/>
                    </pic:cNvPicPr>
                  </pic:nvPicPr>
                  <pic:blipFill>
                    <a:blip r:embed="rId12"/>
                    <a:stretch>
                      <a:fillRect/>
                    </a:stretch>
                  </pic:blipFill>
                  <pic:spPr>
                    <a:xfrm>
                      <a:off x="0" y="0"/>
                      <a:ext cx="7072630" cy="9543415"/>
                    </a:xfrm>
                    <a:prstGeom prst="rect">
                      <a:avLst/>
                    </a:prstGeom>
                    <a:noFill/>
                    <a:ln>
                      <a:noFill/>
                    </a:ln>
                  </pic:spPr>
                </pic:pic>
              </a:graphicData>
            </a:graphic>
          </wp:anchor>
        </w:drawing>
      </w:r>
    </w:p>
    <w:p w14:paraId="5CAD0CD7">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jc w:val="center"/>
        <w:textAlignment w:val="auto"/>
        <w:outlineLvl w:val="9"/>
        <w:rPr>
          <w:rFonts w:hint="default" w:ascii="Times New Roman" w:hAnsi="Times New Roman" w:eastAsia="宋体" w:cs="Times New Roman"/>
          <w:b/>
          <w:kern w:val="2"/>
          <w:sz w:val="30"/>
          <w:szCs w:val="22"/>
          <w:lang w:val="en-US" w:eastAsia="zh-CN" w:bidi="ar-SA"/>
        </w:rPr>
        <w:sectPr>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r>
        <w:drawing>
          <wp:anchor distT="0" distB="0" distL="114300" distR="114300" simplePos="0" relativeHeight="251662336" behindDoc="1" locked="0" layoutInCell="1" allowOverlap="1">
            <wp:simplePos x="0" y="0"/>
            <wp:positionH relativeFrom="column">
              <wp:posOffset>-355600</wp:posOffset>
            </wp:positionH>
            <wp:positionV relativeFrom="paragraph">
              <wp:posOffset>-253365</wp:posOffset>
            </wp:positionV>
            <wp:extent cx="6381115" cy="9083040"/>
            <wp:effectExtent l="0" t="0" r="635" b="3810"/>
            <wp:wrapNone/>
            <wp:docPr id="6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5"/>
                    <pic:cNvPicPr>
                      <a:picLocks noChangeAspect="1"/>
                    </pic:cNvPicPr>
                  </pic:nvPicPr>
                  <pic:blipFill>
                    <a:blip r:embed="rId13"/>
                    <a:stretch>
                      <a:fillRect/>
                    </a:stretch>
                  </pic:blipFill>
                  <pic:spPr>
                    <a:xfrm>
                      <a:off x="0" y="0"/>
                      <a:ext cx="6381115" cy="9083040"/>
                    </a:xfrm>
                    <a:prstGeom prst="rect">
                      <a:avLst/>
                    </a:prstGeom>
                    <a:noFill/>
                    <a:ln>
                      <a:noFill/>
                    </a:ln>
                  </pic:spPr>
                </pic:pic>
              </a:graphicData>
            </a:graphic>
          </wp:anchor>
        </w:drawing>
      </w:r>
    </w:p>
    <w:p w14:paraId="0B1AA1F2">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jc w:val="center"/>
        <w:textAlignment w:val="auto"/>
        <w:outlineLvl w:val="9"/>
        <w:rPr>
          <w:rFonts w:hint="default" w:ascii="Times New Roman" w:hAnsi="Times New Roman" w:eastAsia="宋体" w:cs="Times New Roman"/>
          <w:b/>
          <w:kern w:val="2"/>
          <w:sz w:val="30"/>
          <w:szCs w:val="22"/>
          <w:lang w:val="en-US" w:eastAsia="zh-CN" w:bidi="ar-SA"/>
        </w:rPr>
        <w:sectPr>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r>
        <w:drawing>
          <wp:anchor distT="0" distB="0" distL="114300" distR="114300" simplePos="0" relativeHeight="251662336" behindDoc="1" locked="0" layoutInCell="1" allowOverlap="1">
            <wp:simplePos x="0" y="0"/>
            <wp:positionH relativeFrom="column">
              <wp:posOffset>-702945</wp:posOffset>
            </wp:positionH>
            <wp:positionV relativeFrom="paragraph">
              <wp:posOffset>-635000</wp:posOffset>
            </wp:positionV>
            <wp:extent cx="6803390" cy="9060180"/>
            <wp:effectExtent l="0" t="0" r="16510" b="7620"/>
            <wp:wrapNone/>
            <wp:docPr id="63"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36"/>
                    <pic:cNvPicPr>
                      <a:picLocks noChangeAspect="1"/>
                    </pic:cNvPicPr>
                  </pic:nvPicPr>
                  <pic:blipFill>
                    <a:blip r:embed="rId14"/>
                    <a:stretch>
                      <a:fillRect/>
                    </a:stretch>
                  </pic:blipFill>
                  <pic:spPr>
                    <a:xfrm>
                      <a:off x="0" y="0"/>
                      <a:ext cx="6803390" cy="9060180"/>
                    </a:xfrm>
                    <a:prstGeom prst="rect">
                      <a:avLst/>
                    </a:prstGeom>
                    <a:noFill/>
                    <a:ln>
                      <a:noFill/>
                    </a:ln>
                  </pic:spPr>
                </pic:pic>
              </a:graphicData>
            </a:graphic>
          </wp:anchor>
        </w:drawing>
      </w:r>
    </w:p>
    <w:p w14:paraId="2D1ACDCA">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jc w:val="center"/>
        <w:textAlignment w:val="auto"/>
        <w:outlineLvl w:val="9"/>
        <w:rPr>
          <w:rFonts w:hint="default" w:ascii="Times New Roman" w:hAnsi="Times New Roman" w:eastAsia="宋体" w:cs="Times New Roman"/>
          <w:b/>
          <w:kern w:val="2"/>
          <w:sz w:val="30"/>
          <w:szCs w:val="22"/>
          <w:lang w:val="en-US" w:eastAsia="zh-CN" w:bidi="ar-SA"/>
        </w:rPr>
        <w:sectPr>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r>
        <w:drawing>
          <wp:anchor distT="0" distB="0" distL="114300" distR="114300" simplePos="0" relativeHeight="251662336" behindDoc="1" locked="0" layoutInCell="1" allowOverlap="1">
            <wp:simplePos x="0" y="0"/>
            <wp:positionH relativeFrom="column">
              <wp:posOffset>-814070</wp:posOffset>
            </wp:positionH>
            <wp:positionV relativeFrom="paragraph">
              <wp:posOffset>-43180</wp:posOffset>
            </wp:positionV>
            <wp:extent cx="6683375" cy="8986520"/>
            <wp:effectExtent l="0" t="0" r="3175" b="5080"/>
            <wp:wrapNone/>
            <wp:docPr id="6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37"/>
                    <pic:cNvPicPr>
                      <a:picLocks noChangeAspect="1"/>
                    </pic:cNvPicPr>
                  </pic:nvPicPr>
                  <pic:blipFill>
                    <a:blip r:embed="rId15"/>
                    <a:stretch>
                      <a:fillRect/>
                    </a:stretch>
                  </pic:blipFill>
                  <pic:spPr>
                    <a:xfrm>
                      <a:off x="0" y="0"/>
                      <a:ext cx="6683375" cy="8986520"/>
                    </a:xfrm>
                    <a:prstGeom prst="rect">
                      <a:avLst/>
                    </a:prstGeom>
                    <a:noFill/>
                    <a:ln>
                      <a:noFill/>
                    </a:ln>
                  </pic:spPr>
                </pic:pic>
              </a:graphicData>
            </a:graphic>
          </wp:anchor>
        </w:drawing>
      </w:r>
    </w:p>
    <w:p w14:paraId="6F0E44A6">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jc w:val="center"/>
        <w:textAlignment w:val="auto"/>
        <w:outlineLvl w:val="9"/>
        <w:rPr>
          <w:rFonts w:hint="default" w:ascii="Times New Roman" w:hAnsi="Times New Roman" w:eastAsia="宋体" w:cs="Times New Roman"/>
          <w:b/>
          <w:kern w:val="2"/>
          <w:sz w:val="30"/>
          <w:szCs w:val="22"/>
          <w:lang w:val="en-US" w:eastAsia="zh-CN" w:bidi="ar-SA"/>
        </w:rPr>
      </w:pPr>
      <w:r>
        <w:rPr>
          <w:rFonts w:hint="default" w:ascii="Times New Roman" w:hAnsi="Times New Roman" w:eastAsia="宋体" w:cs="Times New Roman"/>
          <w:b/>
          <w:kern w:val="2"/>
          <w:sz w:val="30"/>
          <w:szCs w:val="22"/>
          <w:lang w:val="en-US" w:eastAsia="zh-CN" w:bidi="ar-SA"/>
        </w:rPr>
        <w:t>一、建设项目基本情况</w:t>
      </w:r>
    </w:p>
    <w:tbl>
      <w:tblPr>
        <w:tblStyle w:val="26"/>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139"/>
        <w:gridCol w:w="905"/>
        <w:gridCol w:w="1891"/>
        <w:gridCol w:w="2049"/>
        <w:gridCol w:w="3076"/>
      </w:tblGrid>
      <w:tr w14:paraId="003754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0D2127DB">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color w:val="auto"/>
                <w:sz w:val="24"/>
              </w:rPr>
            </w:pPr>
            <w:r>
              <w:rPr>
                <w:rFonts w:hint="default" w:ascii="Times New Roman" w:hAnsi="Times New Roman" w:cs="Times New Roman"/>
                <w:color w:val="auto"/>
                <w:sz w:val="24"/>
              </w:rPr>
              <w:t>建设项目名称</w:t>
            </w:r>
          </w:p>
        </w:tc>
        <w:tc>
          <w:tcPr>
            <w:tcW w:w="7016" w:type="dxa"/>
            <w:gridSpan w:val="3"/>
            <w:tcBorders>
              <w:tl2br w:val="nil"/>
              <w:tr2bl w:val="nil"/>
            </w:tcBorders>
            <w:noWrap w:val="0"/>
            <w:vAlign w:val="center"/>
          </w:tcPr>
          <w:p w14:paraId="41C14796">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4"/>
                <w:lang w:val="en-US" w:eastAsia="zh-CN"/>
              </w:rPr>
            </w:pPr>
            <w:r>
              <w:rPr>
                <w:rFonts w:hint="eastAsia" w:cs="Times New Roman"/>
                <w:color w:val="auto"/>
                <w:sz w:val="24"/>
                <w:lang w:val="en-US" w:eastAsia="zh-CN"/>
              </w:rPr>
              <w:t>新乡市威远精工有限公司光刻机大尺寸结构件量产及装配项目</w:t>
            </w:r>
          </w:p>
        </w:tc>
      </w:tr>
      <w:tr w14:paraId="4BBB0B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38A316E7">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napToGrid w:val="0"/>
                <w:color w:val="auto"/>
                <w:sz w:val="24"/>
                <w:szCs w:val="24"/>
                <w:vertAlign w:val="baseline"/>
              </w:rPr>
            </w:pPr>
            <w:r>
              <w:rPr>
                <w:rFonts w:hint="default" w:ascii="Times New Roman" w:hAnsi="Times New Roman" w:eastAsia="宋体" w:cs="Times New Roman"/>
                <w:color w:val="auto"/>
                <w:sz w:val="24"/>
                <w:szCs w:val="24"/>
              </w:rPr>
              <w:t>项目代码</w:t>
            </w:r>
          </w:p>
        </w:tc>
        <w:tc>
          <w:tcPr>
            <w:tcW w:w="7016" w:type="dxa"/>
            <w:gridSpan w:val="3"/>
            <w:tcBorders>
              <w:tl2br w:val="nil"/>
              <w:tr2bl w:val="nil"/>
            </w:tcBorders>
            <w:noWrap w:val="0"/>
            <w:vAlign w:val="center"/>
          </w:tcPr>
          <w:p w14:paraId="2717DBA9">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snapToGrid w:val="0"/>
                <w:color w:val="auto"/>
                <w:sz w:val="24"/>
                <w:szCs w:val="24"/>
                <w:vertAlign w:val="baseline"/>
                <w:lang w:val="en-US" w:eastAsia="zh-CN"/>
              </w:rPr>
            </w:pPr>
            <w:r>
              <w:rPr>
                <w:rFonts w:hint="eastAsia" w:cs="Times New Roman"/>
                <w:color w:val="auto"/>
                <w:sz w:val="24"/>
                <w:lang w:val="en-US" w:eastAsia="zh-CN"/>
              </w:rPr>
              <w:t>2512-410721-04-01-857616</w:t>
            </w:r>
          </w:p>
        </w:tc>
      </w:tr>
      <w:tr w14:paraId="4E6D44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544D4020">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建设单位联系人</w:t>
            </w:r>
          </w:p>
        </w:tc>
        <w:tc>
          <w:tcPr>
            <w:tcW w:w="1891" w:type="dxa"/>
            <w:tcBorders>
              <w:right w:val="single" w:color="000000" w:sz="4" w:space="0"/>
              <w:tl2br w:val="nil"/>
              <w:tr2bl w:val="nil"/>
            </w:tcBorders>
            <w:noWrap w:val="0"/>
            <w:vAlign w:val="center"/>
          </w:tcPr>
          <w:p w14:paraId="3EFC0B7B">
            <w:pPr>
              <w:pageBreakBefore w:val="0"/>
              <w:wordWrap/>
              <w:topLinePunct w:val="0"/>
              <w:bidi w:val="0"/>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color w:val="auto"/>
                <w:sz w:val="24"/>
                <w:lang w:eastAsia="zh-CN"/>
              </w:rPr>
              <w:t>牛敏</w:t>
            </w:r>
          </w:p>
        </w:tc>
        <w:tc>
          <w:tcPr>
            <w:tcW w:w="2049" w:type="dxa"/>
            <w:tcBorders>
              <w:left w:val="single" w:color="000000" w:sz="4" w:space="0"/>
              <w:right w:val="single" w:color="000000" w:sz="4" w:space="0"/>
              <w:tl2br w:val="nil"/>
              <w:tr2bl w:val="nil"/>
            </w:tcBorders>
            <w:noWrap w:val="0"/>
            <w:vAlign w:val="center"/>
          </w:tcPr>
          <w:p w14:paraId="1E3FCF12">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cs="Times New Roman"/>
                <w:color w:val="auto"/>
                <w:sz w:val="24"/>
                <w:lang w:val="en-US" w:eastAsia="zh-CN"/>
              </w:rPr>
            </w:pPr>
            <w:r>
              <w:rPr>
                <w:rFonts w:hint="default" w:ascii="Times New Roman" w:hAnsi="Times New Roman" w:cs="Times New Roman"/>
                <w:color w:val="auto"/>
                <w:sz w:val="24"/>
                <w:lang w:val="en-US" w:eastAsia="zh-CN"/>
              </w:rPr>
              <w:t>联系方式</w:t>
            </w:r>
          </w:p>
        </w:tc>
        <w:tc>
          <w:tcPr>
            <w:tcW w:w="3076" w:type="dxa"/>
            <w:tcBorders>
              <w:left w:val="single" w:color="000000" w:sz="4" w:space="0"/>
              <w:tl2br w:val="nil"/>
              <w:tr2bl w:val="nil"/>
            </w:tcBorders>
            <w:noWrap w:val="0"/>
            <w:vAlign w:val="center"/>
          </w:tcPr>
          <w:p w14:paraId="635A06BC">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lang w:val="en-US" w:eastAsia="zh-CN"/>
              </w:rPr>
            </w:pPr>
          </w:p>
        </w:tc>
      </w:tr>
      <w:tr w14:paraId="250EF1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3161DC05">
            <w:pPr>
              <w:pageBreakBefore w:val="0"/>
              <w:wordWrap/>
              <w:topLinePunct w:val="0"/>
              <w:bidi w:val="0"/>
              <w:spacing w:line="240" w:lineRule="auto"/>
              <w:ind w:firstLine="0" w:firstLineChars="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sz w:val="24"/>
                <w:lang w:val="en-US" w:eastAsia="zh-CN"/>
              </w:rPr>
              <w:t>法人代表</w:t>
            </w:r>
          </w:p>
        </w:tc>
        <w:tc>
          <w:tcPr>
            <w:tcW w:w="1891" w:type="dxa"/>
            <w:tcBorders>
              <w:right w:val="single" w:color="000000" w:sz="4" w:space="0"/>
              <w:tl2br w:val="nil"/>
              <w:tr2bl w:val="nil"/>
            </w:tcBorders>
            <w:noWrap w:val="0"/>
            <w:vAlign w:val="center"/>
          </w:tcPr>
          <w:p w14:paraId="17A6BEAA">
            <w:pPr>
              <w:pageBreakBefore w:val="0"/>
              <w:wordWrap/>
              <w:topLinePunct w:val="0"/>
              <w:bidi w:val="0"/>
              <w:spacing w:line="240" w:lineRule="auto"/>
              <w:ind w:firstLine="0" w:firstLineChars="0"/>
              <w:jc w:val="center"/>
              <w:rPr>
                <w:rFonts w:hint="eastAsia" w:ascii="Times New Roman" w:hAnsi="Times New Roman" w:eastAsia="宋体" w:cs="Times New Roman"/>
                <w:color w:val="auto"/>
                <w:sz w:val="24"/>
                <w:lang w:val="en-US" w:eastAsia="zh-CN"/>
              </w:rPr>
            </w:pPr>
            <w:r>
              <w:rPr>
                <w:rFonts w:hint="eastAsia"/>
                <w:color w:val="auto"/>
                <w:sz w:val="24"/>
                <w:lang w:eastAsia="zh-CN"/>
              </w:rPr>
              <w:t>李英锐</w:t>
            </w:r>
          </w:p>
        </w:tc>
        <w:tc>
          <w:tcPr>
            <w:tcW w:w="2049" w:type="dxa"/>
            <w:tcBorders>
              <w:left w:val="single" w:color="000000" w:sz="4" w:space="0"/>
              <w:right w:val="single" w:color="000000" w:sz="4" w:space="0"/>
              <w:tl2br w:val="nil"/>
              <w:tr2bl w:val="nil"/>
            </w:tcBorders>
            <w:noWrap w:val="0"/>
            <w:vAlign w:val="center"/>
          </w:tcPr>
          <w:p w14:paraId="54398F98">
            <w:pPr>
              <w:pageBreakBefore w:val="0"/>
              <w:wordWrap/>
              <w:topLinePunct w:val="0"/>
              <w:bidi w:val="0"/>
              <w:spacing w:line="240" w:lineRule="auto"/>
              <w:ind w:firstLine="0" w:firstLineChars="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sz w:val="24"/>
                <w:lang w:eastAsia="zh-CN"/>
              </w:rPr>
              <w:t>法人身份证号</w:t>
            </w:r>
          </w:p>
        </w:tc>
        <w:tc>
          <w:tcPr>
            <w:tcW w:w="3076" w:type="dxa"/>
            <w:tcBorders>
              <w:left w:val="single" w:color="000000" w:sz="4" w:space="0"/>
              <w:tl2br w:val="nil"/>
              <w:tr2bl w:val="nil"/>
            </w:tcBorders>
            <w:noWrap w:val="0"/>
            <w:vAlign w:val="center"/>
          </w:tcPr>
          <w:p w14:paraId="67D69A03">
            <w:pPr>
              <w:pageBreakBefore w:val="0"/>
              <w:wordWrap/>
              <w:topLinePunct w:val="0"/>
              <w:bidi w:val="0"/>
              <w:spacing w:line="240" w:lineRule="auto"/>
              <w:ind w:firstLine="0" w:firstLineChars="0"/>
              <w:jc w:val="center"/>
              <w:rPr>
                <w:rFonts w:hint="default" w:ascii="Times New Roman" w:hAnsi="Times New Roman" w:eastAsia="宋体" w:cs="Times New Roman"/>
                <w:color w:val="auto"/>
                <w:sz w:val="24"/>
                <w:lang w:val="en-US" w:eastAsia="zh-CN"/>
              </w:rPr>
            </w:pPr>
            <w:bookmarkStart w:id="3" w:name="_GoBack"/>
            <w:bookmarkEnd w:id="3"/>
          </w:p>
        </w:tc>
      </w:tr>
      <w:tr w14:paraId="2BAE65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609D387E">
            <w:pPr>
              <w:pageBreakBefore w:val="0"/>
              <w:wordWrap/>
              <w:topLinePunct w:val="0"/>
              <w:bidi w:val="0"/>
              <w:spacing w:line="240" w:lineRule="auto"/>
              <w:ind w:firstLine="0" w:firstLineChars="0"/>
              <w:jc w:val="center"/>
              <w:rPr>
                <w:rFonts w:hint="default" w:ascii="Times New Roman" w:hAnsi="Times New Roman" w:eastAsia="宋体" w:cs="Times New Roman"/>
                <w:color w:val="auto"/>
                <w:sz w:val="24"/>
                <w:szCs w:val="24"/>
              </w:rPr>
            </w:pPr>
            <w:r>
              <w:rPr>
                <w:rFonts w:hint="default" w:ascii="Times New Roman" w:hAnsi="Times New Roman" w:cs="Times New Roman"/>
                <w:color w:val="auto"/>
                <w:sz w:val="24"/>
                <w:lang w:val="en-US" w:eastAsia="zh-CN"/>
              </w:rPr>
              <w:t>营业执照统一社会信用代码</w:t>
            </w:r>
          </w:p>
        </w:tc>
        <w:tc>
          <w:tcPr>
            <w:tcW w:w="7016" w:type="dxa"/>
            <w:gridSpan w:val="3"/>
            <w:tcBorders>
              <w:tl2br w:val="nil"/>
              <w:tr2bl w:val="nil"/>
            </w:tcBorders>
            <w:noWrap w:val="0"/>
            <w:vAlign w:val="center"/>
          </w:tcPr>
          <w:p w14:paraId="791DF2AA">
            <w:pPr>
              <w:pageBreakBefore w:val="0"/>
              <w:wordWrap/>
              <w:topLinePunct w:val="0"/>
              <w:bidi w:val="0"/>
              <w:spacing w:line="240" w:lineRule="auto"/>
              <w:ind w:firstLine="0" w:firstLineChars="0"/>
              <w:jc w:val="center"/>
              <w:rPr>
                <w:rFonts w:hint="default" w:ascii="Times New Roman" w:hAnsi="Times New Roman" w:eastAsia="宋体" w:cs="Times New Roman"/>
                <w:color w:val="auto"/>
                <w:sz w:val="24"/>
                <w:lang w:val="en-US" w:eastAsia="zh-CN"/>
              </w:rPr>
            </w:pPr>
            <w:r>
              <w:rPr>
                <w:rFonts w:hint="default" w:ascii="Times New Roman" w:hAnsi="Times New Roman" w:cs="Times New Roman"/>
                <w:color w:val="auto"/>
                <w:sz w:val="24"/>
                <w:lang w:val="en-US" w:eastAsia="zh-CN"/>
              </w:rPr>
              <w:t>91410700MADT2YLUXW</w:t>
            </w:r>
          </w:p>
        </w:tc>
      </w:tr>
      <w:tr w14:paraId="63E210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59DF999D">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建设地点</w:t>
            </w:r>
          </w:p>
        </w:tc>
        <w:tc>
          <w:tcPr>
            <w:tcW w:w="7016" w:type="dxa"/>
            <w:gridSpan w:val="3"/>
            <w:tcBorders>
              <w:tl2br w:val="nil"/>
              <w:tr2bl w:val="nil"/>
            </w:tcBorders>
            <w:noWrap w:val="0"/>
            <w:vAlign w:val="center"/>
          </w:tcPr>
          <w:p w14:paraId="7745F0CB">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lang w:val="en-US" w:eastAsia="zh-CN"/>
              </w:rPr>
            </w:pPr>
            <w:r>
              <w:rPr>
                <w:rFonts w:hint="eastAsia" w:cs="Times New Roman"/>
                <w:color w:val="auto"/>
                <w:sz w:val="24"/>
                <w:szCs w:val="24"/>
                <w:lang w:eastAsia="zh-CN"/>
              </w:rPr>
              <w:t>河南省新乡市新乡县翟坡镇东大阳堤村村西中央大道东侧</w:t>
            </w:r>
          </w:p>
        </w:tc>
      </w:tr>
      <w:tr w14:paraId="129EA1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3C8DDB96">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地理坐标</w:t>
            </w:r>
          </w:p>
        </w:tc>
        <w:tc>
          <w:tcPr>
            <w:tcW w:w="7016" w:type="dxa"/>
            <w:gridSpan w:val="3"/>
            <w:tcBorders>
              <w:tl2br w:val="nil"/>
              <w:tr2bl w:val="nil"/>
            </w:tcBorders>
            <w:noWrap w:val="0"/>
            <w:vAlign w:val="center"/>
          </w:tcPr>
          <w:p w14:paraId="66B88B73">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szCs w:val="24"/>
                <w:highlight w:val="none"/>
                <w:shd w:val="clear" w:color="auto" w:fill="auto"/>
              </w:rPr>
              <w:t>（</w:t>
            </w:r>
            <w:r>
              <w:rPr>
                <w:rFonts w:hint="default" w:ascii="Times New Roman" w:hAnsi="Times New Roman" w:eastAsia="宋体" w:cs="Times New Roman"/>
                <w:color w:val="auto"/>
                <w:sz w:val="24"/>
                <w:szCs w:val="24"/>
                <w:highlight w:val="none"/>
                <w:shd w:val="clear" w:color="auto" w:fill="auto"/>
                <w:lang w:eastAsia="zh-CN"/>
              </w:rPr>
              <w:t>东经</w:t>
            </w:r>
            <w:r>
              <w:rPr>
                <w:rFonts w:hint="default" w:ascii="Times New Roman" w:hAnsi="Times New Roman" w:eastAsia="宋体" w:cs="Times New Roman"/>
                <w:color w:val="auto"/>
                <w:sz w:val="24"/>
                <w:szCs w:val="24"/>
                <w:highlight w:val="none"/>
                <w:u w:val="single"/>
                <w:shd w:val="clear" w:color="auto" w:fill="auto"/>
              </w:rPr>
              <w:t xml:space="preserve"> 11</w:t>
            </w:r>
            <w:r>
              <w:rPr>
                <w:rFonts w:hint="eastAsia" w:ascii="Times New Roman" w:hAnsi="Times New Roman" w:eastAsia="宋体" w:cs="Times New Roman"/>
                <w:color w:val="auto"/>
                <w:sz w:val="24"/>
                <w:szCs w:val="24"/>
                <w:highlight w:val="none"/>
                <w:u w:val="single"/>
                <w:shd w:val="clear" w:color="auto" w:fill="auto"/>
                <w:lang w:val="en-US" w:eastAsia="zh-CN"/>
              </w:rPr>
              <w:t>3</w:t>
            </w:r>
            <w:r>
              <w:rPr>
                <w:rFonts w:hint="default" w:ascii="Times New Roman" w:hAnsi="Times New Roman" w:eastAsia="宋体" w:cs="Times New Roman"/>
                <w:color w:val="auto"/>
                <w:sz w:val="24"/>
                <w:szCs w:val="24"/>
                <w:highlight w:val="none"/>
                <w:u w:val="single"/>
                <w:shd w:val="clear" w:color="auto" w:fill="auto"/>
              </w:rPr>
              <w:t xml:space="preserve"> </w:t>
            </w:r>
            <w:r>
              <w:rPr>
                <w:rFonts w:hint="default" w:ascii="Times New Roman" w:hAnsi="Times New Roman" w:eastAsia="宋体" w:cs="Times New Roman"/>
                <w:color w:val="auto"/>
                <w:sz w:val="24"/>
                <w:szCs w:val="24"/>
                <w:highlight w:val="none"/>
                <w:shd w:val="clear" w:color="auto" w:fill="auto"/>
              </w:rPr>
              <w:t>度</w:t>
            </w:r>
            <w:r>
              <w:rPr>
                <w:rFonts w:hint="default" w:ascii="Times New Roman" w:hAnsi="Times New Roman" w:eastAsia="宋体" w:cs="Times New Roman"/>
                <w:color w:val="auto"/>
                <w:sz w:val="24"/>
                <w:szCs w:val="24"/>
                <w:highlight w:val="none"/>
                <w:u w:val="single"/>
                <w:shd w:val="clear" w:color="auto" w:fill="auto"/>
              </w:rPr>
              <w:t xml:space="preserve"> </w:t>
            </w:r>
            <w:r>
              <w:rPr>
                <w:rFonts w:hint="eastAsia" w:cs="Times New Roman"/>
                <w:color w:val="auto"/>
                <w:sz w:val="24"/>
                <w:szCs w:val="24"/>
                <w:highlight w:val="none"/>
                <w:u w:val="single"/>
                <w:shd w:val="clear" w:color="auto" w:fill="auto"/>
                <w:lang w:val="en-US" w:eastAsia="zh-CN"/>
              </w:rPr>
              <w:t>47</w:t>
            </w:r>
            <w:r>
              <w:rPr>
                <w:rFonts w:hint="default" w:ascii="Times New Roman" w:hAnsi="Times New Roman" w:eastAsia="宋体" w:cs="Times New Roman"/>
                <w:color w:val="auto"/>
                <w:sz w:val="24"/>
                <w:szCs w:val="24"/>
                <w:highlight w:val="none"/>
                <w:u w:val="single"/>
                <w:shd w:val="clear" w:color="auto" w:fill="auto"/>
              </w:rPr>
              <w:t xml:space="preserve"> </w:t>
            </w:r>
            <w:r>
              <w:rPr>
                <w:rFonts w:hint="default" w:ascii="Times New Roman" w:hAnsi="Times New Roman" w:eastAsia="宋体" w:cs="Times New Roman"/>
                <w:color w:val="auto"/>
                <w:sz w:val="24"/>
                <w:szCs w:val="24"/>
                <w:highlight w:val="none"/>
                <w:shd w:val="clear" w:color="auto" w:fill="auto"/>
              </w:rPr>
              <w:t>分</w:t>
            </w:r>
            <w:r>
              <w:rPr>
                <w:rFonts w:hint="default" w:ascii="Times New Roman" w:hAnsi="Times New Roman" w:eastAsia="宋体" w:cs="Times New Roman"/>
                <w:color w:val="auto"/>
                <w:sz w:val="24"/>
                <w:szCs w:val="24"/>
                <w:highlight w:val="none"/>
                <w:u w:val="single"/>
                <w:shd w:val="clear" w:color="auto" w:fill="auto"/>
              </w:rPr>
              <w:t xml:space="preserve"> </w:t>
            </w:r>
            <w:r>
              <w:rPr>
                <w:rFonts w:hint="eastAsia" w:cs="Times New Roman"/>
                <w:color w:val="auto"/>
                <w:sz w:val="24"/>
                <w:szCs w:val="24"/>
                <w:highlight w:val="none"/>
                <w:u w:val="single"/>
                <w:shd w:val="clear" w:color="auto" w:fill="auto"/>
                <w:lang w:val="en-US" w:eastAsia="zh-CN"/>
              </w:rPr>
              <w:t>38.075</w:t>
            </w:r>
            <w:r>
              <w:rPr>
                <w:rFonts w:hint="default" w:ascii="Times New Roman" w:hAnsi="Times New Roman" w:eastAsia="宋体" w:cs="Times New Roman"/>
                <w:color w:val="auto"/>
                <w:sz w:val="24"/>
                <w:szCs w:val="24"/>
                <w:highlight w:val="none"/>
                <w:u w:val="single"/>
                <w:shd w:val="clear" w:color="auto" w:fill="auto"/>
              </w:rPr>
              <w:t xml:space="preserve"> </w:t>
            </w:r>
            <w:r>
              <w:rPr>
                <w:rFonts w:hint="default" w:ascii="Times New Roman" w:hAnsi="Times New Roman" w:eastAsia="宋体" w:cs="Times New Roman"/>
                <w:color w:val="auto"/>
                <w:sz w:val="24"/>
                <w:szCs w:val="24"/>
                <w:highlight w:val="none"/>
                <w:shd w:val="clear" w:color="auto" w:fill="auto"/>
              </w:rPr>
              <w:t>秒，</w:t>
            </w:r>
            <w:r>
              <w:rPr>
                <w:rFonts w:hint="default" w:ascii="Times New Roman" w:hAnsi="Times New Roman" w:eastAsia="宋体" w:cs="Times New Roman"/>
                <w:color w:val="auto"/>
                <w:sz w:val="24"/>
                <w:szCs w:val="24"/>
                <w:highlight w:val="none"/>
                <w:shd w:val="clear" w:color="auto" w:fill="auto"/>
                <w:lang w:eastAsia="zh-CN"/>
              </w:rPr>
              <w:t>北纬</w:t>
            </w:r>
            <w:r>
              <w:rPr>
                <w:rFonts w:hint="default" w:ascii="Times New Roman" w:hAnsi="Times New Roman" w:eastAsia="宋体" w:cs="Times New Roman"/>
                <w:color w:val="auto"/>
                <w:sz w:val="24"/>
                <w:szCs w:val="24"/>
                <w:highlight w:val="none"/>
                <w:u w:val="single"/>
                <w:shd w:val="clear" w:color="auto" w:fill="auto"/>
              </w:rPr>
              <w:t xml:space="preserve"> 3</w:t>
            </w:r>
            <w:r>
              <w:rPr>
                <w:rFonts w:hint="default" w:ascii="Times New Roman" w:hAnsi="Times New Roman" w:eastAsia="宋体" w:cs="Times New Roman"/>
                <w:color w:val="auto"/>
                <w:sz w:val="24"/>
                <w:szCs w:val="24"/>
                <w:highlight w:val="none"/>
                <w:u w:val="single"/>
                <w:shd w:val="clear" w:color="auto" w:fill="auto"/>
                <w:lang w:val="en-US" w:eastAsia="zh-CN"/>
              </w:rPr>
              <w:t>5</w:t>
            </w:r>
            <w:r>
              <w:rPr>
                <w:rFonts w:hint="default" w:ascii="Times New Roman" w:hAnsi="Times New Roman" w:eastAsia="宋体" w:cs="Times New Roman"/>
                <w:color w:val="auto"/>
                <w:sz w:val="24"/>
                <w:szCs w:val="24"/>
                <w:highlight w:val="none"/>
                <w:u w:val="single"/>
                <w:shd w:val="clear" w:color="auto" w:fill="auto"/>
              </w:rPr>
              <w:t xml:space="preserve"> </w:t>
            </w:r>
            <w:r>
              <w:rPr>
                <w:rFonts w:hint="default" w:ascii="Times New Roman" w:hAnsi="Times New Roman" w:eastAsia="宋体" w:cs="Times New Roman"/>
                <w:color w:val="auto"/>
                <w:sz w:val="24"/>
                <w:szCs w:val="24"/>
                <w:highlight w:val="none"/>
                <w:shd w:val="clear" w:color="auto" w:fill="auto"/>
              </w:rPr>
              <w:t>度</w:t>
            </w:r>
            <w:r>
              <w:rPr>
                <w:rFonts w:hint="default" w:ascii="Times New Roman" w:hAnsi="Times New Roman" w:eastAsia="宋体" w:cs="Times New Roman"/>
                <w:color w:val="auto"/>
                <w:sz w:val="24"/>
                <w:szCs w:val="24"/>
                <w:highlight w:val="none"/>
                <w:u w:val="single"/>
                <w:shd w:val="clear" w:color="auto" w:fill="auto"/>
              </w:rPr>
              <w:t xml:space="preserve"> </w:t>
            </w:r>
            <w:r>
              <w:rPr>
                <w:rFonts w:hint="eastAsia" w:ascii="Times New Roman" w:hAnsi="Times New Roman" w:eastAsia="宋体" w:cs="Times New Roman"/>
                <w:color w:val="auto"/>
                <w:sz w:val="24"/>
                <w:szCs w:val="24"/>
                <w:highlight w:val="none"/>
                <w:u w:val="single"/>
                <w:shd w:val="clear" w:color="auto" w:fill="auto"/>
                <w:lang w:val="en-US" w:eastAsia="zh-CN"/>
              </w:rPr>
              <w:t>1</w:t>
            </w:r>
            <w:r>
              <w:rPr>
                <w:rFonts w:hint="eastAsia" w:cs="Times New Roman"/>
                <w:color w:val="auto"/>
                <w:sz w:val="24"/>
                <w:szCs w:val="24"/>
                <w:highlight w:val="none"/>
                <w:u w:val="single"/>
                <w:shd w:val="clear" w:color="auto" w:fill="auto"/>
                <w:lang w:val="en-US" w:eastAsia="zh-CN"/>
              </w:rPr>
              <w:t>2</w:t>
            </w:r>
            <w:r>
              <w:rPr>
                <w:rFonts w:hint="default" w:ascii="Times New Roman" w:hAnsi="Times New Roman" w:eastAsia="宋体" w:cs="Times New Roman"/>
                <w:color w:val="auto"/>
                <w:sz w:val="24"/>
                <w:szCs w:val="24"/>
                <w:highlight w:val="none"/>
                <w:u w:val="single"/>
                <w:shd w:val="clear" w:color="auto" w:fill="auto"/>
              </w:rPr>
              <w:t xml:space="preserve"> </w:t>
            </w:r>
            <w:r>
              <w:rPr>
                <w:rFonts w:hint="default" w:ascii="Times New Roman" w:hAnsi="Times New Roman" w:eastAsia="宋体" w:cs="Times New Roman"/>
                <w:color w:val="auto"/>
                <w:sz w:val="24"/>
                <w:szCs w:val="24"/>
                <w:highlight w:val="none"/>
                <w:shd w:val="clear" w:color="auto" w:fill="auto"/>
              </w:rPr>
              <w:t>分</w:t>
            </w:r>
            <w:r>
              <w:rPr>
                <w:rFonts w:hint="default" w:ascii="Times New Roman" w:hAnsi="Times New Roman" w:eastAsia="宋体" w:cs="Times New Roman"/>
                <w:color w:val="auto"/>
                <w:sz w:val="24"/>
                <w:szCs w:val="24"/>
                <w:highlight w:val="none"/>
                <w:u w:val="single"/>
                <w:shd w:val="clear" w:color="auto" w:fill="auto"/>
              </w:rPr>
              <w:t xml:space="preserve"> </w:t>
            </w:r>
            <w:r>
              <w:rPr>
                <w:rFonts w:hint="eastAsia" w:cs="Times New Roman"/>
                <w:color w:val="auto"/>
                <w:sz w:val="24"/>
                <w:szCs w:val="24"/>
                <w:highlight w:val="none"/>
                <w:u w:val="single"/>
                <w:shd w:val="clear" w:color="auto" w:fill="auto"/>
                <w:lang w:val="en-US" w:eastAsia="zh-CN"/>
              </w:rPr>
              <w:t>58.970</w:t>
            </w:r>
            <w:r>
              <w:rPr>
                <w:rFonts w:hint="default" w:ascii="Times New Roman" w:hAnsi="Times New Roman" w:eastAsia="宋体" w:cs="Times New Roman"/>
                <w:color w:val="auto"/>
                <w:sz w:val="24"/>
                <w:szCs w:val="24"/>
                <w:highlight w:val="none"/>
                <w:u w:val="single"/>
                <w:shd w:val="clear" w:color="auto" w:fill="auto"/>
              </w:rPr>
              <w:t xml:space="preserve"> </w:t>
            </w:r>
            <w:r>
              <w:rPr>
                <w:rFonts w:hint="default" w:ascii="Times New Roman" w:hAnsi="Times New Roman" w:eastAsia="宋体" w:cs="Times New Roman"/>
                <w:color w:val="auto"/>
                <w:sz w:val="24"/>
                <w:szCs w:val="24"/>
                <w:highlight w:val="none"/>
                <w:shd w:val="clear" w:color="auto" w:fill="auto"/>
              </w:rPr>
              <w:t>秒）</w:t>
            </w:r>
          </w:p>
        </w:tc>
      </w:tr>
      <w:tr w14:paraId="16F97C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0F45757C">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国民经济</w:t>
            </w:r>
          </w:p>
          <w:p w14:paraId="5228271B">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行业类别</w:t>
            </w:r>
          </w:p>
        </w:tc>
        <w:tc>
          <w:tcPr>
            <w:tcW w:w="1891" w:type="dxa"/>
            <w:tcBorders>
              <w:right w:val="single" w:color="000000" w:sz="4" w:space="0"/>
              <w:tl2br w:val="nil"/>
              <w:tr2bl w:val="nil"/>
            </w:tcBorders>
            <w:noWrap w:val="0"/>
            <w:vAlign w:val="center"/>
          </w:tcPr>
          <w:p w14:paraId="24E768B1">
            <w:pPr>
              <w:pageBreakBefore w:val="0"/>
              <w:wordWrap/>
              <w:topLinePunct w:val="0"/>
              <w:bidi w:val="0"/>
              <w:adjustRightInd w:val="0"/>
              <w:snapToGrid w:val="0"/>
              <w:spacing w:line="240" w:lineRule="auto"/>
              <w:ind w:firstLine="0" w:firstLineChars="0"/>
              <w:jc w:val="center"/>
              <w:rPr>
                <w:rFonts w:hint="eastAsia" w:ascii="Times New Roman" w:hAnsi="Times New Roman" w:eastAsia="宋体" w:cs="Times New Roman"/>
                <w:color w:val="auto"/>
                <w:sz w:val="24"/>
                <w:szCs w:val="24"/>
                <w:lang w:eastAsia="zh-CN"/>
              </w:rPr>
            </w:pPr>
            <w:r>
              <w:rPr>
                <w:rFonts w:hint="eastAsia" w:cs="Times New Roman"/>
                <w:color w:val="auto"/>
                <w:sz w:val="24"/>
                <w:szCs w:val="24"/>
                <w:lang w:eastAsia="zh-CN"/>
              </w:rPr>
              <w:t>C3484 机械零部件加工</w:t>
            </w:r>
          </w:p>
        </w:tc>
        <w:tc>
          <w:tcPr>
            <w:tcW w:w="2049" w:type="dxa"/>
            <w:tcBorders>
              <w:left w:val="single" w:color="000000" w:sz="4" w:space="0"/>
              <w:right w:val="single" w:color="000000" w:sz="4" w:space="0"/>
              <w:tl2br w:val="nil"/>
              <w:tr2bl w:val="nil"/>
            </w:tcBorders>
            <w:noWrap w:val="0"/>
            <w:vAlign w:val="center"/>
          </w:tcPr>
          <w:p w14:paraId="29A7D4DF">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建设项目</w:t>
            </w:r>
          </w:p>
          <w:p w14:paraId="46048BC5">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行业类别</w:t>
            </w:r>
          </w:p>
        </w:tc>
        <w:tc>
          <w:tcPr>
            <w:tcW w:w="3076" w:type="dxa"/>
            <w:tcBorders>
              <w:left w:val="single" w:color="000000" w:sz="4" w:space="0"/>
              <w:tl2br w:val="nil"/>
              <w:tr2bl w:val="nil"/>
            </w:tcBorders>
            <w:noWrap w:val="0"/>
            <w:vAlign w:val="center"/>
          </w:tcPr>
          <w:p w14:paraId="1C758CBE">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eastAsia" w:cs="Times New Roman"/>
                <w:bCs/>
                <w:iCs/>
                <w:color w:val="auto"/>
                <w:sz w:val="24"/>
                <w:szCs w:val="24"/>
                <w:highlight w:val="none"/>
                <w:lang w:val="en-US" w:eastAsia="zh-CN"/>
              </w:rPr>
            </w:pPr>
            <w:r>
              <w:rPr>
                <w:rFonts w:hint="eastAsia" w:cs="Times New Roman"/>
                <w:bCs/>
                <w:iCs/>
                <w:color w:val="auto"/>
                <w:sz w:val="24"/>
                <w:szCs w:val="24"/>
                <w:highlight w:val="none"/>
                <w:lang w:val="en-US" w:eastAsia="zh-CN"/>
              </w:rPr>
              <w:t>三十一</w:t>
            </w:r>
            <w:r>
              <w:rPr>
                <w:rFonts w:hint="default" w:ascii="Times New Roman" w:hAnsi="Times New Roman" w:eastAsia="宋体" w:cs="Times New Roman"/>
                <w:bCs/>
                <w:iCs/>
                <w:color w:val="auto"/>
                <w:sz w:val="24"/>
                <w:szCs w:val="24"/>
                <w:highlight w:val="none"/>
                <w:lang w:val="en-US" w:eastAsia="zh-CN"/>
              </w:rPr>
              <w:t>、</w:t>
            </w:r>
            <w:r>
              <w:rPr>
                <w:rFonts w:hint="eastAsia" w:cs="Times New Roman"/>
                <w:bCs/>
                <w:iCs/>
                <w:color w:val="auto"/>
                <w:sz w:val="24"/>
                <w:szCs w:val="24"/>
                <w:highlight w:val="none"/>
                <w:lang w:val="en-US" w:eastAsia="zh-CN"/>
              </w:rPr>
              <w:t xml:space="preserve">通用设备制造业34 </w:t>
            </w:r>
          </w:p>
          <w:p w14:paraId="5F044F89">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 xml:space="preserve">69 </w:t>
            </w:r>
            <w:r>
              <w:rPr>
                <w:rFonts w:hint="eastAsia" w:cs="Times New Roman"/>
                <w:bCs/>
                <w:iCs/>
                <w:color w:val="auto"/>
                <w:sz w:val="24"/>
                <w:szCs w:val="24"/>
                <w:lang w:val="en-US" w:eastAsia="zh-CN"/>
              </w:rPr>
              <w:t>通用零部件制造 348</w:t>
            </w:r>
          </w:p>
        </w:tc>
      </w:tr>
      <w:tr w14:paraId="58E14A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485337A3">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建设性质</w:t>
            </w:r>
          </w:p>
        </w:tc>
        <w:tc>
          <w:tcPr>
            <w:tcW w:w="1891" w:type="dxa"/>
            <w:tcBorders>
              <w:right w:val="single" w:color="000000" w:sz="4" w:space="0"/>
              <w:tl2br w:val="nil"/>
              <w:tr2bl w:val="nil"/>
            </w:tcBorders>
            <w:noWrap w:val="0"/>
            <w:vAlign w:val="center"/>
          </w:tcPr>
          <w:p w14:paraId="16353C0A">
            <w:pPr>
              <w:keepNext w:val="0"/>
              <w:keepLines w:val="0"/>
              <w:pageBreakBefore w:val="0"/>
              <w:widowControl w:val="0"/>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sym w:font="Wingdings 2" w:char="0052"/>
            </w:r>
            <w:r>
              <w:rPr>
                <w:rFonts w:hint="default" w:ascii="Times New Roman" w:hAnsi="Times New Roman" w:eastAsia="宋体" w:cs="Times New Roman"/>
                <w:color w:val="auto"/>
                <w:sz w:val="24"/>
                <w:szCs w:val="24"/>
              </w:rPr>
              <w:t>新建（迁建）</w:t>
            </w:r>
          </w:p>
          <w:p w14:paraId="6B0B054C">
            <w:pPr>
              <w:keepNext w:val="0"/>
              <w:keepLines w:val="0"/>
              <w:pageBreakBefore w:val="0"/>
              <w:widowControl w:val="0"/>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sym w:font="Wingdings 2" w:char="00A3"/>
            </w:r>
            <w:r>
              <w:rPr>
                <w:rFonts w:hint="default" w:ascii="Times New Roman" w:hAnsi="Times New Roman" w:eastAsia="宋体" w:cs="Times New Roman"/>
                <w:color w:val="auto"/>
                <w:sz w:val="24"/>
                <w:szCs w:val="24"/>
              </w:rPr>
              <w:t>改建</w:t>
            </w:r>
          </w:p>
          <w:p w14:paraId="3179C110">
            <w:pPr>
              <w:keepNext w:val="0"/>
              <w:keepLines w:val="0"/>
              <w:pageBreakBefore w:val="0"/>
              <w:widowControl w:val="0"/>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sym w:font="Wingdings 2" w:char="00A3"/>
            </w:r>
            <w:r>
              <w:rPr>
                <w:rFonts w:hint="default" w:ascii="Times New Roman" w:hAnsi="Times New Roman" w:eastAsia="宋体" w:cs="Times New Roman"/>
                <w:color w:val="auto"/>
                <w:sz w:val="24"/>
                <w:szCs w:val="24"/>
              </w:rPr>
              <w:t>扩建</w:t>
            </w:r>
          </w:p>
          <w:p w14:paraId="59DA23A2">
            <w:pPr>
              <w:keepNext w:val="0"/>
              <w:keepLines w:val="0"/>
              <w:pageBreakBefore w:val="0"/>
              <w:widowControl w:val="0"/>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sym w:font="Wingdings 2" w:char="00A3"/>
            </w:r>
            <w:r>
              <w:rPr>
                <w:rFonts w:hint="default" w:ascii="Times New Roman" w:hAnsi="Times New Roman" w:eastAsia="宋体" w:cs="Times New Roman"/>
                <w:color w:val="auto"/>
                <w:sz w:val="24"/>
                <w:szCs w:val="24"/>
              </w:rPr>
              <w:t>技术改造</w:t>
            </w:r>
          </w:p>
        </w:tc>
        <w:tc>
          <w:tcPr>
            <w:tcW w:w="2049" w:type="dxa"/>
            <w:tcBorders>
              <w:left w:val="single" w:color="000000" w:sz="4" w:space="0"/>
              <w:right w:val="single" w:color="000000" w:sz="4" w:space="0"/>
              <w:tl2br w:val="nil"/>
              <w:tr2bl w:val="nil"/>
            </w:tcBorders>
            <w:noWrap w:val="0"/>
            <w:vAlign w:val="center"/>
          </w:tcPr>
          <w:p w14:paraId="780A567F">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建设项目</w:t>
            </w:r>
          </w:p>
          <w:p w14:paraId="5258B85B">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申报情形</w:t>
            </w:r>
          </w:p>
        </w:tc>
        <w:tc>
          <w:tcPr>
            <w:tcW w:w="3076" w:type="dxa"/>
            <w:tcBorders>
              <w:left w:val="single" w:color="000000" w:sz="4" w:space="0"/>
              <w:tl2br w:val="nil"/>
              <w:tr2bl w:val="nil"/>
            </w:tcBorders>
            <w:noWrap w:val="0"/>
            <w:vAlign w:val="center"/>
          </w:tcPr>
          <w:p w14:paraId="35B3CCCB">
            <w:pPr>
              <w:keepNext w:val="0"/>
              <w:keepLines w:val="0"/>
              <w:pageBreakBefore w:val="0"/>
              <w:widowControl w:val="0"/>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sym w:font="Wingdings 2" w:char="0052"/>
            </w:r>
            <w:r>
              <w:rPr>
                <w:rFonts w:hint="default" w:ascii="Times New Roman" w:hAnsi="Times New Roman" w:eastAsia="宋体" w:cs="Times New Roman"/>
                <w:color w:val="auto"/>
                <w:sz w:val="24"/>
                <w:szCs w:val="24"/>
              </w:rPr>
              <w:t>首次申报项目</w:t>
            </w:r>
          </w:p>
          <w:p w14:paraId="4F8F2479">
            <w:pPr>
              <w:keepNext w:val="0"/>
              <w:keepLines w:val="0"/>
              <w:pageBreakBefore w:val="0"/>
              <w:widowControl w:val="0"/>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sym w:font="Wingdings 2" w:char="00A3"/>
            </w:r>
            <w:r>
              <w:rPr>
                <w:rFonts w:hint="default" w:ascii="Times New Roman" w:hAnsi="Times New Roman" w:eastAsia="宋体" w:cs="Times New Roman"/>
                <w:color w:val="auto"/>
                <w:sz w:val="24"/>
                <w:szCs w:val="24"/>
              </w:rPr>
              <w:t>不予批准后再次申报项目</w:t>
            </w:r>
          </w:p>
          <w:p w14:paraId="30D64BA1">
            <w:pPr>
              <w:keepNext w:val="0"/>
              <w:keepLines w:val="0"/>
              <w:pageBreakBefore w:val="0"/>
              <w:widowControl w:val="0"/>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sym w:font="Wingdings 2" w:char="00A3"/>
            </w:r>
            <w:r>
              <w:rPr>
                <w:rFonts w:hint="default" w:ascii="Times New Roman" w:hAnsi="Times New Roman" w:eastAsia="宋体" w:cs="Times New Roman"/>
                <w:color w:val="auto"/>
                <w:sz w:val="24"/>
                <w:szCs w:val="24"/>
              </w:rPr>
              <w:t>超五年重新审核项目</w:t>
            </w:r>
          </w:p>
          <w:p w14:paraId="4CFACBA0">
            <w:pPr>
              <w:keepNext w:val="0"/>
              <w:keepLines w:val="0"/>
              <w:pageBreakBefore w:val="0"/>
              <w:widowControl w:val="0"/>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sym w:font="Wingdings 2" w:char="00A3"/>
            </w:r>
            <w:r>
              <w:rPr>
                <w:rFonts w:hint="default" w:ascii="Times New Roman" w:hAnsi="Times New Roman" w:eastAsia="宋体" w:cs="Times New Roman"/>
                <w:color w:val="auto"/>
                <w:sz w:val="24"/>
                <w:szCs w:val="24"/>
              </w:rPr>
              <w:t>重大变动重新报批项目</w:t>
            </w:r>
          </w:p>
        </w:tc>
      </w:tr>
      <w:tr w14:paraId="2379EB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3EA06BF2">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项目审批（核准/</w:t>
            </w:r>
          </w:p>
          <w:p w14:paraId="5CA44AD1">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备案）部门（选填）</w:t>
            </w:r>
          </w:p>
        </w:tc>
        <w:tc>
          <w:tcPr>
            <w:tcW w:w="1891" w:type="dxa"/>
            <w:tcBorders>
              <w:right w:val="single" w:color="000000" w:sz="4" w:space="0"/>
              <w:tl2br w:val="nil"/>
              <w:tr2bl w:val="nil"/>
            </w:tcBorders>
            <w:noWrap w:val="0"/>
            <w:vAlign w:val="center"/>
          </w:tcPr>
          <w:p w14:paraId="6443A7F4">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4"/>
                <w:szCs w:val="24"/>
                <w:lang w:eastAsia="zh-CN"/>
              </w:rPr>
            </w:pPr>
            <w:r>
              <w:rPr>
                <w:rFonts w:hint="eastAsia" w:cs="Times New Roman"/>
                <w:color w:val="auto"/>
                <w:sz w:val="24"/>
                <w:lang w:eastAsia="zh-CN"/>
              </w:rPr>
              <w:t>新乡县发展和改革委员会</w:t>
            </w:r>
          </w:p>
        </w:tc>
        <w:tc>
          <w:tcPr>
            <w:tcW w:w="2049" w:type="dxa"/>
            <w:tcBorders>
              <w:left w:val="single" w:color="000000" w:sz="4" w:space="0"/>
              <w:right w:val="single" w:color="000000" w:sz="4" w:space="0"/>
              <w:tl2br w:val="nil"/>
              <w:tr2bl w:val="nil"/>
            </w:tcBorders>
            <w:noWrap w:val="0"/>
            <w:vAlign w:val="center"/>
          </w:tcPr>
          <w:p w14:paraId="2D0561E1">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项目审批（核准/</w:t>
            </w:r>
          </w:p>
          <w:p w14:paraId="6176FC89">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备案）文号（选填）</w:t>
            </w:r>
          </w:p>
        </w:tc>
        <w:tc>
          <w:tcPr>
            <w:tcW w:w="3076" w:type="dxa"/>
            <w:tcBorders>
              <w:left w:val="single" w:color="000000" w:sz="4" w:space="0"/>
              <w:tl2br w:val="nil"/>
              <w:tr2bl w:val="nil"/>
            </w:tcBorders>
            <w:noWrap w:val="0"/>
            <w:vAlign w:val="center"/>
          </w:tcPr>
          <w:p w14:paraId="3BD6C25E">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w:t>
            </w:r>
          </w:p>
        </w:tc>
      </w:tr>
      <w:tr w14:paraId="1E497C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7FA7FC42">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总投资（万元）</w:t>
            </w:r>
          </w:p>
        </w:tc>
        <w:tc>
          <w:tcPr>
            <w:tcW w:w="1891" w:type="dxa"/>
            <w:tcBorders>
              <w:right w:val="single" w:color="000000" w:sz="4" w:space="0"/>
              <w:tl2br w:val="nil"/>
              <w:tr2bl w:val="nil"/>
            </w:tcBorders>
            <w:noWrap w:val="0"/>
            <w:vAlign w:val="center"/>
          </w:tcPr>
          <w:p w14:paraId="155C834C">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highlight w:val="none"/>
                <w:lang w:val="en-US"/>
              </w:rPr>
            </w:pPr>
            <w:r>
              <w:rPr>
                <w:rFonts w:hint="eastAsia" w:cs="Times New Roman"/>
                <w:color w:val="auto"/>
                <w:sz w:val="24"/>
                <w:szCs w:val="24"/>
                <w:highlight w:val="none"/>
                <w:lang w:val="en-US" w:eastAsia="zh-CN"/>
              </w:rPr>
              <w:t>7000</w:t>
            </w:r>
          </w:p>
        </w:tc>
        <w:tc>
          <w:tcPr>
            <w:tcW w:w="2049" w:type="dxa"/>
            <w:tcBorders>
              <w:left w:val="single" w:color="000000" w:sz="4" w:space="0"/>
              <w:right w:val="single" w:color="000000" w:sz="4" w:space="0"/>
              <w:tl2br w:val="nil"/>
              <w:tr2bl w:val="nil"/>
            </w:tcBorders>
            <w:noWrap w:val="0"/>
            <w:vAlign w:val="center"/>
          </w:tcPr>
          <w:p w14:paraId="634D6901">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环保投资（万元）</w:t>
            </w:r>
          </w:p>
        </w:tc>
        <w:tc>
          <w:tcPr>
            <w:tcW w:w="3076" w:type="dxa"/>
            <w:tcBorders>
              <w:left w:val="single" w:color="000000" w:sz="4" w:space="0"/>
              <w:tl2br w:val="nil"/>
              <w:tr2bl w:val="nil"/>
            </w:tcBorders>
            <w:noWrap w:val="0"/>
            <w:vAlign w:val="center"/>
          </w:tcPr>
          <w:p w14:paraId="37E0FF8A">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15</w:t>
            </w:r>
          </w:p>
        </w:tc>
      </w:tr>
      <w:tr w14:paraId="405EF9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59D47CA2">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环保投资占比（%）</w:t>
            </w:r>
          </w:p>
        </w:tc>
        <w:tc>
          <w:tcPr>
            <w:tcW w:w="1891" w:type="dxa"/>
            <w:tcBorders>
              <w:right w:val="single" w:color="000000" w:sz="4" w:space="0"/>
              <w:tl2br w:val="nil"/>
              <w:tr2bl w:val="nil"/>
            </w:tcBorders>
            <w:noWrap w:val="0"/>
            <w:vAlign w:val="center"/>
          </w:tcPr>
          <w:p w14:paraId="7C3356FD">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0.21</w:t>
            </w:r>
          </w:p>
        </w:tc>
        <w:tc>
          <w:tcPr>
            <w:tcW w:w="2049" w:type="dxa"/>
            <w:tcBorders>
              <w:left w:val="single" w:color="000000" w:sz="4" w:space="0"/>
              <w:right w:val="single" w:color="000000" w:sz="4" w:space="0"/>
              <w:tl2br w:val="nil"/>
              <w:tr2bl w:val="nil"/>
            </w:tcBorders>
            <w:noWrap w:val="0"/>
            <w:vAlign w:val="center"/>
          </w:tcPr>
          <w:p w14:paraId="29310AAC">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施工工期</w:t>
            </w:r>
          </w:p>
        </w:tc>
        <w:tc>
          <w:tcPr>
            <w:tcW w:w="3076" w:type="dxa"/>
            <w:tcBorders>
              <w:left w:val="single" w:color="000000" w:sz="4" w:space="0"/>
              <w:tl2br w:val="nil"/>
              <w:tr2bl w:val="nil"/>
            </w:tcBorders>
            <w:noWrap w:val="0"/>
            <w:vAlign w:val="center"/>
          </w:tcPr>
          <w:p w14:paraId="338CB5F9">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highlight w:val="none"/>
                <w:lang w:val="en-US"/>
              </w:rPr>
            </w:pPr>
            <w:r>
              <w:rPr>
                <w:rFonts w:hint="eastAsia" w:cs="Times New Roman"/>
                <w:color w:val="auto"/>
                <w:sz w:val="24"/>
                <w:szCs w:val="24"/>
                <w:highlight w:val="none"/>
                <w:lang w:val="en-US" w:eastAsia="zh-CN"/>
              </w:rPr>
              <w:t>2026.9-2026.12</w:t>
            </w:r>
          </w:p>
        </w:tc>
      </w:tr>
      <w:tr w14:paraId="1B1DBAC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0BA532DB">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是否开工建设</w:t>
            </w:r>
          </w:p>
        </w:tc>
        <w:tc>
          <w:tcPr>
            <w:tcW w:w="1891" w:type="dxa"/>
            <w:tcBorders>
              <w:right w:val="single" w:color="000000" w:sz="4" w:space="0"/>
              <w:tl2br w:val="nil"/>
              <w:tr2bl w:val="nil"/>
            </w:tcBorders>
            <w:noWrap w:val="0"/>
            <w:vAlign w:val="center"/>
          </w:tcPr>
          <w:p w14:paraId="27490D13">
            <w:pPr>
              <w:keepNext w:val="0"/>
              <w:keepLines w:val="0"/>
              <w:pageBreakBefore w:val="0"/>
              <w:widowControl w:val="0"/>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sym w:font="Wingdings 2" w:char="0052"/>
            </w:r>
            <w:r>
              <w:rPr>
                <w:rFonts w:hint="default" w:ascii="Times New Roman" w:hAnsi="Times New Roman" w:eastAsia="宋体" w:cs="Times New Roman"/>
                <w:color w:val="auto"/>
                <w:sz w:val="24"/>
                <w:szCs w:val="24"/>
              </w:rPr>
              <w:t>否</w:t>
            </w:r>
          </w:p>
          <w:p w14:paraId="79757E8C">
            <w:pPr>
              <w:keepNext w:val="0"/>
              <w:keepLines w:val="0"/>
              <w:pageBreakBefore w:val="0"/>
              <w:widowControl w:val="0"/>
              <w:kinsoku/>
              <w:wordWrap/>
              <w:overflowPunct/>
              <w:topLinePunct w:val="0"/>
              <w:bidi w:val="0"/>
              <w:adjustRightInd/>
              <w:snapToGrid/>
              <w:spacing w:line="240" w:lineRule="auto"/>
              <w:ind w:left="0" w:leftChars="0" w:firstLine="0" w:firstLineChars="0"/>
              <w:jc w:val="left"/>
              <w:textAlignment w:val="auto"/>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szCs w:val="24"/>
                <w:lang w:eastAsia="zh-CN"/>
              </w:rPr>
              <w:sym w:font="Wingdings 2" w:char="00A3"/>
            </w:r>
            <w:r>
              <w:rPr>
                <w:rFonts w:hint="default" w:ascii="Times New Roman" w:hAnsi="Times New Roman" w:eastAsia="宋体" w:cs="Times New Roman"/>
                <w:color w:val="auto"/>
                <w:sz w:val="24"/>
                <w:szCs w:val="24"/>
              </w:rPr>
              <w:t>是：</w:t>
            </w:r>
          </w:p>
        </w:tc>
        <w:tc>
          <w:tcPr>
            <w:tcW w:w="2049" w:type="dxa"/>
            <w:tcBorders>
              <w:left w:val="single" w:color="000000" w:sz="4" w:space="0"/>
              <w:right w:val="single" w:color="000000" w:sz="4" w:space="0"/>
              <w:tl2br w:val="nil"/>
              <w:tr2bl w:val="nil"/>
            </w:tcBorders>
            <w:noWrap w:val="0"/>
            <w:vAlign w:val="center"/>
          </w:tcPr>
          <w:p w14:paraId="333216BE">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pacing w:val="-6"/>
                <w:sz w:val="24"/>
                <w:szCs w:val="24"/>
              </w:rPr>
            </w:pPr>
            <w:r>
              <w:rPr>
                <w:rFonts w:hint="default" w:ascii="Times New Roman" w:hAnsi="Times New Roman" w:eastAsia="宋体" w:cs="Times New Roman"/>
                <w:color w:val="auto"/>
                <w:spacing w:val="-6"/>
                <w:sz w:val="24"/>
                <w:szCs w:val="24"/>
              </w:rPr>
              <w:t>用地（用海）</w:t>
            </w:r>
          </w:p>
          <w:p w14:paraId="28086D07">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pacing w:val="-6"/>
                <w:sz w:val="24"/>
                <w:szCs w:val="24"/>
              </w:rPr>
              <w:t>面积（m</w:t>
            </w:r>
            <w:r>
              <w:rPr>
                <w:rFonts w:hint="default" w:ascii="Times New Roman" w:hAnsi="Times New Roman" w:eastAsia="宋体" w:cs="Times New Roman"/>
                <w:color w:val="auto"/>
                <w:spacing w:val="-6"/>
                <w:sz w:val="24"/>
                <w:szCs w:val="24"/>
                <w:vertAlign w:val="superscript"/>
              </w:rPr>
              <w:t>2</w:t>
            </w:r>
            <w:r>
              <w:rPr>
                <w:rFonts w:hint="default" w:ascii="Times New Roman" w:hAnsi="Times New Roman" w:eastAsia="宋体" w:cs="Times New Roman"/>
                <w:color w:val="auto"/>
                <w:spacing w:val="-6"/>
                <w:sz w:val="24"/>
                <w:szCs w:val="24"/>
              </w:rPr>
              <w:t>）</w:t>
            </w:r>
          </w:p>
        </w:tc>
        <w:tc>
          <w:tcPr>
            <w:tcW w:w="3076" w:type="dxa"/>
            <w:tcBorders>
              <w:left w:val="single" w:color="000000" w:sz="4" w:space="0"/>
              <w:tl2br w:val="nil"/>
              <w:tr2bl w:val="nil"/>
            </w:tcBorders>
            <w:noWrap w:val="0"/>
            <w:vAlign w:val="center"/>
          </w:tcPr>
          <w:p w14:paraId="592E101D">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lang w:val="en-US"/>
              </w:rPr>
            </w:pPr>
            <w:r>
              <w:rPr>
                <w:rFonts w:hint="eastAsia" w:cs="Times New Roman"/>
                <w:color w:val="auto"/>
                <w:sz w:val="24"/>
                <w:szCs w:val="24"/>
                <w:highlight w:val="none"/>
                <w:shd w:val="clear" w:color="auto" w:fill="auto"/>
                <w:lang w:val="en-US" w:eastAsia="zh-CN"/>
              </w:rPr>
              <w:t>14220</w:t>
            </w:r>
          </w:p>
        </w:tc>
      </w:tr>
      <w:tr w14:paraId="108F37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24AE7C57">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rPr>
              <w:t>专项评价设置情况</w:t>
            </w:r>
          </w:p>
        </w:tc>
        <w:tc>
          <w:tcPr>
            <w:tcW w:w="7016" w:type="dxa"/>
            <w:gridSpan w:val="3"/>
            <w:tcBorders>
              <w:tl2br w:val="nil"/>
              <w:tr2bl w:val="nil"/>
            </w:tcBorders>
            <w:noWrap w:val="0"/>
            <w:vAlign w:val="center"/>
          </w:tcPr>
          <w:p w14:paraId="633983F6">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both"/>
              <w:textAlignment w:val="auto"/>
              <w:rPr>
                <w:rFonts w:hint="eastAsia" w:ascii="Times New Roman" w:hAnsi="Times New Roman" w:eastAsia="黑体" w:cs="Times New Roman"/>
                <w:b w:val="0"/>
                <w:bCs w:val="0"/>
                <w:color w:val="auto"/>
                <w:spacing w:val="0"/>
                <w:kern w:val="0"/>
                <w:sz w:val="24"/>
                <w:szCs w:val="24"/>
                <w:lang w:val="en-US" w:eastAsia="zh-CN"/>
              </w:rPr>
            </w:pPr>
            <w:r>
              <w:rPr>
                <w:rFonts w:hint="eastAsia" w:ascii="Times New Roman" w:hAnsi="Times New Roman" w:eastAsia="黑体" w:cs="Times New Roman"/>
                <w:b w:val="0"/>
                <w:bCs w:val="0"/>
                <w:color w:val="auto"/>
                <w:spacing w:val="0"/>
                <w:kern w:val="0"/>
                <w:sz w:val="24"/>
                <w:szCs w:val="24"/>
                <w:lang w:eastAsia="zh-CN"/>
              </w:rPr>
              <w:t>表</w:t>
            </w:r>
            <w:r>
              <w:rPr>
                <w:rFonts w:hint="eastAsia" w:ascii="Times New Roman" w:hAnsi="Times New Roman" w:eastAsia="黑体" w:cs="Times New Roman"/>
                <w:b w:val="0"/>
                <w:bCs w:val="0"/>
                <w:color w:val="auto"/>
                <w:spacing w:val="0"/>
                <w:kern w:val="0"/>
                <w:sz w:val="24"/>
                <w:szCs w:val="24"/>
                <w:lang w:val="en-US" w:eastAsia="zh-CN"/>
              </w:rPr>
              <w:t>1-1      与专项评价设置原则对比一览表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19"/>
              <w:gridCol w:w="3203"/>
              <w:gridCol w:w="2668"/>
            </w:tblGrid>
            <w:tr w14:paraId="1FA0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17" w:type="dxa"/>
                  <w:noWrap w:val="0"/>
                  <w:vAlign w:val="center"/>
                </w:tcPr>
                <w:p w14:paraId="4619883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专项评价的类别</w:t>
                  </w:r>
                </w:p>
              </w:tc>
              <w:tc>
                <w:tcPr>
                  <w:tcW w:w="3543" w:type="dxa"/>
                  <w:noWrap w:val="0"/>
                  <w:vAlign w:val="center"/>
                </w:tcPr>
                <w:p w14:paraId="7DE4F41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设置原则</w:t>
                  </w:r>
                </w:p>
              </w:tc>
              <w:tc>
                <w:tcPr>
                  <w:tcW w:w="2951" w:type="dxa"/>
                  <w:noWrap w:val="0"/>
                  <w:vAlign w:val="center"/>
                </w:tcPr>
                <w:p w14:paraId="7FA1746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与本项目对比</w:t>
                  </w:r>
                </w:p>
              </w:tc>
            </w:tr>
            <w:tr w14:paraId="322EE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17" w:type="dxa"/>
                  <w:noWrap w:val="0"/>
                  <w:vAlign w:val="center"/>
                </w:tcPr>
                <w:p w14:paraId="65E3759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大气</w:t>
                  </w:r>
                </w:p>
              </w:tc>
              <w:tc>
                <w:tcPr>
                  <w:tcW w:w="3543" w:type="dxa"/>
                  <w:noWrap w:val="0"/>
                  <w:vAlign w:val="center"/>
                </w:tcPr>
                <w:p w14:paraId="4F2A7B48">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排放废气含有有毒有害污染物</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1</w:t>
                  </w:r>
                  <w:r>
                    <w:rPr>
                      <w:rFonts w:hint="default" w:ascii="Times New Roman" w:hAnsi="Times New Roman" w:eastAsia="宋体" w:cs="Times New Roman"/>
                      <w:color w:val="000000" w:themeColor="text1"/>
                      <w:kern w:val="0"/>
                      <w:sz w:val="21"/>
                      <w:szCs w:val="21"/>
                      <w:lang w:bidi="ar"/>
                      <w14:textFill>
                        <w14:solidFill>
                          <w14:schemeClr w14:val="tx1"/>
                        </w14:solidFill>
                      </w14:textFill>
                    </w:rPr>
                    <w:t>、二噁英、苯并[a]芘、氰化物、氯气且厂界外500米范围内有环境空气保护目标2的建设项目。</w:t>
                  </w:r>
                </w:p>
              </w:tc>
              <w:tc>
                <w:tcPr>
                  <w:tcW w:w="2951" w:type="dxa"/>
                  <w:noWrap w:val="0"/>
                  <w:vAlign w:val="center"/>
                </w:tcPr>
                <w:p w14:paraId="69A2B42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bidi="ar"/>
                      <w14:textFill>
                        <w14:solidFill>
                          <w14:schemeClr w14:val="tx1"/>
                        </w14:solidFill>
                      </w14:textFill>
                    </w:rPr>
                    <w:t>本项目</w:t>
                  </w:r>
                  <w:r>
                    <w:rPr>
                      <w:rFonts w:hint="eastAsia" w:ascii="Times New Roman" w:hAnsi="Times New Roman" w:eastAsia="宋体" w:cs="Times New Roman"/>
                      <w:color w:val="000000" w:themeColor="text1"/>
                      <w:kern w:val="0"/>
                      <w:sz w:val="21"/>
                      <w:szCs w:val="21"/>
                      <w:highlight w:val="none"/>
                      <w:lang w:eastAsia="zh-CN" w:bidi="ar"/>
                      <w14:textFill>
                        <w14:solidFill>
                          <w14:schemeClr w14:val="tx1"/>
                        </w14:solidFill>
                      </w14:textFill>
                    </w:rPr>
                    <w:t>不涉及生产废气</w:t>
                  </w:r>
                  <w:r>
                    <w:rPr>
                      <w:rFonts w:hint="eastAsia" w:ascii="Times New Roman" w:hAnsi="Times New Roman" w:eastAsia="宋体" w:cs="Times New Roman"/>
                      <w:color w:val="000000" w:themeColor="text1"/>
                      <w:kern w:val="0"/>
                      <w:sz w:val="21"/>
                      <w:szCs w:val="21"/>
                      <w:highlight w:val="none"/>
                      <w:lang w:bidi="ar"/>
                      <w14:textFill>
                        <w14:solidFill>
                          <w14:schemeClr w14:val="tx1"/>
                        </w14:solidFill>
                      </w14:textFill>
                    </w:rPr>
                    <w:t>，因此本项目无需设置大气专项评价。</w:t>
                  </w:r>
                </w:p>
              </w:tc>
            </w:tr>
            <w:tr w14:paraId="0551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17" w:type="dxa"/>
                  <w:noWrap w:val="0"/>
                  <w:vAlign w:val="center"/>
                </w:tcPr>
                <w:p w14:paraId="40355AA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地表水</w:t>
                  </w:r>
                </w:p>
              </w:tc>
              <w:tc>
                <w:tcPr>
                  <w:tcW w:w="3543" w:type="dxa"/>
                  <w:noWrap w:val="0"/>
                  <w:vAlign w:val="center"/>
                </w:tcPr>
                <w:p w14:paraId="1C55F35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新增工业废水直排建设项目（槽罐车外送污水处理厂的除外）；</w:t>
                  </w:r>
                </w:p>
                <w:p w14:paraId="1F8D1F5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新增废水直排的污水集中处理厂。</w:t>
                  </w:r>
                </w:p>
              </w:tc>
              <w:tc>
                <w:tcPr>
                  <w:tcW w:w="2951" w:type="dxa"/>
                  <w:noWrap w:val="0"/>
                  <w:vAlign w:val="center"/>
                </w:tcPr>
                <w:p w14:paraId="0292DA8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本项目不涉及生产废水，</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生活污水经</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厂区内</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化粪池处理后</w:t>
                  </w:r>
                  <w:r>
                    <w:rPr>
                      <w:rFonts w:hint="eastAsia" w:cs="Times New Roman"/>
                      <w:color w:val="000000" w:themeColor="text1"/>
                      <w:kern w:val="0"/>
                      <w:sz w:val="21"/>
                      <w:szCs w:val="21"/>
                      <w:highlight w:val="none"/>
                      <w:lang w:val="en-US" w:eastAsia="zh-CN" w:bidi="ar"/>
                      <w14:textFill>
                        <w14:solidFill>
                          <w14:schemeClr w14:val="tx1"/>
                        </w14:solidFill>
                      </w14:textFill>
                    </w:rPr>
                    <w:t>排入污水管网</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，因此本项目无需设置地表水专项评价</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p>
              </w:tc>
            </w:tr>
            <w:tr w14:paraId="2439D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17" w:type="dxa"/>
                  <w:noWrap w:val="0"/>
                  <w:vAlign w:val="center"/>
                </w:tcPr>
                <w:p w14:paraId="64301571">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环境风险</w:t>
                  </w:r>
                </w:p>
              </w:tc>
              <w:tc>
                <w:tcPr>
                  <w:tcW w:w="3543" w:type="dxa"/>
                  <w:noWrap w:val="0"/>
                  <w:vAlign w:val="center"/>
                </w:tcPr>
                <w:p w14:paraId="42A72F5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有毒有害和易燃易爆危险物质储量超过临界量的建设项目。</w:t>
                  </w:r>
                </w:p>
              </w:tc>
              <w:tc>
                <w:tcPr>
                  <w:tcW w:w="2951" w:type="dxa"/>
                  <w:noWrap w:val="0"/>
                  <w:vAlign w:val="center"/>
                </w:tcPr>
                <w:p w14:paraId="69597F6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本项目不涉及有毒有害和易燃易爆危险物质</w:t>
                  </w:r>
                  <w:r>
                    <w:rPr>
                      <w:rFonts w:hint="eastAsia" w:ascii="Times New Roman" w:hAnsi="Times New Roman" w:eastAsia="宋体" w:cs="Times New Roman"/>
                      <w:color w:val="000000" w:themeColor="text1"/>
                      <w:kern w:val="0"/>
                      <w:sz w:val="21"/>
                      <w:szCs w:val="21"/>
                      <w:lang w:eastAsia="zh-CN" w:bidi="ar"/>
                      <w14:textFill>
                        <w14:solidFill>
                          <w14:schemeClr w14:val="tx1"/>
                        </w14:solidFill>
                      </w14:textFill>
                    </w:rPr>
                    <w:t>，</w:t>
                  </w:r>
                  <w:r>
                    <w:rPr>
                      <w:rFonts w:hint="eastAsia" w:ascii="宋体" w:hAnsi="宋体" w:eastAsia="宋体" w:cs="宋体"/>
                      <w:color w:val="000000" w:themeColor="text1"/>
                      <w:kern w:val="0"/>
                      <w:sz w:val="21"/>
                      <w:szCs w:val="21"/>
                      <w:lang w:val="en-US" w:eastAsia="zh-CN" w:bidi="ar"/>
                      <w14:textFill>
                        <w14:solidFill>
                          <w14:schemeClr w14:val="tx1"/>
                        </w14:solidFill>
                      </w14:textFill>
                    </w:rPr>
                    <w:t>无需设置环境风险专项评价</w:t>
                  </w:r>
                  <w:r>
                    <w:rPr>
                      <w:rFonts w:hint="default" w:ascii="Times New Roman" w:hAnsi="Times New Roman" w:eastAsia="宋体" w:cs="Times New Roman"/>
                      <w:color w:val="000000" w:themeColor="text1"/>
                      <w:kern w:val="0"/>
                      <w:sz w:val="21"/>
                      <w:szCs w:val="21"/>
                      <w:lang w:bidi="ar"/>
                      <w14:textFill>
                        <w14:solidFill>
                          <w14:schemeClr w14:val="tx1"/>
                        </w14:solidFill>
                      </w14:textFill>
                    </w:rPr>
                    <w:t>。</w:t>
                  </w:r>
                </w:p>
              </w:tc>
            </w:tr>
            <w:tr w14:paraId="0D05C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17" w:type="dxa"/>
                  <w:noWrap w:val="0"/>
                  <w:vAlign w:val="center"/>
                </w:tcPr>
                <w:p w14:paraId="41821D4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生态</w:t>
                  </w:r>
                </w:p>
              </w:tc>
              <w:tc>
                <w:tcPr>
                  <w:tcW w:w="3543" w:type="dxa"/>
                  <w:noWrap w:val="0"/>
                  <w:vAlign w:val="center"/>
                </w:tcPr>
                <w:p w14:paraId="13D6C5A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取水口下游500米范围内有重要水生生物的自然产卵场、索饵场、越冬场和洄游通道的新增河道取水的污染类建设项目。</w:t>
                  </w:r>
                </w:p>
              </w:tc>
              <w:tc>
                <w:tcPr>
                  <w:tcW w:w="2951" w:type="dxa"/>
                  <w:noWrap w:val="0"/>
                  <w:vAlign w:val="center"/>
                </w:tcPr>
                <w:p w14:paraId="02A4717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000000" w:themeColor="text1"/>
                      <w:kern w:val="0"/>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eastAsia="zh-CN" w:bidi="ar"/>
                      <w14:textFill>
                        <w14:solidFill>
                          <w14:schemeClr w14:val="tx1"/>
                        </w14:solidFill>
                      </w14:textFill>
                    </w:rPr>
                    <w:t>本项目</w:t>
                  </w:r>
                  <w:r>
                    <w:rPr>
                      <w:rFonts w:hint="eastAsia" w:ascii="Times New Roman" w:hAnsi="Times New Roman" w:eastAsia="宋体" w:cs="Times New Roman"/>
                      <w:color w:val="000000" w:themeColor="text1"/>
                      <w:kern w:val="0"/>
                      <w:sz w:val="21"/>
                      <w:szCs w:val="21"/>
                      <w:lang w:eastAsia="zh-CN" w:bidi="ar"/>
                      <w14:textFill>
                        <w14:solidFill>
                          <w14:schemeClr w14:val="tx1"/>
                        </w14:solidFill>
                      </w14:textFill>
                    </w:rPr>
                    <w:t>所用新鲜水</w:t>
                  </w:r>
                  <w:r>
                    <w:rPr>
                      <w:rFonts w:hint="default" w:ascii="Times New Roman" w:hAnsi="Times New Roman" w:eastAsia="宋体" w:cs="Times New Roman"/>
                      <w:color w:val="000000" w:themeColor="text1"/>
                      <w:kern w:val="0"/>
                      <w:sz w:val="21"/>
                      <w:szCs w:val="21"/>
                      <w:lang w:eastAsia="zh-CN" w:bidi="ar"/>
                      <w14:textFill>
                        <w14:solidFill>
                          <w14:schemeClr w14:val="tx1"/>
                        </w14:solidFill>
                      </w14:textFill>
                    </w:rPr>
                    <w:t>来自自来水管网</w:t>
                  </w:r>
                  <w:r>
                    <w:rPr>
                      <w:rFonts w:hint="eastAsia" w:ascii="Times New Roman" w:hAnsi="Times New Roman" w:eastAsia="宋体" w:cs="Times New Roman"/>
                      <w:color w:val="000000" w:themeColor="text1"/>
                      <w:kern w:val="0"/>
                      <w:sz w:val="21"/>
                      <w:szCs w:val="21"/>
                      <w:lang w:eastAsia="zh-CN" w:bidi="ar"/>
                      <w14:textFill>
                        <w14:solidFill>
                          <w14:schemeClr w14:val="tx1"/>
                        </w14:solidFill>
                      </w14:textFill>
                    </w:rPr>
                    <w:t>，</w:t>
                  </w: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不涉及河道取水，无需设置生态专项评价</w:t>
                  </w:r>
                  <w:r>
                    <w:rPr>
                      <w:rFonts w:hint="default" w:ascii="Times New Roman" w:hAnsi="Times New Roman" w:eastAsia="宋体" w:cs="Times New Roman"/>
                      <w:color w:val="000000" w:themeColor="text1"/>
                      <w:kern w:val="0"/>
                      <w:sz w:val="21"/>
                      <w:szCs w:val="21"/>
                      <w:lang w:eastAsia="zh-CN" w:bidi="ar"/>
                      <w14:textFill>
                        <w14:solidFill>
                          <w14:schemeClr w14:val="tx1"/>
                        </w14:solidFill>
                      </w14:textFill>
                    </w:rPr>
                    <w:t>。</w:t>
                  </w:r>
                </w:p>
              </w:tc>
            </w:tr>
            <w:tr w14:paraId="41389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1017" w:type="dxa"/>
                  <w:noWrap w:val="0"/>
                  <w:vAlign w:val="center"/>
                </w:tcPr>
                <w:p w14:paraId="3B6B121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海洋</w:t>
                  </w:r>
                </w:p>
              </w:tc>
              <w:tc>
                <w:tcPr>
                  <w:tcW w:w="3543" w:type="dxa"/>
                  <w:noWrap w:val="0"/>
                  <w:vAlign w:val="center"/>
                </w:tcPr>
                <w:p w14:paraId="27C24A7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000000" w:themeColor="text1"/>
                      <w:kern w:val="0"/>
                      <w:sz w:val="21"/>
                      <w:szCs w:val="21"/>
                      <w:lang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直接向海排放污染物的海洋工程建设项目。</w:t>
                  </w:r>
                </w:p>
              </w:tc>
              <w:tc>
                <w:tcPr>
                  <w:tcW w:w="2951" w:type="dxa"/>
                  <w:noWrap w:val="0"/>
                  <w:vAlign w:val="center"/>
                </w:tcPr>
                <w:p w14:paraId="615EA18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eastAsia" w:ascii="Times New Roman" w:hAnsi="Times New Roman" w:eastAsia="宋体" w:cs="Times New Roman"/>
                      <w:color w:val="000000" w:themeColor="text1"/>
                      <w:kern w:val="0"/>
                      <w:sz w:val="21"/>
                      <w:szCs w:val="21"/>
                      <w:lang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bidi="ar"/>
                      <w14:textFill>
                        <w14:solidFill>
                          <w14:schemeClr w14:val="tx1"/>
                        </w14:solidFill>
                      </w14:textFill>
                    </w:rPr>
                    <w:t>本项目不涉及海洋工程，无需设置海洋专项评价</w:t>
                  </w:r>
                  <w:r>
                    <w:rPr>
                      <w:rFonts w:hint="eastAsia" w:ascii="Times New Roman" w:hAnsi="Times New Roman" w:eastAsia="宋体" w:cs="Times New Roman"/>
                      <w:color w:val="000000" w:themeColor="text1"/>
                      <w:kern w:val="0"/>
                      <w:sz w:val="21"/>
                      <w:szCs w:val="21"/>
                      <w:lang w:eastAsia="zh-CN" w:bidi="ar"/>
                      <w14:textFill>
                        <w14:solidFill>
                          <w14:schemeClr w14:val="tx1"/>
                        </w14:solidFill>
                      </w14:textFill>
                    </w:rPr>
                    <w:t>。</w:t>
                  </w:r>
                </w:p>
              </w:tc>
            </w:tr>
            <w:tr w14:paraId="6316B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7511" w:type="dxa"/>
                  <w:gridSpan w:val="3"/>
                  <w:noWrap w:val="0"/>
                  <w:vAlign w:val="center"/>
                </w:tcPr>
                <w:p w14:paraId="7A448FD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kern w:val="0"/>
                      <w:sz w:val="21"/>
                      <w:szCs w:val="21"/>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注：1.废气中有毒有害污染物指纳入《有毒有害大气污染物》的污染物（不包括无排放标准的污染物）。</w:t>
                  </w:r>
                </w:p>
                <w:p w14:paraId="62504BF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hint="default" w:ascii="Times New Roman" w:hAnsi="Times New Roman" w:eastAsia="宋体" w:cs="Times New Roman"/>
                      <w:b/>
                      <w:bCs/>
                      <w:color w:val="000000" w:themeColor="text1"/>
                      <w:kern w:val="0"/>
                      <w:sz w:val="21"/>
                      <w:szCs w:val="21"/>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2.环境空气保护目标指自然保护区、风景名胜区、居住区、文化区和农村地区中人群较集中的区域。</w:t>
                  </w:r>
                </w:p>
                <w:p w14:paraId="7C80ED6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textAlignment w:val="auto"/>
                    <w:rPr>
                      <w:rFonts w:hint="default" w:ascii="Times New Roman" w:hAnsi="Times New Roman" w:eastAsia="宋体" w:cs="Times New Roman"/>
                      <w:color w:val="000000" w:themeColor="text1"/>
                      <w:kern w:val="0"/>
                      <w:sz w:val="21"/>
                      <w:szCs w:val="21"/>
                      <w:lang w:bidi="ar"/>
                      <w14:textFill>
                        <w14:solidFill>
                          <w14:schemeClr w14:val="tx1"/>
                        </w14:solidFill>
                      </w14:textFill>
                    </w:rPr>
                  </w:pPr>
                  <w:r>
                    <w:rPr>
                      <w:rFonts w:hint="default" w:ascii="Times New Roman" w:hAnsi="Times New Roman" w:eastAsia="宋体" w:cs="Times New Roman"/>
                      <w:b/>
                      <w:bCs/>
                      <w:color w:val="000000" w:themeColor="text1"/>
                      <w:kern w:val="0"/>
                      <w:sz w:val="21"/>
                      <w:szCs w:val="21"/>
                      <w:lang w:bidi="ar"/>
                      <w14:textFill>
                        <w14:solidFill>
                          <w14:schemeClr w14:val="tx1"/>
                        </w14:solidFill>
                      </w14:textFill>
                    </w:rPr>
                    <w:t>3.临界量及其计算方法可参考《建设项目环境风险评价技术导则》（HJ 169）附录B、附录C。</w:t>
                  </w:r>
                </w:p>
              </w:tc>
            </w:tr>
          </w:tbl>
          <w:p w14:paraId="57686D5E">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480" w:firstLineChars="200"/>
              <w:jc w:val="both"/>
              <w:textAlignment w:val="auto"/>
              <w:rPr>
                <w:rFonts w:hint="default" w:cs="Times New Roman"/>
                <w:color w:val="auto"/>
                <w:kern w:val="0"/>
                <w:sz w:val="24"/>
                <w:szCs w:val="24"/>
                <w:lang w:val="en-US" w:eastAsia="zh-CN"/>
              </w:rPr>
            </w:pPr>
            <w:r>
              <w:rPr>
                <w:rFonts w:hint="eastAsia" w:ascii="宋体" w:hAnsi="宋体" w:cs="宋体"/>
                <w:color w:val="auto"/>
                <w:kern w:val="0"/>
                <w:sz w:val="24"/>
              </w:rPr>
              <w:t>综上所述，本项目</w:t>
            </w:r>
            <w:r>
              <w:rPr>
                <w:rFonts w:hint="eastAsia" w:ascii="宋体" w:hAnsi="宋体" w:cs="宋体"/>
                <w:color w:val="auto"/>
                <w:kern w:val="0"/>
                <w:sz w:val="24"/>
                <w:lang w:eastAsia="zh-CN"/>
              </w:rPr>
              <w:t>无</w:t>
            </w:r>
            <w:r>
              <w:rPr>
                <w:rFonts w:hint="eastAsia" w:ascii="宋体" w:hAnsi="宋体" w:cs="宋体"/>
                <w:color w:val="auto"/>
                <w:kern w:val="0"/>
                <w:sz w:val="24"/>
                <w:highlight w:val="none"/>
                <w:lang w:bidi="ar"/>
              </w:rPr>
              <w:t>需设置专项评价</w:t>
            </w:r>
            <w:r>
              <w:rPr>
                <w:rFonts w:hint="eastAsia" w:ascii="宋体" w:hAnsi="宋体" w:cs="宋体"/>
                <w:color w:val="auto"/>
                <w:kern w:val="0"/>
                <w:sz w:val="24"/>
              </w:rPr>
              <w:t>。</w:t>
            </w:r>
          </w:p>
        </w:tc>
      </w:tr>
      <w:tr w14:paraId="2D4C0C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044" w:type="dxa"/>
            <w:gridSpan w:val="2"/>
            <w:tcBorders>
              <w:tl2br w:val="nil"/>
              <w:tr2bl w:val="nil"/>
            </w:tcBorders>
            <w:noWrap w:val="0"/>
            <w:vAlign w:val="center"/>
          </w:tcPr>
          <w:p w14:paraId="7C9DDEE0">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规划情况</w:t>
            </w:r>
          </w:p>
        </w:tc>
        <w:tc>
          <w:tcPr>
            <w:tcW w:w="7016" w:type="dxa"/>
            <w:gridSpan w:val="3"/>
            <w:tcBorders>
              <w:tl2br w:val="nil"/>
              <w:tr2bl w:val="nil"/>
            </w:tcBorders>
            <w:noWrap w:val="0"/>
            <w:vAlign w:val="center"/>
          </w:tcPr>
          <w:p w14:paraId="214471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0" w:firstLineChars="0"/>
              <w:jc w:val="both"/>
              <w:textAlignment w:val="auto"/>
              <w:rPr>
                <w:rFonts w:hint="eastAsia" w:ascii="Times New Roman" w:hAnsi="Times New Roman" w:eastAsia="宋体" w:cs="Times New Roman"/>
                <w:b w:val="0"/>
                <w:bCs w:val="0"/>
                <w:color w:val="000000" w:themeColor="text1"/>
                <w:sz w:val="24"/>
                <w:szCs w:val="24"/>
                <w:u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t>1、规划文件名称：《新乡县智能制造产业园区总体发展规划（2021-2035）》</w:t>
            </w:r>
            <w:r>
              <w:rPr>
                <w:rFonts w:hint="eastAsia" w:cs="Times New Roman"/>
                <w:b w:val="0"/>
                <w:bCs w:val="0"/>
                <w:color w:val="000000" w:themeColor="text1"/>
                <w:sz w:val="24"/>
                <w:szCs w:val="24"/>
                <w:u w:val="none"/>
                <w:lang w:eastAsia="zh-CN"/>
                <w14:textFill>
                  <w14:solidFill>
                    <w14:schemeClr w14:val="tx1"/>
                  </w14:solidFill>
                </w14:textFill>
              </w:rPr>
              <w:t>；</w:t>
            </w:r>
          </w:p>
          <w:p w14:paraId="7846EC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0" w:firstLineChars="0"/>
              <w:jc w:val="both"/>
              <w:textAlignment w:val="auto"/>
              <w:rPr>
                <w:rFonts w:hint="eastAsia" w:ascii="Times New Roman" w:hAnsi="Times New Roman" w:eastAsia="宋体" w:cs="Times New Roman"/>
                <w:b w:val="0"/>
                <w:bCs w:val="0"/>
                <w:color w:val="000000" w:themeColor="text1"/>
                <w:sz w:val="24"/>
                <w:szCs w:val="24"/>
                <w:u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t>2、审批机关：新乡县发展和改革委员会</w:t>
            </w:r>
            <w:r>
              <w:rPr>
                <w:rFonts w:hint="eastAsia" w:cs="Times New Roman"/>
                <w:b w:val="0"/>
                <w:bCs w:val="0"/>
                <w:color w:val="000000" w:themeColor="text1"/>
                <w:sz w:val="24"/>
                <w:szCs w:val="24"/>
                <w:u w:val="none"/>
                <w:lang w:eastAsia="zh-CN"/>
                <w14:textFill>
                  <w14:solidFill>
                    <w14:schemeClr w14:val="tx1"/>
                  </w14:solidFill>
                </w14:textFill>
              </w:rPr>
              <w:t>；</w:t>
            </w:r>
          </w:p>
          <w:p w14:paraId="6F70F524">
            <w:pPr>
              <w:keepNext w:val="0"/>
              <w:keepLines w:val="0"/>
              <w:pageBreakBefore w:val="0"/>
              <w:widowControl w:val="0"/>
              <w:kinsoku/>
              <w:wordWrap/>
              <w:overflowPunct/>
              <w:topLinePunct w:val="0"/>
              <w:autoSpaceDE w:val="0"/>
              <w:autoSpaceDN w:val="0"/>
              <w:bidi w:val="0"/>
              <w:adjustRightInd/>
              <w:snapToGrid/>
              <w:spacing w:line="520" w:lineRule="exact"/>
              <w:ind w:firstLine="0" w:firstLineChars="0"/>
              <w:jc w:val="center"/>
              <w:textAlignment w:val="auto"/>
              <w:outlineLvl w:val="9"/>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t>3、审批文件名称及文号：《新乡县智能制造产业园区总体发展规划（2021-2035）》</w:t>
            </w:r>
            <w:r>
              <w:rPr>
                <w:rFonts w:hint="eastAsia" w:cs="Times New Roman"/>
                <w:b w:val="0"/>
                <w:bCs w:val="0"/>
                <w:color w:val="000000" w:themeColor="text1"/>
                <w:sz w:val="24"/>
                <w:szCs w:val="24"/>
                <w:u w:val="none"/>
                <w:lang w:val="en-US" w:eastAsia="zh-CN"/>
                <w14:textFill>
                  <w14:solidFill>
                    <w14:schemeClr w14:val="tx1"/>
                  </w14:solidFill>
                </w14:textFill>
              </w:rPr>
              <w:t>的批复</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t>，</w:t>
            </w:r>
            <w:r>
              <w:rPr>
                <w:rFonts w:hint="eastAsia" w:cs="Times New Roman"/>
                <w:b w:val="0"/>
                <w:bCs w:val="0"/>
                <w:color w:val="000000" w:themeColor="text1"/>
                <w:sz w:val="24"/>
                <w:szCs w:val="24"/>
                <w:u w:val="none"/>
                <w:lang w:val="en-US" w:eastAsia="zh-CN"/>
                <w14:textFill>
                  <w14:solidFill>
                    <w14:schemeClr w14:val="tx1"/>
                  </w14:solidFill>
                </w14:textFill>
              </w:rPr>
              <w:t>批文文号：新发改[2020]146号。</w:t>
            </w:r>
          </w:p>
        </w:tc>
      </w:tr>
      <w:tr w14:paraId="71ABA6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6" w:hRule="atLeast"/>
          <w:jc w:val="center"/>
        </w:trPr>
        <w:tc>
          <w:tcPr>
            <w:tcW w:w="2044" w:type="dxa"/>
            <w:gridSpan w:val="2"/>
            <w:tcBorders>
              <w:tl2br w:val="nil"/>
              <w:tr2bl w:val="nil"/>
            </w:tcBorders>
            <w:noWrap w:val="0"/>
            <w:vAlign w:val="center"/>
          </w:tcPr>
          <w:p w14:paraId="2FDBB392">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规划环境影响</w:t>
            </w:r>
          </w:p>
          <w:p w14:paraId="33FCA4B5">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评价情况</w:t>
            </w:r>
          </w:p>
        </w:tc>
        <w:tc>
          <w:tcPr>
            <w:tcW w:w="7016" w:type="dxa"/>
            <w:gridSpan w:val="3"/>
            <w:tcBorders>
              <w:tl2br w:val="nil"/>
              <w:tr2bl w:val="nil"/>
            </w:tcBorders>
            <w:noWrap w:val="0"/>
            <w:vAlign w:val="center"/>
          </w:tcPr>
          <w:p w14:paraId="1761EB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0" w:firstLineChars="0"/>
              <w:jc w:val="both"/>
              <w:textAlignment w:val="auto"/>
              <w:rPr>
                <w:rFonts w:hint="eastAsia" w:ascii="Times New Roman" w:hAnsi="Times New Roman" w:eastAsia="宋体" w:cs="Times New Roman"/>
                <w:b w:val="0"/>
                <w:bCs w:val="0"/>
                <w:color w:val="000000" w:themeColor="text1"/>
                <w:sz w:val="24"/>
                <w:szCs w:val="24"/>
                <w:u w:val="none"/>
                <w:lang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u w:val="none"/>
                <w14:textFill>
                  <w14:solidFill>
                    <w14:schemeClr w14:val="tx1"/>
                  </w14:solidFill>
                </w14:textFill>
              </w:rPr>
              <w:t>1、规划环境影响评价文件：《新乡县智能制造产业园区总体发展规划（202</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t>1</w:t>
            </w:r>
            <w:r>
              <w:rPr>
                <w:rFonts w:hint="eastAsia" w:ascii="Times New Roman" w:hAnsi="Times New Roman" w:eastAsia="宋体" w:cs="Times New Roman"/>
                <w:b w:val="0"/>
                <w:bCs w:val="0"/>
                <w:color w:val="000000" w:themeColor="text1"/>
                <w:sz w:val="24"/>
                <w:szCs w:val="24"/>
                <w:u w:val="none"/>
                <w14:textFill>
                  <w14:solidFill>
                    <w14:schemeClr w14:val="tx1"/>
                  </w14:solidFill>
                </w14:textFill>
              </w:rPr>
              <w:t>-2035）环境影响报告书》</w:t>
            </w:r>
            <w:r>
              <w:rPr>
                <w:rFonts w:hint="eastAsia" w:cs="Times New Roman"/>
                <w:b w:val="0"/>
                <w:bCs w:val="0"/>
                <w:color w:val="000000" w:themeColor="text1"/>
                <w:sz w:val="24"/>
                <w:szCs w:val="24"/>
                <w:u w:val="none"/>
                <w:lang w:eastAsia="zh-CN"/>
                <w14:textFill>
                  <w14:solidFill>
                    <w14:schemeClr w14:val="tx1"/>
                  </w14:solidFill>
                </w14:textFill>
              </w:rPr>
              <w:t>；</w:t>
            </w:r>
          </w:p>
          <w:p w14:paraId="14C1BA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0" w:firstLineChars="0"/>
              <w:jc w:val="both"/>
              <w:textAlignment w:val="auto"/>
              <w:rPr>
                <w:rFonts w:hint="eastAsia" w:ascii="Times New Roman" w:hAnsi="Times New Roman" w:eastAsia="宋体" w:cs="Times New Roman"/>
                <w:b w:val="0"/>
                <w:bCs w:val="0"/>
                <w:color w:val="000000" w:themeColor="text1"/>
                <w:sz w:val="24"/>
                <w:szCs w:val="24"/>
                <w:u w:val="none"/>
                <w:lang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u w:val="none"/>
                <w14:textFill>
                  <w14:solidFill>
                    <w14:schemeClr w14:val="tx1"/>
                  </w14:solidFill>
                </w14:textFill>
              </w:rPr>
              <w:t>2、召集审查机关：新乡市生态环境局新乡县分局</w:t>
            </w:r>
            <w:r>
              <w:rPr>
                <w:rFonts w:hint="eastAsia" w:cs="Times New Roman"/>
                <w:b w:val="0"/>
                <w:bCs w:val="0"/>
                <w:color w:val="000000" w:themeColor="text1"/>
                <w:sz w:val="24"/>
                <w:szCs w:val="24"/>
                <w:u w:val="none"/>
                <w:lang w:eastAsia="zh-CN"/>
                <w14:textFill>
                  <w14:solidFill>
                    <w14:schemeClr w14:val="tx1"/>
                  </w14:solidFill>
                </w14:textFill>
              </w:rPr>
              <w:t>；</w:t>
            </w:r>
          </w:p>
          <w:p w14:paraId="6747593E">
            <w:pPr>
              <w:keepNext w:val="0"/>
              <w:keepLines w:val="0"/>
              <w:pageBreakBefore w:val="0"/>
              <w:widowControl w:val="0"/>
              <w:kinsoku/>
              <w:wordWrap/>
              <w:overflowPunct/>
              <w:topLinePunct w:val="0"/>
              <w:bidi w:val="0"/>
              <w:adjustRightInd/>
              <w:snapToGrid/>
              <w:spacing w:line="520" w:lineRule="exact"/>
              <w:ind w:firstLine="0" w:firstLineChars="0"/>
              <w:jc w:val="both"/>
              <w:textAlignment w:val="auto"/>
              <w:rPr>
                <w:rFonts w:hint="default" w:cs="Times New Roman"/>
                <w:b w:val="0"/>
                <w:bCs w:val="0"/>
                <w:color w:val="000000" w:themeColor="text1"/>
                <w:sz w:val="24"/>
                <w:szCs w:val="24"/>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4"/>
                <w:szCs w:val="24"/>
                <w:u w:val="none"/>
                <w14:textFill>
                  <w14:solidFill>
                    <w14:schemeClr w14:val="tx1"/>
                  </w14:solidFill>
                </w14:textFill>
              </w:rPr>
              <w:t>3、审批文件名称及文号：《新乡县智能制造产业园区总体发展规划（202</w:t>
            </w:r>
            <w:r>
              <w:rPr>
                <w:rFonts w:hint="default" w:ascii="Times New Roman" w:hAnsi="Times New Roman" w:eastAsia="宋体" w:cs="Times New Roman"/>
                <w:b w:val="0"/>
                <w:bCs w:val="0"/>
                <w:color w:val="000000" w:themeColor="text1"/>
                <w:sz w:val="24"/>
                <w:szCs w:val="24"/>
                <w:u w:val="none"/>
                <w14:textFill>
                  <w14:solidFill>
                    <w14:schemeClr w14:val="tx1"/>
                  </w14:solidFill>
                </w14:textFill>
              </w:rPr>
              <w:t>1</w:t>
            </w:r>
            <w:r>
              <w:rPr>
                <w:rFonts w:hint="eastAsia" w:ascii="Times New Roman" w:hAnsi="Times New Roman" w:eastAsia="宋体" w:cs="Times New Roman"/>
                <w:b w:val="0"/>
                <w:bCs w:val="0"/>
                <w:color w:val="000000" w:themeColor="text1"/>
                <w:sz w:val="24"/>
                <w:szCs w:val="24"/>
                <w:u w:val="none"/>
                <w14:textFill>
                  <w14:solidFill>
                    <w14:schemeClr w14:val="tx1"/>
                  </w14:solidFill>
                </w14:textFill>
              </w:rPr>
              <w:t>-2035）环境影响报告书</w:t>
            </w:r>
            <w:r>
              <w:rPr>
                <w:rFonts w:hint="eastAsia" w:cs="Times New Roman"/>
                <w:b w:val="0"/>
                <w:bCs w:val="0"/>
                <w:color w:val="000000" w:themeColor="text1"/>
                <w:sz w:val="24"/>
                <w:szCs w:val="24"/>
                <w:u w:val="none"/>
                <w:lang w:val="en-US" w:eastAsia="zh-CN"/>
                <w14:textFill>
                  <w14:solidFill>
                    <w14:schemeClr w14:val="tx1"/>
                  </w14:solidFill>
                </w14:textFill>
              </w:rPr>
              <w:t>的审查意见</w:t>
            </w:r>
            <w:r>
              <w:rPr>
                <w:rFonts w:hint="eastAsia" w:ascii="Times New Roman" w:hAnsi="Times New Roman" w:eastAsia="宋体" w:cs="Times New Roman"/>
                <w:b w:val="0"/>
                <w:bCs w:val="0"/>
                <w:color w:val="000000" w:themeColor="text1"/>
                <w:sz w:val="24"/>
                <w:szCs w:val="24"/>
                <w:u w:val="none"/>
                <w14:textFill>
                  <w14:solidFill>
                    <w14:schemeClr w14:val="tx1"/>
                  </w14:solidFill>
                </w14:textFill>
              </w:rPr>
              <w:t>》，</w:t>
            </w:r>
            <w:r>
              <w:rPr>
                <w:rFonts w:hint="eastAsia" w:cs="Times New Roman"/>
                <w:b w:val="0"/>
                <w:bCs w:val="0"/>
                <w:color w:val="000000" w:themeColor="text1"/>
                <w:sz w:val="24"/>
                <w:szCs w:val="24"/>
                <w:u w:val="none"/>
                <w:lang w:val="en-US" w:eastAsia="zh-CN"/>
                <w14:textFill>
                  <w14:solidFill>
                    <w14:schemeClr w14:val="tx1"/>
                  </w14:solidFill>
                </w14:textFill>
              </w:rPr>
              <w:t>新环书审查[2023]1号。</w:t>
            </w:r>
          </w:p>
        </w:tc>
      </w:tr>
      <w:tr w14:paraId="77A6AB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2044" w:type="dxa"/>
            <w:gridSpan w:val="2"/>
            <w:tcBorders>
              <w:tl2br w:val="nil"/>
              <w:tr2bl w:val="nil"/>
            </w:tcBorders>
            <w:noWrap w:val="0"/>
            <w:vAlign w:val="center"/>
          </w:tcPr>
          <w:p w14:paraId="77828FFB">
            <w:pPr>
              <w:keepNext w:val="0"/>
              <w:keepLines w:val="0"/>
              <w:pageBreakBefore w:val="0"/>
              <w:widowControl w:val="0"/>
              <w:kinsoku/>
              <w:wordWrap/>
              <w:overflowPunct/>
              <w:topLinePunct w:val="0"/>
              <w:bidi w:val="0"/>
              <w:adjustRightInd/>
              <w:snapToGrid/>
              <w:spacing w:line="240" w:lineRule="auto"/>
              <w:ind w:left="0" w:leftChars="0" w:firstLine="0" w:firstLineChars="0"/>
              <w:jc w:val="center"/>
              <w:textAlignment w:val="auto"/>
              <w:rPr>
                <w:rFonts w:hint="eastAsia" w:ascii="Times New Roman" w:hAnsi="Times New Roman" w:eastAsia="宋体" w:cs="Times New Roman"/>
                <w:color w:val="auto"/>
                <w:sz w:val="24"/>
                <w:szCs w:val="24"/>
                <w:lang w:eastAsia="zh-CN"/>
              </w:rPr>
            </w:pPr>
            <w:r>
              <w:rPr>
                <w:rFonts w:hint="eastAsia" w:cs="Times New Roman"/>
                <w:color w:val="auto"/>
                <w:sz w:val="24"/>
                <w:szCs w:val="24"/>
                <w:lang w:eastAsia="zh-CN"/>
              </w:rPr>
              <w:t>规划及规划环境影响评价符合性分析</w:t>
            </w:r>
          </w:p>
        </w:tc>
        <w:tc>
          <w:tcPr>
            <w:tcW w:w="7016" w:type="dxa"/>
            <w:gridSpan w:val="3"/>
            <w:tcBorders>
              <w:tl2br w:val="nil"/>
              <w:tr2bl w:val="nil"/>
            </w:tcBorders>
            <w:noWrap w:val="0"/>
            <w:vAlign w:val="center"/>
          </w:tcPr>
          <w:p w14:paraId="29508B8B">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20" w:lineRule="exact"/>
              <w:ind w:left="0" w:right="0" w:firstLine="482" w:firstLineChars="200"/>
              <w:jc w:val="both"/>
              <w:textAlignment w:val="auto"/>
              <w:rPr>
                <w:rFonts w:hint="default" w:ascii="Times New Roman" w:hAnsi="Times New Roman" w:eastAsia="宋体" w:cs="Times New Roman"/>
                <w:b/>
                <w:bCs/>
                <w:color w:val="000000" w:themeColor="text1"/>
                <w:lang w:val="en-US" w:eastAsia="zh-CN"/>
                <w14:textFill>
                  <w14:solidFill>
                    <w14:schemeClr w14:val="tx1"/>
                  </w14:solidFill>
                </w14:textFill>
              </w:rPr>
            </w:pPr>
            <w:r>
              <w:rPr>
                <w:rFonts w:hint="eastAsia"/>
                <w:b/>
                <w:bCs/>
                <w:color w:val="000000" w:themeColor="text1"/>
                <w:lang w:val="en-US" w:eastAsia="zh-CN"/>
                <w14:textFill>
                  <w14:solidFill>
                    <w14:schemeClr w14:val="tx1"/>
                  </w14:solidFill>
                </w14:textFill>
              </w:rPr>
              <w:t>1</w:t>
            </w:r>
            <w:r>
              <w:rPr>
                <w:rFonts w:hint="default" w:ascii="Times New Roman" w:hAnsi="Times New Roman" w:eastAsia="宋体"/>
                <w:b/>
                <w:bCs/>
                <w:color w:val="000000" w:themeColor="text1"/>
                <w:lang w:val="en-US" w:eastAsia="zh-CN"/>
                <w14:textFill>
                  <w14:solidFill>
                    <w14:schemeClr w14:val="tx1"/>
                  </w14:solidFill>
                </w14:textFill>
              </w:rPr>
              <w:t>、</w:t>
            </w:r>
            <w:r>
              <w:rPr>
                <w:rFonts w:hint="eastAsia" w:ascii="Times New Roman" w:hAnsi="Times New Roman" w:eastAsia="宋体"/>
                <w:b/>
                <w:bCs/>
                <w:color w:val="000000" w:themeColor="text1"/>
                <w14:textFill>
                  <w14:solidFill>
                    <w14:schemeClr w14:val="tx1"/>
                  </w14:solidFill>
                </w14:textFill>
              </w:rPr>
              <w:t>本项目</w:t>
            </w:r>
            <w:r>
              <w:rPr>
                <w:rFonts w:hint="eastAsia" w:ascii="Times New Roman" w:hAnsi="Times New Roman" w:eastAsia="宋体" w:cs="Times New Roman"/>
                <w:b/>
                <w:bCs/>
                <w:color w:val="000000" w:themeColor="text1"/>
                <w:lang w:val="en-US" w:eastAsia="zh-CN"/>
                <w14:textFill>
                  <w14:solidFill>
                    <w14:schemeClr w14:val="tx1"/>
                  </w14:solidFill>
                </w14:textFill>
              </w:rPr>
              <w:t>与新乡县智能制造产业园区准入条件和负面清单</w:t>
            </w:r>
            <w:r>
              <w:rPr>
                <w:rFonts w:hint="default" w:ascii="Times New Roman" w:hAnsi="Times New Roman" w:eastAsia="宋体" w:cs="Times New Roman"/>
                <w:b/>
                <w:bCs/>
                <w:color w:val="000000" w:themeColor="text1"/>
                <w:lang w:val="en-US" w:eastAsia="zh-CN"/>
                <w14:textFill>
                  <w14:solidFill>
                    <w14:schemeClr w14:val="tx1"/>
                  </w14:solidFill>
                </w14:textFill>
              </w:rPr>
              <w:t>相符性分析</w:t>
            </w:r>
          </w:p>
          <w:p w14:paraId="3056A667">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20" w:lineRule="exact"/>
              <w:ind w:left="0" w:right="0" w:firstLine="480" w:firstLineChars="200"/>
              <w:jc w:val="both"/>
              <w:textAlignment w:val="auto"/>
              <w:rPr>
                <w:rFonts w:hint="eastAsia" w:ascii="Times New Roman" w:hAnsi="Times New Roman" w:eastAsia="宋体"/>
                <w:color w:val="000000" w:themeColor="text1"/>
                <w:u w:val="none"/>
                <w:lang w:eastAsia="zh-CN"/>
                <w14:textFill>
                  <w14:solidFill>
                    <w14:schemeClr w14:val="tx1"/>
                  </w14:solidFill>
                </w14:textFill>
              </w:rPr>
            </w:pPr>
            <w:r>
              <w:rPr>
                <w:rFonts w:hint="eastAsia" w:cs="Times New Roman"/>
                <w:bCs/>
                <w:color w:val="auto"/>
                <w:spacing w:val="0"/>
                <w:kern w:val="2"/>
                <w:sz w:val="24"/>
                <w:szCs w:val="24"/>
                <w:lang w:val="en-US" w:eastAsia="zh-CN" w:bidi="ar-SA"/>
              </w:rPr>
              <w:t xml:space="preserve">表1-2   </w:t>
            </w:r>
            <w:r>
              <w:rPr>
                <w:rFonts w:hint="eastAsia" w:ascii="Times New Roman" w:hAnsi="Times New Roman" w:eastAsia="黑体" w:cs="Times New Roman"/>
                <w:bCs/>
                <w:color w:val="auto"/>
                <w:spacing w:val="0"/>
                <w:kern w:val="2"/>
                <w:sz w:val="24"/>
                <w:szCs w:val="24"/>
                <w:lang w:val="en-US" w:eastAsia="zh-CN" w:bidi="ar-SA"/>
              </w:rPr>
              <w:t>项目与园区准入条件对照情况一览表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1"/>
              <w:gridCol w:w="3049"/>
              <w:gridCol w:w="2576"/>
              <w:gridCol w:w="574"/>
            </w:tblGrid>
            <w:tr w14:paraId="5393D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tcBorders>
                    <w:bottom w:val="single" w:color="auto" w:sz="8" w:space="0"/>
                  </w:tcBorders>
                  <w:noWrap w:val="0"/>
                  <w:vAlign w:val="center"/>
                </w:tcPr>
                <w:p w14:paraId="2F62B05F">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b w:val="0"/>
                      <w:b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b w:val="0"/>
                      <w:bCs w:val="0"/>
                      <w:color w:val="000000" w:themeColor="text1"/>
                      <w:sz w:val="21"/>
                      <w:szCs w:val="21"/>
                      <w:u w:val="none"/>
                      <w:lang w:val="en-US" w:eastAsia="zh-CN"/>
                      <w14:textFill>
                        <w14:solidFill>
                          <w14:schemeClr w14:val="tx1"/>
                        </w14:solidFill>
                      </w14:textFill>
                    </w:rPr>
                    <w:t>类别</w:t>
                  </w:r>
                </w:p>
              </w:tc>
              <w:tc>
                <w:tcPr>
                  <w:tcW w:w="2244" w:type="pct"/>
                  <w:tcBorders>
                    <w:bottom w:val="single" w:color="auto" w:sz="8" w:space="0"/>
                  </w:tcBorders>
                  <w:noWrap w:val="0"/>
                  <w:vAlign w:val="center"/>
                </w:tcPr>
                <w:p w14:paraId="7111ABFD">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eastAsia" w:ascii="Times New Roman" w:hAnsi="Times New Roman" w:eastAsia="宋体"/>
                      <w:b w:val="0"/>
                      <w:b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b w:val="0"/>
                      <w:bCs w:val="0"/>
                      <w:color w:val="000000" w:themeColor="text1"/>
                      <w:sz w:val="21"/>
                      <w:szCs w:val="21"/>
                      <w:u w:val="none"/>
                      <w:lang w:val="en-US" w:eastAsia="zh-CN"/>
                      <w14:textFill>
                        <w14:solidFill>
                          <w14:schemeClr w14:val="tx1"/>
                        </w14:solidFill>
                      </w14:textFill>
                    </w:rPr>
                    <w:t>准入条件</w:t>
                  </w:r>
                </w:p>
              </w:tc>
              <w:tc>
                <w:tcPr>
                  <w:tcW w:w="1897" w:type="pct"/>
                  <w:tcBorders>
                    <w:bottom w:val="single" w:color="auto" w:sz="8" w:space="0"/>
                  </w:tcBorders>
                  <w:noWrap w:val="0"/>
                  <w:vAlign w:val="center"/>
                </w:tcPr>
                <w:p w14:paraId="1447D434">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b w:val="0"/>
                      <w:b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b w:val="0"/>
                      <w:bCs w:val="0"/>
                      <w:color w:val="000000" w:themeColor="text1"/>
                      <w:sz w:val="21"/>
                      <w:szCs w:val="21"/>
                      <w:u w:val="none"/>
                      <w:lang w:val="en-US" w:eastAsia="zh-CN"/>
                      <w14:textFill>
                        <w14:solidFill>
                          <w14:schemeClr w14:val="tx1"/>
                        </w14:solidFill>
                      </w14:textFill>
                    </w:rPr>
                    <w:t>本项目情况</w:t>
                  </w:r>
                </w:p>
              </w:tc>
              <w:tc>
                <w:tcPr>
                  <w:tcW w:w="423" w:type="pct"/>
                  <w:tcBorders>
                    <w:bottom w:val="single" w:color="auto" w:sz="8" w:space="0"/>
                  </w:tcBorders>
                  <w:noWrap w:val="0"/>
                  <w:vAlign w:val="center"/>
                </w:tcPr>
                <w:p w14:paraId="4F569AD1">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eastAsia" w:ascii="Times New Roman" w:hAnsi="Times New Roman" w:eastAsia="宋体"/>
                      <w:b w:val="0"/>
                      <w:bCs w:val="0"/>
                      <w:color w:val="000000" w:themeColor="text1"/>
                      <w:sz w:val="21"/>
                      <w:szCs w:val="21"/>
                      <w:u w:val="none"/>
                      <w:lang w:val="en-US" w:eastAsia="zh-CN"/>
                      <w14:textFill>
                        <w14:solidFill>
                          <w14:schemeClr w14:val="tx1"/>
                        </w14:solidFill>
                      </w14:textFill>
                    </w:rPr>
                  </w:pPr>
                  <w:r>
                    <w:rPr>
                      <w:rFonts w:hint="eastAsia" w:ascii="Times New Roman" w:hAnsi="Times New Roman" w:eastAsia="宋体"/>
                      <w:b w:val="0"/>
                      <w:bCs w:val="0"/>
                      <w:color w:val="000000" w:themeColor="text1"/>
                      <w:sz w:val="21"/>
                      <w:szCs w:val="21"/>
                      <w:u w:val="none"/>
                      <w:lang w:val="en-US" w:eastAsia="zh-CN"/>
                      <w14:textFill>
                        <w14:solidFill>
                          <w14:schemeClr w14:val="tx1"/>
                        </w14:solidFill>
                      </w14:textFill>
                    </w:rPr>
                    <w:t>相符性</w:t>
                  </w:r>
                </w:p>
              </w:tc>
            </w:tr>
            <w:tr w14:paraId="28221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restart"/>
                  <w:tcBorders>
                    <w:top w:val="single" w:color="auto" w:sz="8" w:space="0"/>
                  </w:tcBorders>
                  <w:noWrap w:val="0"/>
                  <w:vAlign w:val="center"/>
                </w:tcPr>
                <w:p w14:paraId="3F0ECD23">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空间布局约束</w:t>
                  </w:r>
                </w:p>
              </w:tc>
              <w:tc>
                <w:tcPr>
                  <w:tcW w:w="2244" w:type="pct"/>
                  <w:tcBorders>
                    <w:top w:val="single" w:color="auto" w:sz="8" w:space="0"/>
                  </w:tcBorders>
                  <w:noWrap w:val="0"/>
                  <w:vAlign w:val="center"/>
                </w:tcPr>
                <w:p w14:paraId="40588E9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1、鼓励引进与园区产业定位及产业规划相符的项目入驻，与园区产业链相关的轻污染项目优先入园。</w:t>
                  </w:r>
                </w:p>
              </w:tc>
              <w:tc>
                <w:tcPr>
                  <w:tcW w:w="1897" w:type="pct"/>
                  <w:tcBorders>
                    <w:top w:val="single" w:color="auto" w:sz="8" w:space="0"/>
                  </w:tcBorders>
                  <w:noWrap w:val="0"/>
                  <w:vAlign w:val="center"/>
                </w:tcPr>
                <w:p w14:paraId="2781200F">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本项目位于新乡县智能制造产业园区</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的智能装备园区</w:t>
                  </w:r>
                  <w:r>
                    <w:rPr>
                      <w:rFonts w:hint="eastAsia"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属于</w:t>
                  </w:r>
                  <w:r>
                    <w:rPr>
                      <w:rFonts w:hint="eastAsia" w:ascii="Times New Roman" w:cs="Times New Roman"/>
                      <w:color w:val="000000" w:themeColor="text1"/>
                      <w:sz w:val="21"/>
                      <w:szCs w:val="21"/>
                      <w:lang w:val="en-US" w:eastAsia="zh-CN"/>
                      <w14:textFill>
                        <w14:solidFill>
                          <w14:schemeClr w14:val="tx1"/>
                        </w14:solidFill>
                      </w14:textFill>
                    </w:rPr>
                    <w:t>机械零部件制造</w:t>
                  </w:r>
                  <w:r>
                    <w:rPr>
                      <w:rFonts w:hint="eastAsia" w:ascii="Times New Roman" w:hAnsi="Times New Roman" w:eastAsia="宋体" w:cs="Times New Roman"/>
                      <w:color w:val="000000" w:themeColor="text1"/>
                      <w:sz w:val="21"/>
                      <w:szCs w:val="21"/>
                      <w14:textFill>
                        <w14:solidFill>
                          <w14:schemeClr w14:val="tx1"/>
                        </w14:solidFill>
                      </w14:textFill>
                    </w:rPr>
                    <w:t>，</w:t>
                  </w:r>
                  <w:r>
                    <w:rPr>
                      <w:rFonts w:hint="eastAsia" w:ascii="Times New Roman" w:cs="Times New Roman"/>
                      <w:color w:val="000000" w:themeColor="text1"/>
                      <w:sz w:val="21"/>
                      <w:szCs w:val="21"/>
                      <w:lang w:eastAsia="zh-CN"/>
                      <w14:textFill>
                        <w14:solidFill>
                          <w14:schemeClr w14:val="tx1"/>
                        </w14:solidFill>
                      </w14:textFill>
                    </w:rPr>
                    <w:t>符合园区产业定位</w:t>
                  </w:r>
                  <w:r>
                    <w:rPr>
                      <w:rFonts w:hint="eastAsia" w:ascii="Times New Roman" w:hAnsi="Times New Roman" w:eastAsia="宋体" w:cs="Times New Roman"/>
                      <w:color w:val="000000" w:themeColor="text1"/>
                      <w:sz w:val="21"/>
                      <w:szCs w:val="21"/>
                      <w14:textFill>
                        <w14:solidFill>
                          <w14:schemeClr w14:val="tx1"/>
                        </w14:solidFill>
                      </w14:textFill>
                    </w:rPr>
                    <w:t>，允许入驻。</w:t>
                  </w:r>
                </w:p>
              </w:tc>
              <w:tc>
                <w:tcPr>
                  <w:tcW w:w="423" w:type="pct"/>
                  <w:tcBorders>
                    <w:top w:val="single" w:color="auto" w:sz="8" w:space="0"/>
                  </w:tcBorders>
                  <w:noWrap w:val="0"/>
                  <w:vAlign w:val="center"/>
                </w:tcPr>
                <w:p w14:paraId="02340E97">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kern w:val="0"/>
                      <w:sz w:val="21"/>
                      <w:szCs w:val="21"/>
                      <w:u w:val="none"/>
                      <w:lang w:val="en-US" w:eastAsia="zh-CN" w:bidi="ar-SA"/>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3042E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35" w:type="pct"/>
                  <w:vMerge w:val="continue"/>
                  <w:noWrap w:val="0"/>
                  <w:vAlign w:val="center"/>
                </w:tcPr>
                <w:p w14:paraId="7144BC8E">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3002B69A">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2、鼓励与园区产业定位及产业规划相符的项目退城入园。</w:t>
                  </w:r>
                </w:p>
              </w:tc>
              <w:tc>
                <w:tcPr>
                  <w:tcW w:w="1897" w:type="pct"/>
                  <w:noWrap w:val="0"/>
                  <w:vAlign w:val="center"/>
                </w:tcPr>
                <w:p w14:paraId="602E824F">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本项目位于新乡县智能制造产业园区，</w:t>
                  </w:r>
                  <w:r>
                    <w:rPr>
                      <w:rFonts w:hint="eastAsia" w:ascii="Times New Roman" w:cs="Times New Roman"/>
                      <w:color w:val="000000" w:themeColor="text1"/>
                      <w:sz w:val="21"/>
                      <w:szCs w:val="21"/>
                      <w:lang w:eastAsia="zh-CN"/>
                      <w14:textFill>
                        <w14:solidFill>
                          <w14:schemeClr w14:val="tx1"/>
                        </w14:solidFill>
                      </w14:textFill>
                    </w:rPr>
                    <w:t>符合园区产业定位</w:t>
                  </w:r>
                  <w:r>
                    <w:rPr>
                      <w:rFonts w:hint="eastAsia" w:ascii="Times New Roman" w:hAnsi="Times New Roman" w:eastAsia="宋体" w:cs="Times New Roman"/>
                      <w:color w:val="000000" w:themeColor="text1"/>
                      <w:sz w:val="21"/>
                      <w:szCs w:val="21"/>
                      <w14:textFill>
                        <w14:solidFill>
                          <w14:schemeClr w14:val="tx1"/>
                        </w14:solidFill>
                      </w14:textFill>
                    </w:rPr>
                    <w:t>，允许入驻。</w:t>
                  </w:r>
                </w:p>
              </w:tc>
              <w:tc>
                <w:tcPr>
                  <w:tcW w:w="423" w:type="pct"/>
                  <w:noWrap w:val="0"/>
                  <w:vAlign w:val="center"/>
                </w:tcPr>
                <w:p w14:paraId="089D2298">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olor w:val="000000" w:themeColor="text1"/>
                      <w:u w:val="none"/>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5FA3F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7F353E20">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46569BF6">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3、优先引进与园区产业定位及产业规划相符且污染小、污染防治措施技术先进的项目。</w:t>
                  </w:r>
                </w:p>
              </w:tc>
              <w:tc>
                <w:tcPr>
                  <w:tcW w:w="1897" w:type="pct"/>
                  <w:noWrap w:val="0"/>
                  <w:vAlign w:val="center"/>
                </w:tcPr>
                <w:p w14:paraId="2A7E5471">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本项目</w:t>
                  </w:r>
                  <w:r>
                    <w:rPr>
                      <w:rFonts w:hint="eastAsia" w:ascii="Times New Roman" w:cs="Times New Roman"/>
                      <w:color w:val="000000" w:themeColor="text1"/>
                      <w:sz w:val="21"/>
                      <w:szCs w:val="21"/>
                      <w:lang w:eastAsia="zh-CN"/>
                      <w14:textFill>
                        <w14:solidFill>
                          <w14:schemeClr w14:val="tx1"/>
                        </w14:solidFill>
                      </w14:textFill>
                    </w:rPr>
                    <w:t>符合园区产业定位</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r>
                    <w:rPr>
                      <w:rFonts w:hint="eastAsia" w:ascii="Times New Roman" w:hAnsi="Times New Roman" w:eastAsia="宋体" w:cs="Times New Roman"/>
                      <w:color w:val="000000" w:themeColor="text1"/>
                      <w:sz w:val="21"/>
                      <w:szCs w:val="21"/>
                      <w14:textFill>
                        <w14:solidFill>
                          <w14:schemeClr w14:val="tx1"/>
                        </w14:solidFill>
                      </w14:textFill>
                    </w:rPr>
                    <w:t>允许入驻</w:t>
                  </w:r>
                  <w:r>
                    <w:rPr>
                      <w:rFonts w:hint="eastAsia" w:ascii="Times New Roman" w:hAnsi="Times New Roman" w:eastAsia="宋体" w:cs="Times New Roman"/>
                      <w:color w:val="000000" w:themeColor="text1"/>
                      <w:sz w:val="21"/>
                      <w:szCs w:val="21"/>
                      <w:lang w:eastAsia="zh-CN"/>
                      <w14:textFill>
                        <w14:solidFill>
                          <w14:schemeClr w14:val="tx1"/>
                        </w14:solidFill>
                      </w14:textFill>
                    </w:rPr>
                    <w:t>。</w:t>
                  </w:r>
                </w:p>
              </w:tc>
              <w:tc>
                <w:tcPr>
                  <w:tcW w:w="423" w:type="pct"/>
                  <w:noWrap w:val="0"/>
                  <w:vAlign w:val="center"/>
                </w:tcPr>
                <w:p w14:paraId="168BCC30">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3DA7C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55CD0DDF">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51720B40">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4、入驻项目须符合生态环境保护法律法规和相关法定规划，满足重点污染物排放总量控制、碳排放达峰目标、生态环境准入清单、相关规划环评和相应行业建设项目环境准入条件、环评文件审批原则要求。</w:t>
                  </w:r>
                </w:p>
              </w:tc>
              <w:tc>
                <w:tcPr>
                  <w:tcW w:w="1897" w:type="pct"/>
                  <w:noWrap w:val="0"/>
                  <w:vAlign w:val="center"/>
                </w:tcPr>
                <w:p w14:paraId="19636F21">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本项目符合生态环境保护法律法规和相关法定规划，满足重点污染物排放总量控制、碳排放达峰目标、生态环境准入清单、相关规划环评和相应行业建设项目环境准入条件、环评文件审批原则要求。</w:t>
                  </w:r>
                </w:p>
              </w:tc>
              <w:tc>
                <w:tcPr>
                  <w:tcW w:w="423" w:type="pct"/>
                  <w:noWrap w:val="0"/>
                  <w:vAlign w:val="center"/>
                </w:tcPr>
                <w:p w14:paraId="16595A9E">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0E475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5513A825">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1437A328">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5、在大阳堤东岳庙文物保护范围及建设控制地带范围内的入驻企业应征得相应文物行政主管部门同意，严格按照文物保护法相关要求进行建设活动。</w:t>
                  </w:r>
                </w:p>
              </w:tc>
              <w:tc>
                <w:tcPr>
                  <w:tcW w:w="1897" w:type="pct"/>
                  <w:noWrap w:val="0"/>
                  <w:vAlign w:val="center"/>
                </w:tcPr>
                <w:p w14:paraId="6142794A">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lang w:val="en-US"/>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本项目位于</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新乡市新乡县翟坡镇东大阳堤村村西中央大道东侧</w:t>
                  </w:r>
                  <w:r>
                    <w:rPr>
                      <w:rFonts w:hint="eastAsia" w:ascii="Times New Roman" w:hAnsi="Times New Roman" w:eastAsia="宋体" w:cs="Times New Roman"/>
                      <w:color w:val="000000" w:themeColor="text1"/>
                      <w:sz w:val="21"/>
                      <w:szCs w:val="21"/>
                      <w14:textFill>
                        <w14:solidFill>
                          <w14:schemeClr w14:val="tx1"/>
                        </w14:solidFill>
                      </w14:textFill>
                    </w:rPr>
                    <w:t>，</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本项目位于</w:t>
                  </w:r>
                  <w:r>
                    <w:rPr>
                      <w:rFonts w:hint="eastAsia" w:ascii="Times New Roman" w:hAnsi="Times New Roman" w:eastAsia="宋体" w:cs="Times New Roman"/>
                      <w:color w:val="000000" w:themeColor="text1"/>
                      <w:sz w:val="21"/>
                      <w:szCs w:val="21"/>
                      <w:highlight w:val="none"/>
                      <w14:textFill>
                        <w14:solidFill>
                          <w14:schemeClr w14:val="tx1"/>
                        </w14:solidFill>
                      </w14:textFill>
                    </w:rPr>
                    <w:t>大阳堤东岳庙</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北3562m处，不在</w:t>
                  </w:r>
                  <w:r>
                    <w:rPr>
                      <w:rFonts w:hint="eastAsia" w:ascii="Times New Roman" w:hAnsi="Times New Roman" w:eastAsia="宋体" w:cs="Times New Roman"/>
                      <w:color w:val="000000" w:themeColor="text1"/>
                      <w:sz w:val="21"/>
                      <w:szCs w:val="21"/>
                      <w14:textFill>
                        <w14:solidFill>
                          <w14:schemeClr w14:val="tx1"/>
                        </w14:solidFill>
                      </w14:textFill>
                    </w:rPr>
                    <w:t>大阳堤东岳庙文物保护范围及建设控制地带范围。</w:t>
                  </w:r>
                </w:p>
              </w:tc>
              <w:tc>
                <w:tcPr>
                  <w:tcW w:w="423" w:type="pct"/>
                  <w:noWrap w:val="0"/>
                  <w:vAlign w:val="center"/>
                </w:tcPr>
                <w:p w14:paraId="11B85FB7">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4E6ED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02962049">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3D524B13">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6、对引进有防护距离要求的项目，结合园区周边敏感点村庄情况进行合理布局，其防护距离内不得有村庄、学校等敏感点。</w:t>
                  </w:r>
                </w:p>
              </w:tc>
              <w:tc>
                <w:tcPr>
                  <w:tcW w:w="1897" w:type="pct"/>
                  <w:noWrap w:val="0"/>
                  <w:vAlign w:val="center"/>
                </w:tcPr>
                <w:p w14:paraId="57DC2044">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s="Times New Roman"/>
                      <w:color w:val="000000" w:themeColor="text1"/>
                      <w:kern w:val="0"/>
                      <w:sz w:val="21"/>
                      <w:szCs w:val="21"/>
                      <w14:textFill>
                        <w14:solidFill>
                          <w14:schemeClr w14:val="tx1"/>
                        </w14:solidFill>
                      </w14:textFill>
                    </w:rPr>
                    <w:t>本项目</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为</w:t>
                  </w:r>
                  <w:r>
                    <w:rPr>
                      <w:rFonts w:hint="eastAsia" w:ascii="Times New Roman" w:cs="Times New Roman"/>
                      <w:color w:val="000000" w:themeColor="text1"/>
                      <w:sz w:val="21"/>
                      <w:szCs w:val="21"/>
                      <w:lang w:val="en-US" w:eastAsia="zh-CN"/>
                      <w14:textFill>
                        <w14:solidFill>
                          <w14:schemeClr w14:val="tx1"/>
                        </w14:solidFill>
                      </w14:textFill>
                    </w:rPr>
                    <w:t>机械零部件制造</w:t>
                  </w:r>
                  <w:r>
                    <w:rPr>
                      <w:rFonts w:hint="default" w:ascii="Times New Roman" w:hAnsi="Times New Roman" w:eastAsia="宋体" w:cs="Times New Roman"/>
                      <w:color w:val="000000" w:themeColor="text1"/>
                      <w:sz w:val="21"/>
                      <w:szCs w:val="21"/>
                      <w14:textFill>
                        <w14:solidFill>
                          <w14:schemeClr w14:val="tx1"/>
                        </w14:solidFill>
                      </w14:textFill>
                    </w:rPr>
                    <w:t>，</w:t>
                  </w:r>
                  <w:r>
                    <w:rPr>
                      <w:rFonts w:hint="eastAsia" w:ascii="Times New Roman" w:cs="Times New Roman"/>
                      <w:color w:val="000000" w:themeColor="text1"/>
                      <w:sz w:val="21"/>
                      <w:szCs w:val="21"/>
                      <w:lang w:eastAsia="zh-CN"/>
                      <w14:textFill>
                        <w14:solidFill>
                          <w14:schemeClr w14:val="tx1"/>
                        </w14:solidFill>
                      </w14:textFill>
                    </w:rPr>
                    <w:t>不设环境防护距离</w:t>
                  </w:r>
                  <w:r>
                    <w:rPr>
                      <w:rFonts w:hint="default" w:ascii="Times New Roman" w:hAnsi="Times New Roman" w:eastAsia="宋体" w:cs="Times New Roman"/>
                      <w:color w:val="000000" w:themeColor="text1"/>
                      <w:sz w:val="21"/>
                      <w:szCs w:val="21"/>
                      <w:lang w:eastAsia="zh-CN"/>
                      <w14:textFill>
                        <w14:solidFill>
                          <w14:schemeClr w14:val="tx1"/>
                        </w14:solidFill>
                      </w14:textFill>
                    </w:rPr>
                    <w:t>。</w:t>
                  </w:r>
                </w:p>
              </w:tc>
              <w:tc>
                <w:tcPr>
                  <w:tcW w:w="423" w:type="pct"/>
                  <w:noWrap w:val="0"/>
                  <w:vAlign w:val="center"/>
                </w:tcPr>
                <w:p w14:paraId="3EA12838">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56DDC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restart"/>
                  <w:noWrap w:val="0"/>
                  <w:vAlign w:val="center"/>
                </w:tcPr>
                <w:p w14:paraId="624171FE">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污染物排放管控</w:t>
                  </w:r>
                </w:p>
              </w:tc>
              <w:tc>
                <w:tcPr>
                  <w:tcW w:w="2244" w:type="pct"/>
                  <w:noWrap w:val="0"/>
                  <w:vAlign w:val="center"/>
                </w:tcPr>
                <w:p w14:paraId="39A17F9A">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1、入驻园区项目的生产工艺、设备、污染治理技术，以及单位产品水耗、能耗、物耗、污染物排放和资源利用率等均需达到同行业国内先进水平或国际领先水平。</w:t>
                  </w:r>
                </w:p>
              </w:tc>
              <w:tc>
                <w:tcPr>
                  <w:tcW w:w="1897" w:type="pct"/>
                  <w:noWrap w:val="0"/>
                  <w:vAlign w:val="center"/>
                </w:tcPr>
                <w:p w14:paraId="08BDD052">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olor w:val="000000" w:themeColor="text1"/>
                      <w:sz w:val="21"/>
                      <w:szCs w:val="21"/>
                      <w14:textFill>
                        <w14:solidFill>
                          <w14:schemeClr w14:val="tx1"/>
                        </w14:solidFill>
                      </w14:textFill>
                    </w:rPr>
                    <w:t>本项目</w:t>
                  </w:r>
                  <w:r>
                    <w:rPr>
                      <w:rFonts w:hint="eastAsia" w:ascii="Times New Roman" w:hAnsi="Times New Roman" w:eastAsia="宋体"/>
                      <w:color w:val="000000" w:themeColor="text1"/>
                      <w:sz w:val="21"/>
                      <w:szCs w:val="21"/>
                      <w14:textFill>
                        <w14:solidFill>
                          <w14:schemeClr w14:val="tx1"/>
                        </w14:solidFill>
                      </w14:textFill>
                    </w:rPr>
                    <w:t>生产工艺、设备、污染治理技术、</w:t>
                  </w:r>
                  <w:r>
                    <w:rPr>
                      <w:rFonts w:hint="default" w:ascii="Times New Roman" w:hAnsi="Times New Roman" w:eastAsia="宋体"/>
                      <w:color w:val="000000" w:themeColor="text1"/>
                      <w:sz w:val="21"/>
                      <w:szCs w:val="21"/>
                      <w14:textFill>
                        <w14:solidFill>
                          <w14:schemeClr w14:val="tx1"/>
                        </w14:solidFill>
                      </w14:textFill>
                    </w:rPr>
                    <w:t>单位产品水耗、能耗、污染物排放量等</w:t>
                  </w:r>
                  <w:r>
                    <w:rPr>
                      <w:rFonts w:hint="eastAsia" w:ascii="Times New Roman" w:hAnsi="Times New Roman" w:eastAsia="宋体" w:cs="Times New Roman"/>
                      <w:color w:val="000000" w:themeColor="text1"/>
                      <w:spacing w:val="-4"/>
                      <w:sz w:val="21"/>
                      <w:szCs w:val="21"/>
                      <w:lang w:val="en-US" w:eastAsia="zh-CN"/>
                      <w14:textFill>
                        <w14:solidFill>
                          <w14:schemeClr w14:val="tx1"/>
                        </w14:solidFill>
                      </w14:textFill>
                    </w:rPr>
                    <w:t>清洁生产水平</w:t>
                  </w:r>
                  <w:r>
                    <w:rPr>
                      <w:rFonts w:hint="eastAsia" w:ascii="Times New Roman" w:hAnsi="Times New Roman" w:eastAsia="宋体" w:cs="Times New Roman"/>
                      <w:color w:val="000000" w:themeColor="text1"/>
                      <w:spacing w:val="-4"/>
                      <w:sz w:val="21"/>
                      <w:szCs w:val="21"/>
                      <w:lang w:val="en-GB"/>
                      <w14:textFill>
                        <w14:solidFill>
                          <w14:schemeClr w14:val="tx1"/>
                        </w14:solidFill>
                      </w14:textFill>
                    </w:rPr>
                    <w:t>达到国内同行业</w:t>
                  </w:r>
                  <w:r>
                    <w:rPr>
                      <w:rFonts w:hint="eastAsia" w:ascii="Times New Roman" w:hAnsi="Times New Roman" w:eastAsia="宋体" w:cs="Times New Roman"/>
                      <w:color w:val="000000" w:themeColor="text1"/>
                      <w:spacing w:val="-4"/>
                      <w:sz w:val="21"/>
                      <w:szCs w:val="21"/>
                      <w:lang w:val="en-US" w:eastAsia="zh-CN"/>
                      <w14:textFill>
                        <w14:solidFill>
                          <w14:schemeClr w14:val="tx1"/>
                        </w14:solidFill>
                      </w14:textFill>
                    </w:rPr>
                    <w:t>要求</w:t>
                  </w:r>
                  <w:r>
                    <w:rPr>
                      <w:rFonts w:hint="eastAsia" w:ascii="Times New Roman" w:hAnsi="Times New Roman" w:eastAsia="宋体" w:cs="Times New Roman"/>
                      <w:color w:val="000000" w:themeColor="text1"/>
                      <w:spacing w:val="-4"/>
                      <w:sz w:val="21"/>
                      <w:szCs w:val="21"/>
                      <w:lang w:val="en-GB"/>
                      <w14:textFill>
                        <w14:solidFill>
                          <w14:schemeClr w14:val="tx1"/>
                        </w14:solidFill>
                      </w14:textFill>
                    </w:rPr>
                    <w:t>水平</w:t>
                  </w:r>
                  <w:r>
                    <w:rPr>
                      <w:rFonts w:hint="default" w:ascii="Times New Roman" w:hAnsi="Times New Roman" w:eastAsia="宋体"/>
                      <w:color w:val="000000" w:themeColor="text1"/>
                      <w:sz w:val="21"/>
                      <w:szCs w:val="21"/>
                      <w14:textFill>
                        <w14:solidFill>
                          <w14:schemeClr w14:val="tx1"/>
                        </w14:solidFill>
                      </w14:textFill>
                    </w:rPr>
                    <w:t>。</w:t>
                  </w:r>
                </w:p>
              </w:tc>
              <w:tc>
                <w:tcPr>
                  <w:tcW w:w="423" w:type="pct"/>
                  <w:noWrap w:val="0"/>
                  <w:vAlign w:val="center"/>
                </w:tcPr>
                <w:p w14:paraId="1481D038">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default" w:ascii="Times New Roman" w:hAnsi="Times New Roman" w:eastAsia="宋体"/>
                      <w:color w:val="000000" w:themeColor="text1"/>
                      <w:u w:val="none"/>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2C4F9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05DC4622">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4287CED3">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2、入驻项目二氧化硫、氮氧化物、颗粒物、VOCs全面执行大气污染物特别排放限值，单位产品污染物排放必须满足行业污染物排放标准。</w:t>
                  </w:r>
                </w:p>
              </w:tc>
              <w:tc>
                <w:tcPr>
                  <w:tcW w:w="1897" w:type="pct"/>
                  <w:noWrap w:val="0"/>
                  <w:vAlign w:val="center"/>
                </w:tcPr>
                <w:p w14:paraId="1A6959C0">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olor w:val="000000" w:themeColor="text1"/>
                      <w:sz w:val="21"/>
                      <w:szCs w:val="21"/>
                      <w14:textFill>
                        <w14:solidFill>
                          <w14:schemeClr w14:val="tx1"/>
                        </w14:solidFill>
                      </w14:textFill>
                    </w:rPr>
                    <w:t>本项目</w:t>
                  </w:r>
                  <w:r>
                    <w:rPr>
                      <w:rFonts w:hint="eastAsia" w:ascii="Times New Roman" w:hAnsi="Times New Roman" w:eastAsia="宋体"/>
                      <w:color w:val="000000" w:themeColor="text1"/>
                      <w:sz w:val="21"/>
                      <w:szCs w:val="21"/>
                      <w:lang w:val="en-US" w:eastAsia="zh-CN"/>
                      <w14:textFill>
                        <w14:solidFill>
                          <w14:schemeClr w14:val="tx1"/>
                        </w14:solidFill>
                      </w14:textFill>
                    </w:rPr>
                    <w:t>不涉及</w:t>
                  </w:r>
                  <w:r>
                    <w:rPr>
                      <w:rFonts w:hint="eastAsia" w:ascii="Times New Roman" w:hAnsi="Times New Roman" w:eastAsia="宋体"/>
                      <w:color w:val="000000" w:themeColor="text1"/>
                      <w:sz w:val="21"/>
                      <w:szCs w:val="21"/>
                      <w14:textFill>
                        <w14:solidFill>
                          <w14:schemeClr w14:val="tx1"/>
                        </w14:solidFill>
                      </w14:textFill>
                    </w:rPr>
                    <w:t>废气</w:t>
                  </w:r>
                  <w:r>
                    <w:rPr>
                      <w:rFonts w:hint="default" w:ascii="Times New Roman" w:hAnsi="Times New Roman" w:eastAsia="宋体"/>
                      <w:snapToGrid w:val="0"/>
                      <w:color w:val="000000" w:themeColor="text1"/>
                      <w:sz w:val="21"/>
                      <w:szCs w:val="21"/>
                      <w14:textFill>
                        <w14:solidFill>
                          <w14:schemeClr w14:val="tx1"/>
                        </w14:solidFill>
                      </w14:textFill>
                    </w:rPr>
                    <w:t>。</w:t>
                  </w:r>
                </w:p>
              </w:tc>
              <w:tc>
                <w:tcPr>
                  <w:tcW w:w="423" w:type="pct"/>
                  <w:noWrap w:val="0"/>
                  <w:vAlign w:val="center"/>
                </w:tcPr>
                <w:p w14:paraId="528A34E6">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68D8C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0E678AC4">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3D46EA2D">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3、符合行业环境准入要求。</w:t>
                  </w:r>
                </w:p>
              </w:tc>
              <w:tc>
                <w:tcPr>
                  <w:tcW w:w="1897" w:type="pct"/>
                  <w:noWrap w:val="0"/>
                  <w:vAlign w:val="center"/>
                </w:tcPr>
                <w:p w14:paraId="1A17CE6F">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olor w:val="000000" w:themeColor="text1"/>
                      <w:sz w:val="21"/>
                      <w:szCs w:val="21"/>
                      <w14:textFill>
                        <w14:solidFill>
                          <w14:schemeClr w14:val="tx1"/>
                        </w14:solidFill>
                      </w14:textFill>
                    </w:rPr>
                    <w:t>本项目符合行业环境准入要求。</w:t>
                  </w:r>
                </w:p>
              </w:tc>
              <w:tc>
                <w:tcPr>
                  <w:tcW w:w="423" w:type="pct"/>
                  <w:noWrap w:val="0"/>
                  <w:vAlign w:val="center"/>
                </w:tcPr>
                <w:p w14:paraId="77F1A034">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3D65E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6B88506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0217B849">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4、强化项目环评及“三同时”管理，国家、省绩效分级重点行业企业新建、扩建项目达到A级绩效水平，改建项目达到B级以上绩效水平。</w:t>
                  </w:r>
                </w:p>
              </w:tc>
              <w:tc>
                <w:tcPr>
                  <w:tcW w:w="1897" w:type="pct"/>
                  <w:noWrap w:val="0"/>
                  <w:vAlign w:val="center"/>
                </w:tcPr>
                <w:p w14:paraId="078A18B7">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olor w:val="000000" w:themeColor="text1"/>
                      <w:sz w:val="21"/>
                      <w:szCs w:val="21"/>
                      <w14:textFill>
                        <w14:solidFill>
                          <w14:schemeClr w14:val="tx1"/>
                        </w14:solidFill>
                      </w14:textFill>
                    </w:rPr>
                    <w:t>本项目为</w:t>
                  </w:r>
                  <w:r>
                    <w:rPr>
                      <w:rFonts w:hint="eastAsia" w:ascii="Times New Roman" w:hAnsi="Times New Roman" w:eastAsia="宋体"/>
                      <w:color w:val="000000" w:themeColor="text1"/>
                      <w:sz w:val="21"/>
                      <w:szCs w:val="21"/>
                      <w:lang w:val="en-US" w:eastAsia="zh-CN"/>
                      <w14:textFill>
                        <w14:solidFill>
                          <w14:schemeClr w14:val="tx1"/>
                        </w14:solidFill>
                      </w14:textFill>
                    </w:rPr>
                    <w:t>新</w:t>
                  </w:r>
                  <w:r>
                    <w:rPr>
                      <w:rFonts w:hint="default" w:ascii="Times New Roman" w:hAnsi="Times New Roman" w:eastAsia="宋体"/>
                      <w:color w:val="000000" w:themeColor="text1"/>
                      <w:sz w:val="21"/>
                      <w:szCs w:val="21"/>
                      <w14:textFill>
                        <w14:solidFill>
                          <w14:schemeClr w14:val="tx1"/>
                        </w14:solidFill>
                      </w14:textFill>
                    </w:rPr>
                    <w:t>建项目，</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按照《河南省重污染天气通用行业应急减排措施制定技术指南（</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2024</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年修订版）》中</w:t>
                  </w:r>
                  <w:r>
                    <w:rPr>
                      <w:rFonts w:hint="eastAsia" w:ascii="Times New Roman"/>
                      <w:color w:val="000000" w:themeColor="text1"/>
                      <w:sz w:val="21"/>
                      <w:szCs w:val="21"/>
                      <w:highlight w:val="none"/>
                      <w:lang w:val="en-US" w:eastAsia="zh-CN"/>
                      <w14:textFill>
                        <w14:solidFill>
                          <w14:schemeClr w14:val="tx1"/>
                        </w14:solidFill>
                      </w14:textFill>
                    </w:rPr>
                    <w:t>涉</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锅炉/炉窑企业”的A级</w:t>
                  </w:r>
                  <w:r>
                    <w:rPr>
                      <w:rFonts w:hint="eastAsia" w:ascii="Times New Roman"/>
                      <w:color w:val="000000" w:themeColor="text1"/>
                      <w:sz w:val="21"/>
                      <w:szCs w:val="21"/>
                      <w:highlight w:val="none"/>
                      <w:lang w:val="en-US" w:eastAsia="zh-CN"/>
                      <w14:textFill>
                        <w14:solidFill>
                          <w14:schemeClr w14:val="tx1"/>
                        </w14:solidFill>
                      </w14:textFill>
                    </w:rPr>
                    <w:t>企业</w:t>
                  </w:r>
                  <w:r>
                    <w:rPr>
                      <w:rFonts w:hint="default" w:ascii="Times New Roman" w:hAnsi="Times New Roman" w:eastAsia="宋体"/>
                      <w:color w:val="000000" w:themeColor="text1"/>
                      <w:sz w:val="21"/>
                      <w:szCs w:val="21"/>
                      <w:highlight w:val="none"/>
                      <w:lang w:val="pt-BR" w:eastAsia="zh-CN"/>
                      <w14:textFill>
                        <w14:solidFill>
                          <w14:schemeClr w14:val="tx1"/>
                        </w14:solidFill>
                      </w14:textFill>
                    </w:rPr>
                    <w:t>绩效指标</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要求。</w:t>
                  </w:r>
                </w:p>
              </w:tc>
              <w:tc>
                <w:tcPr>
                  <w:tcW w:w="423" w:type="pct"/>
                  <w:noWrap w:val="0"/>
                  <w:vAlign w:val="center"/>
                </w:tcPr>
                <w:p w14:paraId="106AB57F">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44124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602CA39A">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01808D1C">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5、已出台超低排放要求的行业，其建设项目应满足超低排放要求。</w:t>
                  </w:r>
                </w:p>
              </w:tc>
              <w:tc>
                <w:tcPr>
                  <w:tcW w:w="1897" w:type="pct"/>
                  <w:noWrap w:val="0"/>
                  <w:vAlign w:val="center"/>
                </w:tcPr>
                <w:p w14:paraId="0541A171">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olor w:val="000000" w:themeColor="text1"/>
                      <w:sz w:val="21"/>
                      <w:szCs w:val="21"/>
                      <w14:textFill>
                        <w14:solidFill>
                          <w14:schemeClr w14:val="tx1"/>
                        </w14:solidFill>
                      </w14:textFill>
                    </w:rPr>
                    <w:t>本项目</w:t>
                  </w:r>
                  <w:r>
                    <w:rPr>
                      <w:rFonts w:hint="eastAsia" w:ascii="Times New Roman"/>
                      <w:color w:val="000000" w:themeColor="text1"/>
                      <w:sz w:val="21"/>
                      <w:szCs w:val="21"/>
                      <w:lang w:val="en-US" w:eastAsia="zh-CN"/>
                      <w14:textFill>
                        <w14:solidFill>
                          <w14:schemeClr w14:val="tx1"/>
                        </w14:solidFill>
                      </w14:textFill>
                    </w:rPr>
                    <w:t>不涉及</w:t>
                  </w:r>
                  <w:r>
                    <w:rPr>
                      <w:rFonts w:hint="eastAsia" w:ascii="Times New Roman" w:hAnsi="Times New Roman" w:eastAsia="宋体"/>
                      <w:color w:val="000000" w:themeColor="text1"/>
                      <w:sz w:val="21"/>
                      <w:szCs w:val="21"/>
                      <w:lang w:val="en-US" w:eastAsia="zh-CN"/>
                      <w14:textFill>
                        <w14:solidFill>
                          <w14:schemeClr w14:val="tx1"/>
                        </w14:solidFill>
                      </w14:textFill>
                    </w:rPr>
                    <w:t>。</w:t>
                  </w:r>
                </w:p>
              </w:tc>
              <w:tc>
                <w:tcPr>
                  <w:tcW w:w="423" w:type="pct"/>
                  <w:noWrap w:val="0"/>
                  <w:vAlign w:val="center"/>
                </w:tcPr>
                <w:p w14:paraId="7CF4275E">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6B45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01885596">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77748827">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6、入驻电镀项目应符合《河南省电镀建设项目环境影响评价文件审查审批原则（修订）》及相关政策要求，镀铬、镍、铅、镉的电镀工段废水（包括含铬钝化、镍封、退镀工序等）及相应清洗废水应全部回用，实施零排放；其他废水经厂内污水处理设施处理后尽可能回用，优先回用于清洗等水质要求不高的工段。</w:t>
                  </w:r>
                </w:p>
              </w:tc>
              <w:tc>
                <w:tcPr>
                  <w:tcW w:w="1897" w:type="pct"/>
                  <w:noWrap w:val="0"/>
                  <w:vAlign w:val="center"/>
                </w:tcPr>
                <w:p w14:paraId="74FF4BEF">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eastAsia"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本项目不涉及电镀工艺。</w:t>
                  </w:r>
                </w:p>
              </w:tc>
              <w:tc>
                <w:tcPr>
                  <w:tcW w:w="423" w:type="pct"/>
                  <w:noWrap w:val="0"/>
                  <w:vAlign w:val="center"/>
                </w:tcPr>
                <w:p w14:paraId="2035635A">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45370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1FED26D1">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52D2497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7、涉及第一类污染物的废水应在车间或车间处理设施排放口满足《污水综合排放标准》（GB8978-1996）表1第一类污染物最高允许排放浓度要求。</w:t>
                  </w:r>
                </w:p>
              </w:tc>
              <w:tc>
                <w:tcPr>
                  <w:tcW w:w="1897" w:type="pct"/>
                  <w:noWrap w:val="0"/>
                  <w:vAlign w:val="center"/>
                </w:tcPr>
                <w:p w14:paraId="18F433EF">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本项目不涉及。</w:t>
                  </w:r>
                </w:p>
              </w:tc>
              <w:tc>
                <w:tcPr>
                  <w:tcW w:w="423" w:type="pct"/>
                  <w:noWrap w:val="0"/>
                  <w:vAlign w:val="center"/>
                </w:tcPr>
                <w:p w14:paraId="4691BCAC">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5AE84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5940BA9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0E4FA931">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8、涉及颗粒物、VOCs、废水排放的建设项目，需实行颗粒物、VOCs、COD、氨氮排放等量或倍量削减替代，满足重点污染物总量控制指标要求。</w:t>
                  </w:r>
                </w:p>
              </w:tc>
              <w:tc>
                <w:tcPr>
                  <w:tcW w:w="1897" w:type="pct"/>
                  <w:noWrap w:val="0"/>
                  <w:vAlign w:val="center"/>
                </w:tcPr>
                <w:p w14:paraId="2EE549C2">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lang w:val="en-US" w:eastAsia="zh-CN"/>
                      <w14:textFill>
                        <w14:solidFill>
                          <w14:schemeClr w14:val="tx1"/>
                        </w14:solidFill>
                      </w14:textFill>
                    </w:rPr>
                    <w:t>本项目</w:t>
                  </w:r>
                  <w:r>
                    <w:rPr>
                      <w:rFonts w:hint="eastAsia" w:ascii="Times New Roman" w:cs="Times New Roman"/>
                      <w:color w:val="000000" w:themeColor="text1"/>
                      <w:sz w:val="21"/>
                      <w:szCs w:val="21"/>
                      <w:lang w:val="en-US" w:eastAsia="zh-CN"/>
                      <w14:textFill>
                        <w14:solidFill>
                          <w14:schemeClr w14:val="tx1"/>
                        </w14:solidFill>
                      </w14:textFill>
                    </w:rPr>
                    <w:t>满足重点污染物总量控制指标要求</w:t>
                  </w:r>
                  <w:r>
                    <w:rPr>
                      <w:rFonts w:hint="default" w:ascii="Times New Roman" w:hAnsi="Times New Roman" w:eastAsia="宋体" w:cs="Times New Roman"/>
                      <w:color w:val="000000" w:themeColor="text1"/>
                      <w:sz w:val="21"/>
                      <w:szCs w:val="21"/>
                      <w14:textFill>
                        <w14:solidFill>
                          <w14:schemeClr w14:val="tx1"/>
                        </w14:solidFill>
                      </w14:textFill>
                    </w:rPr>
                    <w:t>。</w:t>
                  </w:r>
                </w:p>
              </w:tc>
              <w:tc>
                <w:tcPr>
                  <w:tcW w:w="423" w:type="pct"/>
                  <w:noWrap w:val="0"/>
                  <w:vAlign w:val="center"/>
                </w:tcPr>
                <w:p w14:paraId="2EB12E5D">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4B431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7EDF76AD">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3EEDCBB9">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9、加快污水处理厂配套管网建设，以满足园区企业污水处理的需求，确保入区企业外排废水全部经管网收集后进入污水处理厂处理。</w:t>
                  </w:r>
                </w:p>
              </w:tc>
              <w:tc>
                <w:tcPr>
                  <w:tcW w:w="1897" w:type="pct"/>
                  <w:noWrap w:val="0"/>
                  <w:vAlign w:val="center"/>
                </w:tcPr>
                <w:p w14:paraId="40B217F2">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本项目</w:t>
                  </w:r>
                  <w:r>
                    <w:rPr>
                      <w:rFonts w:hint="eastAsia" w:ascii="Times New Roman" w:cs="Times New Roman"/>
                      <w:color w:val="000000" w:themeColor="text1"/>
                      <w:sz w:val="21"/>
                      <w:szCs w:val="21"/>
                      <w:highlight w:val="none"/>
                      <w:lang w:eastAsia="zh-CN"/>
                      <w14:textFill>
                        <w14:solidFill>
                          <w14:schemeClr w14:val="tx1"/>
                        </w14:solidFill>
                      </w14:textFill>
                    </w:rPr>
                    <w:t>生活污水经化粪池处理后经污水管网排入新乡县综合污水处理厂</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423" w:type="pct"/>
                  <w:noWrap w:val="0"/>
                  <w:vAlign w:val="center"/>
                </w:tcPr>
                <w:p w14:paraId="0147BBF8">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0CBAC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restart"/>
                  <w:noWrap w:val="0"/>
                  <w:vAlign w:val="center"/>
                </w:tcPr>
                <w:p w14:paraId="414F56D4">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环境风险防控</w:t>
                  </w:r>
                </w:p>
              </w:tc>
              <w:tc>
                <w:tcPr>
                  <w:tcW w:w="2244" w:type="pct"/>
                  <w:noWrap w:val="0"/>
                  <w:vAlign w:val="center"/>
                </w:tcPr>
                <w:p w14:paraId="64D0BC8F">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1、引进项目必须严格落实环境影响评价等文件提出的各项环境风险防控措施。</w:t>
                  </w:r>
                </w:p>
              </w:tc>
              <w:tc>
                <w:tcPr>
                  <w:tcW w:w="1897" w:type="pct"/>
                  <w:noWrap w:val="0"/>
                  <w:vAlign w:val="center"/>
                </w:tcPr>
                <w:p w14:paraId="53FED010">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w:t>
                  </w:r>
                  <w:r>
                    <w:rPr>
                      <w:rFonts w:hint="eastAsia" w:ascii="Times New Roman" w:hAnsi="Times New Roman" w:eastAsia="宋体" w:cs="Times New Roman"/>
                      <w:color w:val="000000" w:themeColor="text1"/>
                      <w:sz w:val="21"/>
                      <w:szCs w:val="21"/>
                      <w:lang w:val="en-US" w:eastAsia="zh-CN"/>
                      <w14:textFill>
                        <w14:solidFill>
                          <w14:schemeClr w14:val="tx1"/>
                        </w14:solidFill>
                      </w14:textFill>
                    </w:rPr>
                    <w:t>严格落实环境影响评价等提出的各项环境风险防控措施</w:t>
                  </w: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423" w:type="pct"/>
                  <w:noWrap w:val="0"/>
                  <w:vAlign w:val="center"/>
                </w:tcPr>
                <w:p w14:paraId="12362ED2">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default" w:ascii="Times New Roman" w:hAnsi="Times New Roman" w:eastAsia="宋体"/>
                      <w:color w:val="000000" w:themeColor="text1"/>
                      <w:u w:val="none"/>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3CF5B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6C3AE959">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0E0CD757">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2、建立健全园区环境风险管理体系。加快环境风险预警体系建设，健全环境风险单位信息库，严格危险化学品管理。</w:t>
                  </w:r>
                </w:p>
              </w:tc>
              <w:tc>
                <w:tcPr>
                  <w:tcW w:w="1897" w:type="pct"/>
                  <w:noWrap w:val="0"/>
                  <w:vAlign w:val="center"/>
                </w:tcPr>
                <w:p w14:paraId="1263983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本项目不涉及。</w:t>
                  </w:r>
                </w:p>
              </w:tc>
              <w:tc>
                <w:tcPr>
                  <w:tcW w:w="423" w:type="pct"/>
                  <w:noWrap w:val="0"/>
                  <w:vAlign w:val="center"/>
                </w:tcPr>
                <w:p w14:paraId="22C8CFE9">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相符</w:t>
                  </w:r>
                </w:p>
              </w:tc>
            </w:tr>
            <w:tr w14:paraId="49370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1F285D1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3524B5F7">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3、规范园区建设，对涉重行业及化工企业加强管理，建立土壤和地下水污染隐患排查治理制度、风险防控体系和长效监管机制。</w:t>
                  </w:r>
                </w:p>
              </w:tc>
              <w:tc>
                <w:tcPr>
                  <w:tcW w:w="1897" w:type="pct"/>
                  <w:noWrap w:val="0"/>
                  <w:vAlign w:val="center"/>
                </w:tcPr>
                <w:p w14:paraId="1AC9C471">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本项目不涉及。</w:t>
                  </w:r>
                </w:p>
              </w:tc>
              <w:tc>
                <w:tcPr>
                  <w:tcW w:w="423" w:type="pct"/>
                  <w:noWrap w:val="0"/>
                  <w:vAlign w:val="center"/>
                </w:tcPr>
                <w:p w14:paraId="5EBC1D0A">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相符</w:t>
                  </w:r>
                </w:p>
              </w:tc>
            </w:tr>
            <w:tr w14:paraId="28D8B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30E55B7C">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61FE681C">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4、园区入驻企业加强应急方案的制定，园区应制定区域环境监管计划，保证周围居民不受大气环境的影响。</w:t>
                  </w:r>
                </w:p>
              </w:tc>
              <w:tc>
                <w:tcPr>
                  <w:tcW w:w="1897" w:type="pct"/>
                  <w:noWrap w:val="0"/>
                  <w:vAlign w:val="center"/>
                </w:tcPr>
                <w:p w14:paraId="67FE22E2">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本项目环境风险较小，项目建成后将根据环境管理部门的要求编制突发环境事件应急预案，将环境事故对周边环境及居民的影响降到最低。</w:t>
                  </w:r>
                </w:p>
              </w:tc>
              <w:tc>
                <w:tcPr>
                  <w:tcW w:w="423" w:type="pct"/>
                  <w:noWrap w:val="0"/>
                  <w:vAlign w:val="center"/>
                </w:tcPr>
                <w:p w14:paraId="51410D74">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lang w:val="en-GB"/>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相符</w:t>
                  </w:r>
                </w:p>
              </w:tc>
            </w:tr>
            <w:tr w14:paraId="180B1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74BB03B9">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s="Times New Roman"/>
                      <w:color w:val="000000" w:themeColor="text1"/>
                      <w:sz w:val="21"/>
                      <w:szCs w:val="21"/>
                      <w:lang w:val="en-GB"/>
                      <w14:textFill>
                        <w14:solidFill>
                          <w14:schemeClr w14:val="tx1"/>
                        </w14:solidFill>
                      </w14:textFill>
                    </w:rPr>
                  </w:pPr>
                </w:p>
              </w:tc>
              <w:tc>
                <w:tcPr>
                  <w:tcW w:w="2244" w:type="pct"/>
                  <w:noWrap w:val="0"/>
                  <w:vAlign w:val="center"/>
                </w:tcPr>
                <w:p w14:paraId="0567DA27">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5、高关注地块划分污染风险等级，纳入优先管控名录。</w:t>
                  </w:r>
                </w:p>
              </w:tc>
              <w:tc>
                <w:tcPr>
                  <w:tcW w:w="1897" w:type="pct"/>
                  <w:noWrap w:val="0"/>
                  <w:vAlign w:val="center"/>
                </w:tcPr>
                <w:p w14:paraId="7281BB00">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本项目选址不属于高关注地块。</w:t>
                  </w:r>
                </w:p>
              </w:tc>
              <w:tc>
                <w:tcPr>
                  <w:tcW w:w="423" w:type="pct"/>
                  <w:noWrap w:val="0"/>
                  <w:vAlign w:val="center"/>
                </w:tcPr>
                <w:p w14:paraId="04047319">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lang w:val="en-GB"/>
                      <w14:textFill>
                        <w14:solidFill>
                          <w14:schemeClr w14:val="tx1"/>
                        </w14:solidFill>
                      </w14:textFill>
                    </w:rPr>
                  </w:pPr>
                </w:p>
              </w:tc>
            </w:tr>
            <w:tr w14:paraId="04B20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restart"/>
                  <w:noWrap w:val="0"/>
                  <w:vAlign w:val="center"/>
                </w:tcPr>
                <w:p w14:paraId="596BAC44">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资源开发利用管控</w:t>
                  </w:r>
                </w:p>
              </w:tc>
              <w:tc>
                <w:tcPr>
                  <w:tcW w:w="2244" w:type="pct"/>
                  <w:noWrap w:val="0"/>
                  <w:vAlign w:val="center"/>
                </w:tcPr>
                <w:p w14:paraId="75B4B314">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1、鼓励企业进行中水回用、工业用水循环利用和工业固废综合利用。</w:t>
                  </w:r>
                </w:p>
              </w:tc>
              <w:tc>
                <w:tcPr>
                  <w:tcW w:w="1897" w:type="pct"/>
                  <w:noWrap w:val="0"/>
                  <w:vAlign w:val="center"/>
                </w:tcPr>
                <w:p w14:paraId="27728C94">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eastAsia" w:ascii="Times New Roman" w:cs="Times New Roman"/>
                      <w:color w:val="000000" w:themeColor="text1"/>
                      <w:sz w:val="21"/>
                      <w:szCs w:val="21"/>
                      <w:lang w:val="en-US" w:eastAsia="zh-CN"/>
                      <w14:textFill>
                        <w14:solidFill>
                          <w14:schemeClr w14:val="tx1"/>
                        </w14:solidFill>
                      </w14:textFill>
                    </w:rPr>
                    <w:t>本项目仅产生生活废水，</w:t>
                  </w:r>
                  <w:r>
                    <w:rPr>
                      <w:rFonts w:hint="default" w:ascii="Times New Roman" w:hAnsi="Times New Roman" w:eastAsia="宋体" w:cs="Times New Roman"/>
                      <w:color w:val="000000" w:themeColor="text1"/>
                      <w:sz w:val="21"/>
                      <w:szCs w:val="21"/>
                      <w14:textFill>
                        <w14:solidFill>
                          <w14:schemeClr w14:val="tx1"/>
                        </w14:solidFill>
                      </w14:textFill>
                    </w:rPr>
                    <w:t>不涉及中水回用、工业用水循环利用和工业固废综合利用</w:t>
                  </w:r>
                  <w:r>
                    <w:rPr>
                      <w:rFonts w:hint="default" w:ascii="Times New Roman" w:hAnsi="Times New Roman" w:eastAsia="宋体" w:cs="Times New Roman"/>
                      <w:color w:val="000000" w:themeColor="text1"/>
                      <w:sz w:val="21"/>
                      <w:szCs w:val="21"/>
                      <w:lang w:val="en-US" w:eastAsia="zh-CN"/>
                      <w14:textFill>
                        <w14:solidFill>
                          <w14:schemeClr w14:val="tx1"/>
                        </w14:solidFill>
                      </w14:textFill>
                    </w:rPr>
                    <w:t>。</w:t>
                  </w:r>
                </w:p>
              </w:tc>
              <w:tc>
                <w:tcPr>
                  <w:tcW w:w="423" w:type="pct"/>
                  <w:noWrap w:val="0"/>
                  <w:vAlign w:val="center"/>
                </w:tcPr>
                <w:p w14:paraId="5D98AA13">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default" w:ascii="Times New Roman" w:hAnsi="Times New Roman" w:eastAsia="宋体"/>
                      <w:color w:val="000000" w:themeColor="text1"/>
                      <w:u w:val="none"/>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相符</w:t>
                  </w:r>
                </w:p>
              </w:tc>
            </w:tr>
            <w:tr w14:paraId="39BA0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63F923A7">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olor w:val="000000" w:themeColor="text1"/>
                      <w:sz w:val="21"/>
                      <w:szCs w:val="21"/>
                      <w14:textFill>
                        <w14:solidFill>
                          <w14:schemeClr w14:val="tx1"/>
                        </w14:solidFill>
                      </w14:textFill>
                    </w:rPr>
                  </w:pPr>
                </w:p>
              </w:tc>
              <w:tc>
                <w:tcPr>
                  <w:tcW w:w="2244" w:type="pct"/>
                  <w:noWrap w:val="0"/>
                  <w:vAlign w:val="center"/>
                </w:tcPr>
                <w:p w14:paraId="78CCE6D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2、进一步优化能源结构，加快园区集中供热、供气及配套管网建设；不得新改扩建分散燃煤设施。集中供热管网铺设到位后，入驻企业应采取集中供热，现有企业自备燃气锅炉作为备用热源使用。</w:t>
                  </w:r>
                </w:p>
              </w:tc>
              <w:tc>
                <w:tcPr>
                  <w:tcW w:w="1897" w:type="pct"/>
                  <w:noWrap w:val="0"/>
                  <w:vAlign w:val="center"/>
                </w:tcPr>
                <w:p w14:paraId="32FC8770">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14:textFill>
                        <w14:solidFill>
                          <w14:schemeClr w14:val="tx1"/>
                        </w14:solidFill>
                      </w14:textFill>
                    </w:rPr>
                    <w:t>本项目不涉及。</w:t>
                  </w:r>
                </w:p>
              </w:tc>
              <w:tc>
                <w:tcPr>
                  <w:tcW w:w="423" w:type="pct"/>
                  <w:noWrap w:val="0"/>
                  <w:vAlign w:val="center"/>
                </w:tcPr>
                <w:p w14:paraId="63FDBA57">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7F105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43F51CC4">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olor w:val="000000" w:themeColor="text1"/>
                      <w:sz w:val="21"/>
                      <w:szCs w:val="21"/>
                      <w14:textFill>
                        <w14:solidFill>
                          <w14:schemeClr w14:val="tx1"/>
                        </w14:solidFill>
                      </w14:textFill>
                    </w:rPr>
                  </w:pPr>
                </w:p>
              </w:tc>
              <w:tc>
                <w:tcPr>
                  <w:tcW w:w="2244" w:type="pct"/>
                  <w:noWrap w:val="0"/>
                  <w:vAlign w:val="center"/>
                </w:tcPr>
                <w:p w14:paraId="58071EFC">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3、加快实施园区集中供水，加快中水回用配套设施建设，逐步关停企业自备水井。</w:t>
                  </w:r>
                </w:p>
              </w:tc>
              <w:tc>
                <w:tcPr>
                  <w:tcW w:w="1897" w:type="pct"/>
                  <w:noWrap w:val="0"/>
                  <w:vAlign w:val="center"/>
                </w:tcPr>
                <w:p w14:paraId="688E2665">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olor w:val="000000" w:themeColor="text1"/>
                      <w:sz w:val="21"/>
                      <w:szCs w:val="21"/>
                      <w:highlight w:val="none"/>
                      <w14:textFill>
                        <w14:solidFill>
                          <w14:schemeClr w14:val="tx1"/>
                        </w14:solidFill>
                      </w14:textFill>
                    </w:rPr>
                    <w:t>本项目</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不涉及</w:t>
                  </w:r>
                  <w:r>
                    <w:rPr>
                      <w:rFonts w:hint="default" w:ascii="Times New Roman" w:hAnsi="Times New Roman" w:eastAsia="宋体"/>
                      <w:color w:val="000000" w:themeColor="text1"/>
                      <w:sz w:val="21"/>
                      <w:szCs w:val="21"/>
                      <w:highlight w:val="none"/>
                      <w14:textFill>
                        <w14:solidFill>
                          <w14:schemeClr w14:val="tx1"/>
                        </w14:solidFill>
                      </w14:textFill>
                    </w:rPr>
                    <w:t>。</w:t>
                  </w:r>
                </w:p>
              </w:tc>
              <w:tc>
                <w:tcPr>
                  <w:tcW w:w="423" w:type="pct"/>
                  <w:noWrap w:val="0"/>
                  <w:vAlign w:val="center"/>
                </w:tcPr>
                <w:p w14:paraId="6C3A4EEE">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r w14:paraId="54055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35" w:type="pct"/>
                  <w:vMerge w:val="continue"/>
                  <w:noWrap w:val="0"/>
                  <w:vAlign w:val="center"/>
                </w:tcPr>
                <w:p w14:paraId="4282BB87">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eastAsia" w:ascii="Times New Roman" w:hAnsi="Times New Roman" w:eastAsia="宋体"/>
                      <w:color w:val="000000" w:themeColor="text1"/>
                      <w:sz w:val="21"/>
                      <w:szCs w:val="21"/>
                      <w14:textFill>
                        <w14:solidFill>
                          <w14:schemeClr w14:val="tx1"/>
                        </w14:solidFill>
                      </w14:textFill>
                    </w:rPr>
                  </w:pPr>
                </w:p>
              </w:tc>
              <w:tc>
                <w:tcPr>
                  <w:tcW w:w="2244" w:type="pct"/>
                  <w:noWrap w:val="0"/>
                  <w:vAlign w:val="center"/>
                </w:tcPr>
                <w:p w14:paraId="522B55ED">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14:textFill>
                        <w14:solidFill>
                          <w14:schemeClr w14:val="tx1"/>
                        </w14:solidFill>
                      </w14:textFill>
                    </w:rPr>
                  </w:pPr>
                  <w:r>
                    <w:rPr>
                      <w:rFonts w:hint="eastAsia" w:ascii="Times New Roman" w:hAnsi="Times New Roman" w:eastAsia="宋体" w:cs="Times New Roman"/>
                      <w:color w:val="000000" w:themeColor="text1"/>
                      <w:sz w:val="21"/>
                      <w:szCs w:val="21"/>
                      <w14:textFill>
                        <w14:solidFill>
                          <w14:schemeClr w14:val="tx1"/>
                        </w14:solidFill>
                      </w14:textFill>
                    </w:rPr>
                    <w:t>4、入园项目用地必须符合园区土地利用规划要求。</w:t>
                  </w:r>
                </w:p>
              </w:tc>
              <w:tc>
                <w:tcPr>
                  <w:tcW w:w="1897" w:type="pct"/>
                  <w:noWrap w:val="0"/>
                  <w:vAlign w:val="center"/>
                </w:tcPr>
                <w:p w14:paraId="4A0489F2">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lang w:val="en-US" w:eastAsia="zh-CN"/>
                      <w14:textFill>
                        <w14:solidFill>
                          <w14:schemeClr w14:val="tx1"/>
                        </w14:solidFill>
                      </w14:textFill>
                    </w:rPr>
                  </w:pPr>
                  <w:r>
                    <w:rPr>
                      <w:rFonts w:hint="default" w:ascii="Times New Roman" w:hAnsi="Times New Roman" w:eastAsia="宋体"/>
                      <w:color w:val="000000" w:themeColor="text1"/>
                      <w:sz w:val="21"/>
                      <w:szCs w:val="21"/>
                      <w14:textFill>
                        <w14:solidFill>
                          <w14:schemeClr w14:val="tx1"/>
                        </w14:solidFill>
                      </w14:textFill>
                    </w:rPr>
                    <w:t>本项目位于</w:t>
                  </w:r>
                  <w:r>
                    <w:rPr>
                      <w:rFonts w:hint="eastAsia" w:ascii="Times New Roman" w:cs="Times New Roman"/>
                      <w:color w:val="auto"/>
                      <w:sz w:val="21"/>
                      <w:szCs w:val="21"/>
                      <w:highlight w:val="none"/>
                      <w:lang w:val="en-US" w:eastAsia="zh-CN"/>
                    </w:rPr>
                    <w:t>新乡市新乡县翟坡镇东大阳堤村村西中央大道东侧</w:t>
                  </w:r>
                  <w:r>
                    <w:rPr>
                      <w:rFonts w:hint="default" w:ascii="Times New Roman" w:hAnsi="Times New Roman" w:eastAsia="宋体"/>
                      <w:color w:val="000000" w:themeColor="text1"/>
                      <w:sz w:val="21"/>
                      <w:szCs w:val="21"/>
                      <w:highlight w:val="none"/>
                      <w14:textFill>
                        <w14:solidFill>
                          <w14:schemeClr w14:val="tx1"/>
                        </w14:solidFill>
                      </w14:textFill>
                    </w:rPr>
                    <w:t>，根据</w:t>
                  </w:r>
                  <w:r>
                    <w:rPr>
                      <w:rFonts w:hint="default" w:ascii="Times New Roman" w:hAnsi="Times New Roman" w:eastAsia="宋体"/>
                      <w:color w:val="000000" w:themeColor="text1"/>
                      <w:sz w:val="21"/>
                      <w:szCs w:val="21"/>
                      <w:highlight w:val="none"/>
                      <w:lang w:val="en-US" w:eastAsia="zh-CN"/>
                      <w14:textFill>
                        <w14:solidFill>
                          <w14:schemeClr w14:val="tx1"/>
                        </w14:solidFill>
                      </w14:textFill>
                    </w:rPr>
                    <w:t>《</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新乡县智能制造产业园区总体发展规划（</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2021-20</w:t>
                  </w: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5</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）-土地利用规划图</w:t>
                  </w:r>
                  <w:r>
                    <w:rPr>
                      <w:rFonts w:hint="default" w:ascii="Times New Roman" w:hAnsi="Times New Roman" w:eastAsia="宋体"/>
                      <w:color w:val="000000" w:themeColor="text1"/>
                      <w:sz w:val="21"/>
                      <w:szCs w:val="21"/>
                      <w:highlight w:val="none"/>
                      <w:lang w:val="en-US" w:eastAsia="zh-CN"/>
                      <w14:textFill>
                        <w14:solidFill>
                          <w14:schemeClr w14:val="tx1"/>
                        </w14:solidFill>
                      </w14:textFill>
                    </w:rPr>
                    <w:t>》</w:t>
                  </w:r>
                  <w:r>
                    <w:rPr>
                      <w:rFonts w:hint="default" w:ascii="Times New Roman" w:hAnsi="Times New Roman" w:eastAsia="宋体"/>
                      <w:color w:val="000000" w:themeColor="text1"/>
                      <w:sz w:val="21"/>
                      <w:szCs w:val="21"/>
                      <w:highlight w:val="none"/>
                      <w14:textFill>
                        <w14:solidFill>
                          <w14:schemeClr w14:val="tx1"/>
                        </w14:solidFill>
                      </w14:textFill>
                    </w:rPr>
                    <w:t>，项目所占用地为</w:t>
                  </w:r>
                  <w:r>
                    <w:rPr>
                      <w:rFonts w:hint="eastAsia" w:ascii="Times New Roman" w:hAnsi="Times New Roman" w:eastAsia="宋体"/>
                      <w:color w:val="000000" w:themeColor="text1"/>
                      <w:sz w:val="21"/>
                      <w:szCs w:val="21"/>
                      <w:highlight w:val="none"/>
                      <w:lang w:val="en-US" w:eastAsia="zh-CN"/>
                      <w14:textFill>
                        <w14:solidFill>
                          <w14:schemeClr w14:val="tx1"/>
                        </w14:solidFill>
                      </w14:textFill>
                    </w:rPr>
                    <w:t>二类工业</w:t>
                  </w:r>
                  <w:r>
                    <w:rPr>
                      <w:rFonts w:hint="default" w:ascii="Times New Roman" w:hAnsi="Times New Roman" w:eastAsia="宋体"/>
                      <w:color w:val="000000" w:themeColor="text1"/>
                      <w:sz w:val="21"/>
                      <w:szCs w:val="21"/>
                      <w:highlight w:val="none"/>
                      <w14:textFill>
                        <w14:solidFill>
                          <w14:schemeClr w14:val="tx1"/>
                        </w14:solidFill>
                      </w14:textFill>
                    </w:rPr>
                    <w:t>用地，符合新乡县智能制造产业园区总体发展规划要求。</w:t>
                  </w:r>
                </w:p>
              </w:tc>
              <w:tc>
                <w:tcPr>
                  <w:tcW w:w="423" w:type="pct"/>
                  <w:noWrap w:val="0"/>
                  <w:vAlign w:val="center"/>
                </w:tcPr>
                <w:p w14:paraId="06062680">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default" w:ascii="Times New Roman" w:hAnsi="Times New Roman" w:eastAsia="宋体"/>
                      <w:color w:val="000000" w:themeColor="text1"/>
                      <w:u w:val="none"/>
                      <w14:textFill>
                        <w14:solidFill>
                          <w14:schemeClr w14:val="tx1"/>
                        </w14:solidFill>
                      </w14:textFill>
                    </w:rPr>
                  </w:pPr>
                  <w:r>
                    <w:rPr>
                      <w:rFonts w:hint="eastAsia" w:ascii="Times New Roman" w:hAnsi="Times New Roman" w:eastAsia="宋体"/>
                      <w:color w:val="000000" w:themeColor="text1"/>
                      <w:sz w:val="21"/>
                      <w:szCs w:val="21"/>
                      <w:lang w:val="en-GB"/>
                      <w14:textFill>
                        <w14:solidFill>
                          <w14:schemeClr w14:val="tx1"/>
                        </w14:solidFill>
                      </w14:textFill>
                    </w:rPr>
                    <w:t>相符</w:t>
                  </w:r>
                </w:p>
              </w:tc>
            </w:tr>
          </w:tbl>
          <w:p w14:paraId="26108DBA">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20" w:lineRule="exact"/>
              <w:ind w:left="0" w:right="0" w:firstLine="480" w:firstLineChars="200"/>
              <w:jc w:val="both"/>
              <w:textAlignment w:val="auto"/>
              <w:rPr>
                <w:rFonts w:hint="default" w:ascii="Times New Roman" w:hAnsi="Times New Roman" w:eastAsia="宋体"/>
                <w:color w:val="000000" w:themeColor="text1"/>
                <w:sz w:val="24"/>
                <w14:textFill>
                  <w14:solidFill>
                    <w14:schemeClr w14:val="tx1"/>
                  </w14:solidFill>
                </w14:textFill>
              </w:rPr>
            </w:pPr>
            <w:r>
              <w:rPr>
                <w:rFonts w:hint="default" w:ascii="Times New Roman" w:hAnsi="Times New Roman" w:eastAsia="宋体"/>
                <w:color w:val="000000" w:themeColor="text1"/>
                <w:sz w:val="24"/>
                <w14:textFill>
                  <w14:solidFill>
                    <w14:schemeClr w14:val="tx1"/>
                  </w14:solidFill>
                </w14:textFill>
              </w:rPr>
              <w:t>由</w:t>
            </w:r>
            <w:r>
              <w:rPr>
                <w:rFonts w:hint="eastAsia" w:ascii="Times New Roman" w:hAnsi="Times New Roman" w:eastAsia="宋体"/>
                <w:color w:val="000000" w:themeColor="text1"/>
                <w:sz w:val="24"/>
                <w14:textFill>
                  <w14:solidFill>
                    <w14:schemeClr w14:val="tx1"/>
                  </w14:solidFill>
                </w14:textFill>
              </w:rPr>
              <w:t>上表</w:t>
            </w:r>
            <w:r>
              <w:rPr>
                <w:rFonts w:hint="default" w:ascii="Times New Roman" w:hAnsi="Times New Roman" w:eastAsia="宋体"/>
                <w:color w:val="000000" w:themeColor="text1"/>
                <w:sz w:val="24"/>
                <w14:textFill>
                  <w14:solidFill>
                    <w14:schemeClr w14:val="tx1"/>
                  </w14:solidFill>
                </w14:textFill>
              </w:rPr>
              <w:t>可知，本项目符合</w:t>
            </w:r>
            <w:r>
              <w:rPr>
                <w:rFonts w:hint="default" w:ascii="Times New Roman" w:hAnsi="Times New Roman" w:eastAsia="宋体"/>
                <w:color w:val="000000" w:themeColor="text1"/>
                <w:sz w:val="24"/>
                <w:szCs w:val="21"/>
                <w14:textFill>
                  <w14:solidFill>
                    <w14:schemeClr w14:val="tx1"/>
                  </w14:solidFill>
                </w14:textFill>
              </w:rPr>
              <w:t>新乡县智能制造产业园区</w:t>
            </w:r>
            <w:r>
              <w:rPr>
                <w:rFonts w:hint="eastAsia" w:ascii="Times New Roman" w:hAnsi="Times New Roman" w:eastAsia="宋体"/>
                <w:color w:val="000000" w:themeColor="text1"/>
                <w:sz w:val="24"/>
                <w14:textFill>
                  <w14:solidFill>
                    <w14:schemeClr w14:val="tx1"/>
                  </w14:solidFill>
                </w14:textFill>
              </w:rPr>
              <w:t>环境</w:t>
            </w:r>
            <w:r>
              <w:rPr>
                <w:rFonts w:hint="default" w:ascii="Times New Roman" w:hAnsi="Times New Roman" w:eastAsia="宋体"/>
                <w:color w:val="000000" w:themeColor="text1"/>
                <w:sz w:val="24"/>
                <w14:textFill>
                  <w14:solidFill>
                    <w14:schemeClr w14:val="tx1"/>
                  </w14:solidFill>
                </w14:textFill>
              </w:rPr>
              <w:t>准</w:t>
            </w:r>
            <w:r>
              <w:rPr>
                <w:rFonts w:hint="eastAsia" w:ascii="Times New Roman" w:hAnsi="Times New Roman" w:eastAsia="宋体"/>
                <w:color w:val="000000" w:themeColor="text1"/>
                <w:sz w:val="24"/>
                <w14:textFill>
                  <w14:solidFill>
                    <w14:schemeClr w14:val="tx1"/>
                  </w14:solidFill>
                </w14:textFill>
              </w:rPr>
              <w:t>入</w:t>
            </w:r>
            <w:r>
              <w:rPr>
                <w:rFonts w:hint="default" w:ascii="Times New Roman" w:hAnsi="Times New Roman" w:eastAsia="宋体"/>
                <w:color w:val="000000" w:themeColor="text1"/>
                <w:sz w:val="24"/>
                <w14:textFill>
                  <w14:solidFill>
                    <w14:schemeClr w14:val="tx1"/>
                  </w14:solidFill>
                </w14:textFill>
              </w:rPr>
              <w:t>条件</w:t>
            </w:r>
            <w:r>
              <w:rPr>
                <w:rFonts w:hint="eastAsia" w:ascii="Times New Roman" w:hAnsi="Times New Roman" w:eastAsia="宋体"/>
                <w:color w:val="000000" w:themeColor="text1"/>
                <w:sz w:val="24"/>
                <w14:textFill>
                  <w14:solidFill>
                    <w14:schemeClr w14:val="tx1"/>
                  </w14:solidFill>
                </w14:textFill>
              </w:rPr>
              <w:t>要求</w:t>
            </w:r>
            <w:r>
              <w:rPr>
                <w:rFonts w:hint="default" w:ascii="Times New Roman" w:hAnsi="Times New Roman" w:eastAsia="宋体"/>
                <w:color w:val="000000" w:themeColor="text1"/>
                <w:sz w:val="24"/>
                <w14:textFill>
                  <w14:solidFill>
                    <w14:schemeClr w14:val="tx1"/>
                  </w14:solidFill>
                </w14:textFill>
              </w:rPr>
              <w:t>。</w:t>
            </w:r>
          </w:p>
          <w:p w14:paraId="69E9772C">
            <w:pPr>
              <w:keepNext w:val="0"/>
              <w:keepLines w:val="0"/>
              <w:pageBreakBefore w:val="0"/>
              <w:widowControl w:val="0"/>
              <w:suppressLineNumbers w:val="0"/>
              <w:tabs>
                <w:tab w:val="left" w:pos="388"/>
              </w:tabs>
              <w:kinsoku/>
              <w:wordWrap/>
              <w:overflowPunct/>
              <w:topLinePunct w:val="0"/>
              <w:autoSpaceDE/>
              <w:autoSpaceDN/>
              <w:bidi w:val="0"/>
              <w:adjustRightInd/>
              <w:snapToGrid/>
              <w:spacing w:beforeAutospacing="0" w:afterAutospacing="0" w:line="520" w:lineRule="exact"/>
              <w:ind w:left="0" w:right="0" w:firstLine="482" w:firstLineChars="200"/>
              <w:jc w:val="both"/>
              <w:textAlignment w:val="auto"/>
              <w:rPr>
                <w:rFonts w:hint="default" w:ascii="Times New Roman" w:hAnsi="Times New Roman" w:eastAsia="宋体"/>
                <w:color w:val="000000" w:themeColor="text1"/>
                <w:sz w:val="24"/>
                <w14:textFill>
                  <w14:solidFill>
                    <w14:schemeClr w14:val="tx1"/>
                  </w14:solidFill>
                </w14:textFill>
              </w:rPr>
            </w:pPr>
            <w:r>
              <w:rPr>
                <w:rFonts w:hint="eastAsia"/>
                <w:b/>
                <w:bCs/>
                <w:color w:val="000000" w:themeColor="text1"/>
                <w:sz w:val="24"/>
                <w:lang w:val="en-US" w:eastAsia="zh-CN"/>
                <w14:textFill>
                  <w14:solidFill>
                    <w14:schemeClr w14:val="tx1"/>
                  </w14:solidFill>
                </w14:textFill>
              </w:rPr>
              <w:t>2、</w:t>
            </w:r>
            <w:r>
              <w:rPr>
                <w:rFonts w:hint="default" w:ascii="Times New Roman" w:hAnsi="Times New Roman" w:eastAsia="宋体"/>
                <w:b/>
                <w:bCs/>
                <w:color w:val="000000" w:themeColor="text1"/>
                <w:sz w:val="24"/>
                <w14:textFill>
                  <w14:solidFill>
                    <w14:schemeClr w14:val="tx1"/>
                  </w14:solidFill>
                </w14:textFill>
              </w:rPr>
              <w:t>项目与</w:t>
            </w:r>
            <w:r>
              <w:rPr>
                <w:rFonts w:hint="default" w:ascii="Times New Roman" w:hAnsi="Times New Roman" w:eastAsia="宋体"/>
                <w:b/>
                <w:bCs/>
                <w:color w:val="000000" w:themeColor="text1"/>
                <w:sz w:val="24"/>
                <w:szCs w:val="21"/>
                <w14:textFill>
                  <w14:solidFill>
                    <w14:schemeClr w14:val="tx1"/>
                  </w14:solidFill>
                </w14:textFill>
              </w:rPr>
              <w:t>新乡县智能制造产业园区</w:t>
            </w:r>
            <w:r>
              <w:rPr>
                <w:rFonts w:hint="eastAsia" w:ascii="Times New Roman" w:hAnsi="Times New Roman" w:eastAsia="宋体"/>
                <w:b/>
                <w:bCs/>
                <w:color w:val="000000" w:themeColor="text1"/>
                <w:sz w:val="24"/>
                <w14:textFill>
                  <w14:solidFill>
                    <w14:schemeClr w14:val="tx1"/>
                  </w14:solidFill>
                </w14:textFill>
              </w:rPr>
              <w:t>环境准入</w:t>
            </w:r>
            <w:r>
              <w:rPr>
                <w:rFonts w:hint="default" w:ascii="Times New Roman" w:hAnsi="Times New Roman" w:eastAsia="宋体"/>
                <w:b/>
                <w:bCs/>
                <w:color w:val="000000" w:themeColor="text1"/>
                <w:sz w:val="24"/>
                <w14:textFill>
                  <w14:solidFill>
                    <w14:schemeClr w14:val="tx1"/>
                  </w14:solidFill>
                </w14:textFill>
              </w:rPr>
              <w:t>负面清单对比分析如下</w:t>
            </w:r>
            <w:r>
              <w:rPr>
                <w:rFonts w:hint="eastAsia" w:ascii="Times New Roman" w:hAnsi="Times New Roman" w:eastAsia="宋体"/>
                <w:b/>
                <w:bCs/>
                <w:color w:val="000000" w:themeColor="text1"/>
                <w:sz w:val="24"/>
                <w14:textFill>
                  <w14:solidFill>
                    <w14:schemeClr w14:val="tx1"/>
                  </w14:solidFill>
                </w14:textFill>
              </w:rPr>
              <w:t>：</w:t>
            </w:r>
          </w:p>
          <w:p w14:paraId="12B04CEE">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20" w:lineRule="exact"/>
              <w:ind w:left="0" w:right="0" w:firstLine="480" w:firstLineChars="200"/>
              <w:jc w:val="both"/>
              <w:textAlignment w:val="auto"/>
              <w:rPr>
                <w:rFonts w:hint="eastAsia" w:ascii="Times New Roman" w:hAnsi="Times New Roman" w:eastAsia="黑体" w:cs="Times New Roman"/>
                <w:bCs/>
                <w:color w:val="auto"/>
                <w:spacing w:val="0"/>
                <w:kern w:val="2"/>
                <w:sz w:val="24"/>
                <w:szCs w:val="24"/>
                <w:lang w:val="en-US" w:eastAsia="zh-CN" w:bidi="ar-SA"/>
              </w:rPr>
            </w:pPr>
            <w:r>
              <w:rPr>
                <w:rFonts w:hint="default" w:ascii="Times New Roman" w:hAnsi="Times New Roman" w:eastAsia="黑体" w:cs="Times New Roman"/>
                <w:bCs/>
                <w:color w:val="auto"/>
                <w:spacing w:val="0"/>
                <w:kern w:val="2"/>
                <w:sz w:val="24"/>
                <w:szCs w:val="24"/>
                <w:lang w:val="en-US" w:eastAsia="zh-CN" w:bidi="ar-SA"/>
              </w:rPr>
              <w:t>表</w:t>
            </w:r>
            <w:r>
              <w:rPr>
                <w:rFonts w:hint="eastAsia" w:cs="Times New Roman"/>
                <w:bCs/>
                <w:color w:val="auto"/>
                <w:spacing w:val="0"/>
                <w:kern w:val="2"/>
                <w:sz w:val="24"/>
                <w:szCs w:val="24"/>
                <w:lang w:val="en-US" w:eastAsia="zh-CN" w:bidi="ar-SA"/>
              </w:rPr>
              <w:t>1-3</w:t>
            </w:r>
            <w:r>
              <w:rPr>
                <w:rFonts w:hint="eastAsia" w:ascii="Times New Roman" w:hAnsi="Times New Roman" w:eastAsia="黑体" w:cs="Times New Roman"/>
                <w:bCs/>
                <w:color w:val="auto"/>
                <w:spacing w:val="0"/>
                <w:kern w:val="2"/>
                <w:sz w:val="24"/>
                <w:szCs w:val="24"/>
                <w:lang w:val="en-US" w:eastAsia="zh-CN" w:bidi="ar-SA"/>
              </w:rPr>
              <w:t xml:space="preserve">   项目与</w:t>
            </w:r>
            <w:r>
              <w:rPr>
                <w:rFonts w:hint="default" w:ascii="Times New Roman" w:hAnsi="Times New Roman" w:eastAsia="黑体" w:cs="Times New Roman"/>
                <w:bCs/>
                <w:color w:val="auto"/>
                <w:spacing w:val="0"/>
                <w:kern w:val="2"/>
                <w:sz w:val="24"/>
                <w:szCs w:val="24"/>
                <w:lang w:val="en-US" w:eastAsia="zh-CN" w:bidi="ar-SA"/>
              </w:rPr>
              <w:t>园区</w:t>
            </w:r>
            <w:r>
              <w:rPr>
                <w:rFonts w:hint="eastAsia" w:ascii="Times New Roman" w:hAnsi="Times New Roman" w:eastAsia="黑体" w:cs="Times New Roman"/>
                <w:bCs/>
                <w:color w:val="auto"/>
                <w:spacing w:val="0"/>
                <w:kern w:val="2"/>
                <w:sz w:val="24"/>
                <w:szCs w:val="24"/>
                <w:lang w:val="en-US" w:eastAsia="zh-CN" w:bidi="ar-SA"/>
              </w:rPr>
              <w:t>环境准入负面清单对比分析一览表</w:t>
            </w:r>
          </w:p>
          <w:tbl>
            <w:tblPr>
              <w:tblStyle w:val="26"/>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9"/>
              <w:gridCol w:w="3201"/>
              <w:gridCol w:w="2441"/>
              <w:gridCol w:w="548"/>
            </w:tblGrid>
            <w:tr w14:paraId="15ED3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tcBorders>
                    <w:bottom w:val="single" w:color="auto" w:sz="8" w:space="0"/>
                  </w:tcBorders>
                  <w:noWrap w:val="0"/>
                  <w:vAlign w:val="center"/>
                </w:tcPr>
                <w:p w14:paraId="21A77AF4">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default" w:ascii="Times New Roman" w:hAnsi="Times New Roman" w:eastAsia="宋体"/>
                      <w:b/>
                      <w:bCs/>
                      <w:color w:val="000000" w:themeColor="text1"/>
                      <w:sz w:val="21"/>
                      <w:szCs w:val="21"/>
                      <w:u w:val="none"/>
                      <w:lang w:val="en-US" w:eastAsia="zh-CN"/>
                      <w14:textFill>
                        <w14:solidFill>
                          <w14:schemeClr w14:val="tx1"/>
                        </w14:solidFill>
                      </w14:textFill>
                    </w:rPr>
                  </w:pPr>
                  <w:r>
                    <w:rPr>
                      <w:rFonts w:hint="eastAsia" w:ascii="Times New Roman" w:hAnsi="Times New Roman" w:eastAsia="宋体"/>
                      <w:b/>
                      <w:bCs/>
                      <w:color w:val="000000" w:themeColor="text1"/>
                      <w:sz w:val="21"/>
                      <w:szCs w:val="21"/>
                      <w:u w:val="none"/>
                      <w:lang w:val="en-US" w:eastAsia="zh-CN"/>
                      <w14:textFill>
                        <w14:solidFill>
                          <w14:schemeClr w14:val="tx1"/>
                        </w14:solidFill>
                      </w14:textFill>
                    </w:rPr>
                    <w:t>类别</w:t>
                  </w:r>
                </w:p>
              </w:tc>
              <w:tc>
                <w:tcPr>
                  <w:tcW w:w="2357" w:type="pct"/>
                  <w:tcBorders>
                    <w:bottom w:val="single" w:color="auto" w:sz="8" w:space="0"/>
                  </w:tcBorders>
                  <w:noWrap w:val="0"/>
                  <w:vAlign w:val="center"/>
                </w:tcPr>
                <w:p w14:paraId="3DAFF2CD">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b/>
                      <w:bCs/>
                      <w:color w:val="000000" w:themeColor="text1"/>
                      <w:sz w:val="21"/>
                      <w:szCs w:val="21"/>
                      <w:u w:val="none"/>
                      <w:lang w:val="en-US" w:eastAsia="zh-CN"/>
                      <w14:textFill>
                        <w14:solidFill>
                          <w14:schemeClr w14:val="tx1"/>
                        </w14:solidFill>
                      </w14:textFill>
                    </w:rPr>
                  </w:pPr>
                  <w:r>
                    <w:rPr>
                      <w:rFonts w:hint="eastAsia" w:ascii="Times New Roman" w:hAnsi="Times New Roman" w:eastAsia="宋体"/>
                      <w:b/>
                      <w:bCs/>
                      <w:color w:val="000000" w:themeColor="text1"/>
                      <w:sz w:val="21"/>
                      <w:szCs w:val="21"/>
                      <w:u w:val="none"/>
                      <w:lang w:val="en-US" w:eastAsia="zh-CN"/>
                      <w14:textFill>
                        <w14:solidFill>
                          <w14:schemeClr w14:val="tx1"/>
                        </w14:solidFill>
                      </w14:textFill>
                    </w:rPr>
                    <w:t>负面清单</w:t>
                  </w:r>
                </w:p>
              </w:tc>
              <w:tc>
                <w:tcPr>
                  <w:tcW w:w="1798" w:type="pct"/>
                  <w:tcBorders>
                    <w:bottom w:val="single" w:color="auto" w:sz="8" w:space="0"/>
                  </w:tcBorders>
                  <w:noWrap w:val="0"/>
                  <w:vAlign w:val="center"/>
                </w:tcPr>
                <w:p w14:paraId="6FA9513A">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default" w:ascii="Times New Roman" w:hAnsi="Times New Roman" w:eastAsia="宋体"/>
                      <w:b/>
                      <w:bCs/>
                      <w:color w:val="000000" w:themeColor="text1"/>
                      <w:sz w:val="21"/>
                      <w:szCs w:val="21"/>
                      <w:u w:val="none"/>
                      <w:lang w:val="en-US" w:eastAsia="zh-CN"/>
                      <w14:textFill>
                        <w14:solidFill>
                          <w14:schemeClr w14:val="tx1"/>
                        </w14:solidFill>
                      </w14:textFill>
                    </w:rPr>
                  </w:pPr>
                  <w:r>
                    <w:rPr>
                      <w:rFonts w:hint="eastAsia" w:ascii="Times New Roman" w:hAnsi="Times New Roman" w:eastAsia="宋体"/>
                      <w:b/>
                      <w:bCs/>
                      <w:color w:val="000000" w:themeColor="text1"/>
                      <w:sz w:val="21"/>
                      <w:szCs w:val="21"/>
                      <w:u w:val="none"/>
                      <w:lang w:val="en-US" w:eastAsia="zh-CN"/>
                      <w14:textFill>
                        <w14:solidFill>
                          <w14:schemeClr w14:val="tx1"/>
                        </w14:solidFill>
                      </w14:textFill>
                    </w:rPr>
                    <w:t>本项目情况</w:t>
                  </w:r>
                </w:p>
              </w:tc>
              <w:tc>
                <w:tcPr>
                  <w:tcW w:w="403" w:type="pct"/>
                  <w:tcBorders>
                    <w:bottom w:val="single" w:color="auto" w:sz="8" w:space="0"/>
                  </w:tcBorders>
                  <w:noWrap w:val="0"/>
                  <w:vAlign w:val="center"/>
                </w:tcPr>
                <w:p w14:paraId="6B263982">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default" w:ascii="Times New Roman" w:hAnsi="Times New Roman" w:eastAsia="宋体"/>
                      <w:b/>
                      <w:bCs/>
                      <w:color w:val="000000" w:themeColor="text1"/>
                      <w:sz w:val="21"/>
                      <w:szCs w:val="21"/>
                      <w:u w:val="none"/>
                      <w:lang w:val="en-US" w:eastAsia="zh-CN"/>
                      <w14:textFill>
                        <w14:solidFill>
                          <w14:schemeClr w14:val="tx1"/>
                        </w14:solidFill>
                      </w14:textFill>
                    </w:rPr>
                  </w:pPr>
                  <w:r>
                    <w:rPr>
                      <w:rFonts w:hint="eastAsia" w:ascii="Times New Roman" w:hAnsi="Times New Roman" w:eastAsia="宋体"/>
                      <w:b/>
                      <w:bCs/>
                      <w:color w:val="000000" w:themeColor="text1"/>
                      <w:sz w:val="21"/>
                      <w:szCs w:val="21"/>
                      <w:u w:val="none"/>
                      <w:lang w:val="en-US" w:eastAsia="zh-CN"/>
                      <w14:textFill>
                        <w14:solidFill>
                          <w14:schemeClr w14:val="tx1"/>
                        </w14:solidFill>
                      </w14:textFill>
                    </w:rPr>
                    <w:t>分析结果</w:t>
                  </w:r>
                </w:p>
              </w:tc>
            </w:tr>
            <w:tr w14:paraId="3CA48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restart"/>
                  <w:tcBorders>
                    <w:top w:val="single" w:color="auto" w:sz="8" w:space="0"/>
                  </w:tcBorders>
                  <w:noWrap w:val="0"/>
                  <w:vAlign w:val="center"/>
                </w:tcPr>
                <w:p w14:paraId="3BB735CF">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空间布局</w:t>
                  </w:r>
                  <w:r>
                    <w:rPr>
                      <w:rFonts w:hint="eastAsia" w:ascii="Times New Roman" w:hAnsi="Times New Roman" w:eastAsia="宋体"/>
                      <w:color w:val="000000" w:themeColor="text1"/>
                      <w:sz w:val="21"/>
                      <w:szCs w:val="21"/>
                      <w:lang w:val="en-US" w:eastAsia="zh-CN"/>
                      <w14:textFill>
                        <w14:solidFill>
                          <w14:schemeClr w14:val="tx1"/>
                        </w14:solidFill>
                      </w14:textFill>
                    </w:rPr>
                    <w:t>约束</w:t>
                  </w:r>
                </w:p>
              </w:tc>
              <w:tc>
                <w:tcPr>
                  <w:tcW w:w="2357" w:type="pct"/>
                  <w:tcBorders>
                    <w:top w:val="single" w:color="auto" w:sz="8" w:space="0"/>
                  </w:tcBorders>
                  <w:noWrap w:val="0"/>
                  <w:vAlign w:val="center"/>
                </w:tcPr>
                <w:p w14:paraId="695A3E1E">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u w:val="none"/>
                      <w14:textFill>
                        <w14:solidFill>
                          <w14:schemeClr w14:val="tx1"/>
                        </w14:solidFill>
                      </w14:textFill>
                    </w:rPr>
                    <w:t>禁止入驻《产业结构调整指导目录（20</w:t>
                  </w: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24</w:t>
                  </w:r>
                  <w:r>
                    <w:rPr>
                      <w:rFonts w:hint="default" w:ascii="Times New Roman" w:hAnsi="Times New Roman" w:eastAsia="宋体" w:cs="Times New Roman"/>
                      <w:color w:val="000000" w:themeColor="text1"/>
                      <w:sz w:val="21"/>
                      <w:szCs w:val="21"/>
                      <w:u w:val="none"/>
                      <w14:textFill>
                        <w14:solidFill>
                          <w14:schemeClr w14:val="tx1"/>
                        </w14:solidFill>
                      </w14:textFill>
                    </w:rPr>
                    <w:t>年本）》中限制类、淘汰类项目；严禁国家明令禁止或淘汰工艺和设备企业入园；</w:t>
                  </w:r>
                </w:p>
              </w:tc>
              <w:tc>
                <w:tcPr>
                  <w:tcW w:w="1798" w:type="pct"/>
                  <w:tcBorders>
                    <w:top w:val="single" w:color="auto" w:sz="8" w:space="0"/>
                  </w:tcBorders>
                  <w:noWrap w:val="0"/>
                  <w:vAlign w:val="center"/>
                </w:tcPr>
                <w:p w14:paraId="61671C35">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本项目不属于《产业结构调整指导目录（</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2024</w:t>
                  </w:r>
                  <w:r>
                    <w:rPr>
                      <w:rFonts w:hint="eastAsia" w:ascii="Times New Roman" w:hAnsi="Times New Roman" w:eastAsia="宋体" w:cs="Times New Roman"/>
                      <w:b w:val="0"/>
                      <w:bCs w:val="0"/>
                      <w:color w:val="000000" w:themeColor="text1"/>
                      <w:sz w:val="21"/>
                      <w:szCs w:val="21"/>
                      <w14:textFill>
                        <w14:solidFill>
                          <w14:schemeClr w14:val="tx1"/>
                        </w14:solidFill>
                      </w14:textFill>
                    </w:rPr>
                    <w:t>年本）》中限制类、淘汰类项目，属于</w:t>
                  </w:r>
                  <w:r>
                    <w:rPr>
                      <w:rFonts w:hint="eastAsia" w:ascii="Times New Roman" w:hAnsi="Times New Roman" w:eastAsia="宋体" w:cs="Times New Roman"/>
                      <w:b w:val="0"/>
                      <w:bCs w:val="0"/>
                      <w:color w:val="000000" w:themeColor="text1"/>
                      <w:sz w:val="21"/>
                      <w:szCs w:val="21"/>
                      <w:lang w:eastAsia="zh-CN"/>
                      <w14:textFill>
                        <w14:solidFill>
                          <w14:schemeClr w14:val="tx1"/>
                        </w14:solidFill>
                      </w14:textFill>
                    </w:rPr>
                    <w:t>鼓励类</w:t>
                  </w:r>
                  <w:r>
                    <w:rPr>
                      <w:rFonts w:hint="eastAsia" w:ascii="Times New Roman" w:hAnsi="Times New Roman" w:eastAsia="宋体" w:cs="Times New Roman"/>
                      <w:b w:val="0"/>
                      <w:bCs w:val="0"/>
                      <w:color w:val="000000" w:themeColor="text1"/>
                      <w:sz w:val="21"/>
                      <w:szCs w:val="21"/>
                      <w14:textFill>
                        <w14:solidFill>
                          <w14:schemeClr w14:val="tx1"/>
                        </w14:solidFill>
                      </w14:textFill>
                    </w:rPr>
                    <w:t>。</w:t>
                  </w:r>
                </w:p>
              </w:tc>
              <w:tc>
                <w:tcPr>
                  <w:tcW w:w="403" w:type="pct"/>
                  <w:tcBorders>
                    <w:top w:val="single" w:color="auto" w:sz="8" w:space="0"/>
                  </w:tcBorders>
                  <w:noWrap w:val="0"/>
                  <w:vAlign w:val="center"/>
                </w:tcPr>
                <w:p w14:paraId="061E1DFE">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r w14:paraId="721A3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continue"/>
                  <w:noWrap w:val="0"/>
                  <w:vAlign w:val="center"/>
                </w:tcPr>
                <w:p w14:paraId="2AB0EE05">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14:textFill>
                        <w14:solidFill>
                          <w14:schemeClr w14:val="tx1"/>
                        </w14:solidFill>
                      </w14:textFill>
                    </w:rPr>
                  </w:pPr>
                </w:p>
              </w:tc>
              <w:tc>
                <w:tcPr>
                  <w:tcW w:w="2357" w:type="pct"/>
                  <w:noWrap w:val="0"/>
                  <w:vAlign w:val="center"/>
                </w:tcPr>
                <w:p w14:paraId="3D1E6ADF">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2.</w:t>
                  </w:r>
                  <w:r>
                    <w:rPr>
                      <w:rFonts w:hint="default" w:ascii="Times New Roman" w:hAnsi="Times New Roman" w:eastAsia="宋体" w:cs="Times New Roman"/>
                      <w:color w:val="000000" w:themeColor="text1"/>
                      <w:sz w:val="21"/>
                      <w:szCs w:val="21"/>
                      <w:u w:val="none"/>
                      <w14:textFill>
                        <w14:solidFill>
                          <w14:schemeClr w14:val="tx1"/>
                        </w14:solidFill>
                      </w14:textFill>
                    </w:rPr>
                    <w:t>禁止入驻钢铁、金属冶炼、制浆造纸、屠宰、水泥、平板玻璃、建筑陶瓷、化学原料及化学制品、化学药品原料药和生物发酵制药、皮革或毛皮鞣制加工、轮胎制造、再生橡胶制造、印染等不符合园区产业定位且污染重的项目。</w:t>
                  </w:r>
                </w:p>
              </w:tc>
              <w:tc>
                <w:tcPr>
                  <w:tcW w:w="1798" w:type="pct"/>
                  <w:noWrap w:val="0"/>
                  <w:vAlign w:val="center"/>
                </w:tcPr>
                <w:p w14:paraId="5C64391C">
                  <w:pPr>
                    <w:pStyle w:val="7"/>
                    <w:keepNext w:val="0"/>
                    <w:keepLines w:val="0"/>
                    <w:pageBreakBefore w:val="0"/>
                    <w:widowControl w:val="0"/>
                    <w:suppressLineNumbers w:val="0"/>
                    <w:kinsoku/>
                    <w:wordWrap/>
                    <w:overflowPunct/>
                    <w:topLinePunct w:val="0"/>
                    <w:autoSpaceDE/>
                    <w:autoSpaceDN/>
                    <w:bidi w:val="0"/>
                    <w:spacing w:beforeAutospacing="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本项目</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为</w:t>
                  </w:r>
                  <w:r>
                    <w:rPr>
                      <w:rFonts w:hint="eastAsia"/>
                      <w:color w:val="000000" w:themeColor="text1"/>
                      <w:sz w:val="21"/>
                      <w:szCs w:val="21"/>
                      <w:lang w:val="en-US" w:eastAsia="zh-CN"/>
                      <w14:textFill>
                        <w14:solidFill>
                          <w14:schemeClr w14:val="tx1"/>
                        </w14:solidFill>
                      </w14:textFill>
                    </w:rPr>
                    <w:t>机械零部件制造</w:t>
                  </w:r>
                  <w:r>
                    <w:rPr>
                      <w:rFonts w:hint="eastAsia" w:ascii="Times New Roman" w:hAnsi="Times New Roman" w:eastAsia="宋体" w:cs="Times New Roman"/>
                      <w:b w:val="0"/>
                      <w:bCs w:val="0"/>
                      <w:color w:val="000000" w:themeColor="text1"/>
                      <w:sz w:val="21"/>
                      <w:szCs w:val="21"/>
                      <w14:textFill>
                        <w14:solidFill>
                          <w14:schemeClr w14:val="tx1"/>
                        </w14:solidFill>
                      </w14:textFill>
                    </w:rPr>
                    <w:t>，</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不属于园区禁止</w:t>
                  </w: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入内的</w:t>
                  </w:r>
                  <w:r>
                    <w:rPr>
                      <w:rFonts w:hint="default" w:ascii="Times New Roman" w:hAnsi="Times New Roman" w:eastAsia="宋体" w:cs="Times New Roman"/>
                      <w:color w:val="000000" w:themeColor="text1"/>
                      <w:sz w:val="21"/>
                      <w:szCs w:val="21"/>
                      <w:u w:val="none"/>
                      <w14:textFill>
                        <w14:solidFill>
                          <w14:schemeClr w14:val="tx1"/>
                        </w14:solidFill>
                      </w14:textFill>
                    </w:rPr>
                    <w:t>不符合园区产业定位且污染重的项目</w:t>
                  </w:r>
                  <w:r>
                    <w:rPr>
                      <w:rFonts w:hint="eastAsia" w:cs="Times New Roman"/>
                      <w:color w:val="000000" w:themeColor="text1"/>
                      <w:sz w:val="21"/>
                      <w:szCs w:val="21"/>
                      <w:u w:val="none"/>
                      <w:lang w:eastAsia="zh-CN"/>
                      <w14:textFill>
                        <w14:solidFill>
                          <w14:schemeClr w14:val="tx1"/>
                        </w14:solidFill>
                      </w14:textFill>
                    </w:rPr>
                    <w:t>。</w:t>
                  </w:r>
                </w:p>
              </w:tc>
              <w:tc>
                <w:tcPr>
                  <w:tcW w:w="403" w:type="pct"/>
                  <w:noWrap w:val="0"/>
                  <w:vAlign w:val="center"/>
                </w:tcPr>
                <w:p w14:paraId="5FB7BCA8">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r w14:paraId="0EC8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continue"/>
                  <w:noWrap w:val="0"/>
                  <w:vAlign w:val="center"/>
                </w:tcPr>
                <w:p w14:paraId="3C387477">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14:textFill>
                        <w14:solidFill>
                          <w14:schemeClr w14:val="tx1"/>
                        </w14:solidFill>
                      </w14:textFill>
                    </w:rPr>
                  </w:pPr>
                </w:p>
              </w:tc>
              <w:tc>
                <w:tcPr>
                  <w:tcW w:w="2357" w:type="pct"/>
                  <w:noWrap w:val="0"/>
                  <w:vAlign w:val="center"/>
                </w:tcPr>
                <w:p w14:paraId="5B59AF57">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u w:val="none"/>
                      <w14:textFill>
                        <w14:solidFill>
                          <w14:schemeClr w14:val="tx1"/>
                        </w14:solidFill>
                      </w14:textFill>
                    </w:rPr>
                    <w:t>现有化学原料及化学制品、化学药品原料药企业限制发展（不涉及挥发性有机溶剂的单纯复配、分装及升级改造项目除外）。</w:t>
                  </w:r>
                </w:p>
              </w:tc>
              <w:tc>
                <w:tcPr>
                  <w:tcW w:w="1798" w:type="pct"/>
                  <w:noWrap w:val="0"/>
                  <w:vAlign w:val="center"/>
                </w:tcPr>
                <w:p w14:paraId="30593FF4">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本项目为</w:t>
                  </w:r>
                  <w:r>
                    <w:rPr>
                      <w:rFonts w:hint="eastAsia" w:ascii="Times New Roman" w:cs="Times New Roman"/>
                      <w:b w:val="0"/>
                      <w:bCs w:val="0"/>
                      <w:color w:val="000000" w:themeColor="text1"/>
                      <w:sz w:val="21"/>
                      <w:szCs w:val="21"/>
                      <w:lang w:eastAsia="zh-CN"/>
                      <w14:textFill>
                        <w14:solidFill>
                          <w14:schemeClr w14:val="tx1"/>
                        </w14:solidFill>
                      </w14:textFill>
                    </w:rPr>
                    <w:t>机械零部件制造</w:t>
                  </w:r>
                  <w:r>
                    <w:rPr>
                      <w:rFonts w:hint="eastAsia" w:ascii="Times New Roman" w:hAnsi="Times New Roman" w:eastAsia="宋体" w:cs="Times New Roman"/>
                      <w:b w:val="0"/>
                      <w:bCs w:val="0"/>
                      <w:color w:val="000000" w:themeColor="text1"/>
                      <w:sz w:val="21"/>
                      <w:szCs w:val="21"/>
                      <w14:textFill>
                        <w14:solidFill>
                          <w14:schemeClr w14:val="tx1"/>
                        </w14:solidFill>
                      </w14:textFill>
                    </w:rPr>
                    <w:t>，不属于化学原料及化学制品、化学药品原料药行业。</w:t>
                  </w:r>
                </w:p>
              </w:tc>
              <w:tc>
                <w:tcPr>
                  <w:tcW w:w="403" w:type="pct"/>
                  <w:noWrap w:val="0"/>
                  <w:vAlign w:val="center"/>
                </w:tcPr>
                <w:p w14:paraId="1A0A35DD">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r w14:paraId="5D265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continue"/>
                  <w:noWrap w:val="0"/>
                  <w:vAlign w:val="center"/>
                </w:tcPr>
                <w:p w14:paraId="6297BEA0">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14:textFill>
                        <w14:solidFill>
                          <w14:schemeClr w14:val="tx1"/>
                        </w14:solidFill>
                      </w14:textFill>
                    </w:rPr>
                  </w:pPr>
                </w:p>
              </w:tc>
              <w:tc>
                <w:tcPr>
                  <w:tcW w:w="2357" w:type="pct"/>
                  <w:noWrap w:val="0"/>
                  <w:vAlign w:val="center"/>
                </w:tcPr>
                <w:p w14:paraId="466587FD">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u w:val="none"/>
                      <w14:textFill>
                        <w14:solidFill>
                          <w14:schemeClr w14:val="tx1"/>
                        </w14:solidFill>
                      </w14:textFill>
                    </w:rPr>
                    <w:t>禁止入驻食品制造项目，限制现有食品制造企业发展。</w:t>
                  </w:r>
                </w:p>
              </w:tc>
              <w:tc>
                <w:tcPr>
                  <w:tcW w:w="1798" w:type="pct"/>
                  <w:noWrap w:val="0"/>
                  <w:vAlign w:val="center"/>
                </w:tcPr>
                <w:p w14:paraId="5FEE32FF">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本项目为</w:t>
                  </w:r>
                  <w:r>
                    <w:rPr>
                      <w:rFonts w:hint="eastAsia" w:ascii="Times New Roman" w:cs="Times New Roman"/>
                      <w:b w:val="0"/>
                      <w:bCs w:val="0"/>
                      <w:color w:val="000000" w:themeColor="text1"/>
                      <w:sz w:val="21"/>
                      <w:szCs w:val="21"/>
                      <w:lang w:val="en-US" w:eastAsia="zh-CN"/>
                      <w14:textFill>
                        <w14:solidFill>
                          <w14:schemeClr w14:val="tx1"/>
                        </w14:solidFill>
                      </w14:textFill>
                    </w:rPr>
                    <w:t>机械零部件制造</w:t>
                  </w:r>
                  <w:r>
                    <w:rPr>
                      <w:rFonts w:hint="eastAsia" w:ascii="Times New Roman" w:hAnsi="Times New Roman" w:eastAsia="宋体" w:cs="Times New Roman"/>
                      <w:b w:val="0"/>
                      <w:bCs w:val="0"/>
                      <w:color w:val="000000" w:themeColor="text1"/>
                      <w:sz w:val="21"/>
                      <w:szCs w:val="21"/>
                      <w14:textFill>
                        <w14:solidFill>
                          <w14:schemeClr w14:val="tx1"/>
                        </w14:solidFill>
                      </w14:textFill>
                    </w:rPr>
                    <w:t>，不属于食品制造项目。</w:t>
                  </w:r>
                </w:p>
              </w:tc>
              <w:tc>
                <w:tcPr>
                  <w:tcW w:w="403" w:type="pct"/>
                  <w:noWrap w:val="0"/>
                  <w:vAlign w:val="center"/>
                </w:tcPr>
                <w:p w14:paraId="16C2545F">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r w14:paraId="1A22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continue"/>
                  <w:noWrap w:val="0"/>
                  <w:vAlign w:val="center"/>
                </w:tcPr>
                <w:p w14:paraId="2549190B">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14:textFill>
                        <w14:solidFill>
                          <w14:schemeClr w14:val="tx1"/>
                        </w14:solidFill>
                      </w14:textFill>
                    </w:rPr>
                  </w:pPr>
                </w:p>
              </w:tc>
              <w:tc>
                <w:tcPr>
                  <w:tcW w:w="2357" w:type="pct"/>
                  <w:noWrap w:val="0"/>
                  <w:vAlign w:val="center"/>
                </w:tcPr>
                <w:p w14:paraId="2A94691A">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u w:val="none"/>
                      <w14:textFill>
                        <w14:solidFill>
                          <w14:schemeClr w14:val="tx1"/>
                        </w14:solidFill>
                      </w14:textFill>
                    </w:rPr>
                    <w:t>禁止建设生产和使用高VOCs含量的溶剂型涂料、油墨、胶粘剂等项目。</w:t>
                  </w:r>
                </w:p>
              </w:tc>
              <w:tc>
                <w:tcPr>
                  <w:tcW w:w="1798" w:type="pct"/>
                  <w:noWrap w:val="0"/>
                  <w:vAlign w:val="center"/>
                </w:tcPr>
                <w:p w14:paraId="0F0397E4">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本项目不涉及生产和使用高VOCs含量的溶剂型涂料、油墨、胶粘剂等。</w:t>
                  </w:r>
                </w:p>
              </w:tc>
              <w:tc>
                <w:tcPr>
                  <w:tcW w:w="403" w:type="pct"/>
                  <w:noWrap w:val="0"/>
                  <w:vAlign w:val="center"/>
                </w:tcPr>
                <w:p w14:paraId="57034B3B">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r w14:paraId="7B058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continue"/>
                  <w:noWrap w:val="0"/>
                  <w:vAlign w:val="center"/>
                </w:tcPr>
                <w:p w14:paraId="369255D0">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14:textFill>
                        <w14:solidFill>
                          <w14:schemeClr w14:val="tx1"/>
                        </w14:solidFill>
                      </w14:textFill>
                    </w:rPr>
                  </w:pPr>
                </w:p>
              </w:tc>
              <w:tc>
                <w:tcPr>
                  <w:tcW w:w="2357" w:type="pct"/>
                  <w:noWrap w:val="0"/>
                  <w:vAlign w:val="center"/>
                </w:tcPr>
                <w:p w14:paraId="3274C094">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6.</w:t>
                  </w:r>
                  <w:r>
                    <w:rPr>
                      <w:rFonts w:hint="default" w:ascii="Times New Roman" w:hAnsi="Times New Roman" w:eastAsia="宋体" w:cs="Times New Roman"/>
                      <w:color w:val="000000" w:themeColor="text1"/>
                      <w:sz w:val="21"/>
                      <w:szCs w:val="21"/>
                      <w:u w:val="none"/>
                      <w14:textFill>
                        <w14:solidFill>
                          <w14:schemeClr w14:val="tx1"/>
                        </w14:solidFill>
                      </w14:textFill>
                    </w:rPr>
                    <w:t>禁止涉及含苯（苯系物）漆料项目入园，限制现有企业使用含苯（苯系物）漆料。</w:t>
                  </w:r>
                </w:p>
              </w:tc>
              <w:tc>
                <w:tcPr>
                  <w:tcW w:w="1798" w:type="pct"/>
                  <w:noWrap w:val="0"/>
                  <w:vAlign w:val="center"/>
                </w:tcPr>
                <w:p w14:paraId="3E358D2F">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本项目不涉及使用</w:t>
                  </w:r>
                  <w:r>
                    <w:rPr>
                      <w:rFonts w:hint="default" w:ascii="Times New Roman" w:hAnsi="Times New Roman" w:eastAsia="宋体" w:cs="Times New Roman"/>
                      <w:color w:val="000000" w:themeColor="text1"/>
                      <w:sz w:val="21"/>
                      <w:szCs w:val="21"/>
                      <w:u w:val="none"/>
                      <w14:textFill>
                        <w14:solidFill>
                          <w14:schemeClr w14:val="tx1"/>
                        </w14:solidFill>
                      </w14:textFill>
                    </w:rPr>
                    <w:t>含苯（苯系物）漆料</w:t>
                  </w:r>
                  <w:r>
                    <w:rPr>
                      <w:rFonts w:hint="eastAsia" w:ascii="Times New Roman" w:hAnsi="Times New Roman" w:eastAsia="宋体" w:cs="Times New Roman"/>
                      <w:b w:val="0"/>
                      <w:bCs w:val="0"/>
                      <w:color w:val="000000" w:themeColor="text1"/>
                      <w:sz w:val="21"/>
                      <w:szCs w:val="21"/>
                      <w14:textFill>
                        <w14:solidFill>
                          <w14:schemeClr w14:val="tx1"/>
                        </w14:solidFill>
                      </w14:textFill>
                    </w:rPr>
                    <w:t>。</w:t>
                  </w:r>
                </w:p>
              </w:tc>
              <w:tc>
                <w:tcPr>
                  <w:tcW w:w="403" w:type="pct"/>
                  <w:noWrap w:val="0"/>
                  <w:vAlign w:val="center"/>
                </w:tcPr>
                <w:p w14:paraId="0D71ABB7">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r w14:paraId="217F0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continue"/>
                  <w:noWrap w:val="0"/>
                  <w:vAlign w:val="center"/>
                </w:tcPr>
                <w:p w14:paraId="40486988">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14:textFill>
                        <w14:solidFill>
                          <w14:schemeClr w14:val="tx1"/>
                        </w14:solidFill>
                      </w14:textFill>
                    </w:rPr>
                  </w:pPr>
                </w:p>
              </w:tc>
              <w:tc>
                <w:tcPr>
                  <w:tcW w:w="2357" w:type="pct"/>
                  <w:noWrap w:val="0"/>
                  <w:vAlign w:val="center"/>
                </w:tcPr>
                <w:p w14:paraId="178EAA7B">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7.</w:t>
                  </w:r>
                  <w:r>
                    <w:rPr>
                      <w:rFonts w:hint="default" w:ascii="Times New Roman" w:hAnsi="Times New Roman" w:eastAsia="宋体" w:cs="Times New Roman"/>
                      <w:color w:val="000000" w:themeColor="text1"/>
                      <w:sz w:val="21"/>
                      <w:szCs w:val="21"/>
                      <w:u w:val="none"/>
                      <w14:textFill>
                        <w14:solidFill>
                          <w14:schemeClr w14:val="tx1"/>
                        </w14:solidFill>
                      </w14:textFill>
                    </w:rPr>
                    <w:t>禁止新增铸造行业产能。</w:t>
                  </w:r>
                </w:p>
              </w:tc>
              <w:tc>
                <w:tcPr>
                  <w:tcW w:w="1798" w:type="pct"/>
                  <w:noWrap w:val="0"/>
                  <w:vAlign w:val="center"/>
                </w:tcPr>
                <w:p w14:paraId="1B9CFE77">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本项目不属于铸造行业。</w:t>
                  </w:r>
                </w:p>
              </w:tc>
              <w:tc>
                <w:tcPr>
                  <w:tcW w:w="403" w:type="pct"/>
                  <w:noWrap w:val="0"/>
                  <w:vAlign w:val="center"/>
                </w:tcPr>
                <w:p w14:paraId="01965630">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r w14:paraId="2FD2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continue"/>
                  <w:noWrap w:val="0"/>
                  <w:vAlign w:val="center"/>
                </w:tcPr>
                <w:p w14:paraId="6E5AE963">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14:textFill>
                        <w14:solidFill>
                          <w14:schemeClr w14:val="tx1"/>
                        </w14:solidFill>
                      </w14:textFill>
                    </w:rPr>
                  </w:pPr>
                </w:p>
              </w:tc>
              <w:tc>
                <w:tcPr>
                  <w:tcW w:w="2357" w:type="pct"/>
                  <w:noWrap w:val="0"/>
                  <w:vAlign w:val="center"/>
                </w:tcPr>
                <w:p w14:paraId="05C83833">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8.</w:t>
                  </w:r>
                  <w:r>
                    <w:rPr>
                      <w:rFonts w:hint="default" w:ascii="Times New Roman" w:hAnsi="Times New Roman" w:eastAsia="宋体" w:cs="Times New Roman"/>
                      <w:color w:val="000000" w:themeColor="text1"/>
                      <w:sz w:val="21"/>
                      <w:szCs w:val="21"/>
                      <w:u w:val="none"/>
                      <w14:textFill>
                        <w14:solidFill>
                          <w14:schemeClr w14:val="tx1"/>
                        </w14:solidFill>
                      </w14:textFill>
                    </w:rPr>
                    <w:t>禁止入驻非集中供热性质的燃煤、燃重油、渣油等锅炉或炉窑；</w:t>
                  </w:r>
                </w:p>
              </w:tc>
              <w:tc>
                <w:tcPr>
                  <w:tcW w:w="1798" w:type="pct"/>
                  <w:noWrap w:val="0"/>
                  <w:vAlign w:val="center"/>
                </w:tcPr>
                <w:p w14:paraId="7E6146C0">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本项目不涉及锅炉。</w:t>
                  </w:r>
                </w:p>
              </w:tc>
              <w:tc>
                <w:tcPr>
                  <w:tcW w:w="403" w:type="pct"/>
                  <w:noWrap w:val="0"/>
                  <w:vAlign w:val="center"/>
                </w:tcPr>
                <w:p w14:paraId="2B0389D7">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r w14:paraId="40394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continue"/>
                  <w:noWrap w:val="0"/>
                  <w:vAlign w:val="center"/>
                </w:tcPr>
                <w:p w14:paraId="4CC47291">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14:textFill>
                        <w14:solidFill>
                          <w14:schemeClr w14:val="tx1"/>
                        </w14:solidFill>
                      </w14:textFill>
                    </w:rPr>
                  </w:pPr>
                </w:p>
              </w:tc>
              <w:tc>
                <w:tcPr>
                  <w:tcW w:w="2357" w:type="pct"/>
                  <w:noWrap w:val="0"/>
                  <w:vAlign w:val="center"/>
                </w:tcPr>
                <w:p w14:paraId="5A57B2AA">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9.</w:t>
                  </w:r>
                  <w:r>
                    <w:rPr>
                      <w:rFonts w:hint="default" w:ascii="Times New Roman" w:hAnsi="Times New Roman" w:eastAsia="宋体" w:cs="Times New Roman"/>
                      <w:color w:val="000000" w:themeColor="text1"/>
                      <w:sz w:val="21"/>
                      <w:szCs w:val="21"/>
                      <w:u w:val="none"/>
                      <w14:textFill>
                        <w14:solidFill>
                          <w14:schemeClr w14:val="tx1"/>
                        </w14:solidFill>
                      </w14:textFill>
                    </w:rPr>
                    <w:t>禁止新、改、扩建“两高”项目，与主导产业相符的“两高”项目除外。</w:t>
                  </w:r>
                </w:p>
              </w:tc>
              <w:tc>
                <w:tcPr>
                  <w:tcW w:w="1798" w:type="pct"/>
                  <w:noWrap w:val="0"/>
                  <w:vAlign w:val="center"/>
                </w:tcPr>
                <w:p w14:paraId="7439346E">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本项目不属于“两高”项目。</w:t>
                  </w:r>
                </w:p>
              </w:tc>
              <w:tc>
                <w:tcPr>
                  <w:tcW w:w="403" w:type="pct"/>
                  <w:noWrap w:val="0"/>
                  <w:vAlign w:val="center"/>
                </w:tcPr>
                <w:p w14:paraId="0BB1BEE7">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r w14:paraId="4F159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continue"/>
                  <w:noWrap w:val="0"/>
                  <w:vAlign w:val="center"/>
                </w:tcPr>
                <w:p w14:paraId="5142D4F5">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14:textFill>
                        <w14:solidFill>
                          <w14:schemeClr w14:val="tx1"/>
                        </w14:solidFill>
                      </w14:textFill>
                    </w:rPr>
                  </w:pPr>
                </w:p>
              </w:tc>
              <w:tc>
                <w:tcPr>
                  <w:tcW w:w="2357" w:type="pct"/>
                  <w:noWrap w:val="0"/>
                  <w:vAlign w:val="center"/>
                </w:tcPr>
                <w:p w14:paraId="1A2621E9">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10.</w:t>
                  </w:r>
                  <w:r>
                    <w:rPr>
                      <w:rFonts w:hint="default" w:ascii="Times New Roman" w:hAnsi="Times New Roman" w:eastAsia="宋体" w:cs="Times New Roman"/>
                      <w:color w:val="000000" w:themeColor="text1"/>
                      <w:sz w:val="21"/>
                      <w:szCs w:val="21"/>
                      <w:u w:val="none"/>
                      <w14:textFill>
                        <w14:solidFill>
                          <w14:schemeClr w14:val="tx1"/>
                        </w14:solidFill>
                      </w14:textFill>
                    </w:rPr>
                    <w:t>禁止新增铅、铬、镉、汞、砷等重点控制重金属污染物排放的项目入驻。</w:t>
                  </w:r>
                </w:p>
              </w:tc>
              <w:tc>
                <w:tcPr>
                  <w:tcW w:w="1798" w:type="pct"/>
                  <w:noWrap w:val="0"/>
                  <w:vAlign w:val="center"/>
                </w:tcPr>
                <w:p w14:paraId="702555B7">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u w:val="none"/>
                      <w:lang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本项目不涉及重金属污染物排放</w:t>
                  </w:r>
                  <w:r>
                    <w:rPr>
                      <w:rFonts w:hint="eastAsia" w:ascii="Times New Roman" w:hAnsi="Times New Roman" w:eastAsia="宋体" w:cs="Times New Roman"/>
                      <w:b w:val="0"/>
                      <w:bCs w:val="0"/>
                      <w:color w:val="000000" w:themeColor="text1"/>
                      <w:sz w:val="21"/>
                      <w:szCs w:val="21"/>
                      <w:lang w:eastAsia="zh-CN"/>
                      <w14:textFill>
                        <w14:solidFill>
                          <w14:schemeClr w14:val="tx1"/>
                        </w14:solidFill>
                      </w14:textFill>
                    </w:rPr>
                    <w:t>。</w:t>
                  </w:r>
                </w:p>
              </w:tc>
              <w:tc>
                <w:tcPr>
                  <w:tcW w:w="403" w:type="pct"/>
                  <w:noWrap w:val="0"/>
                  <w:vAlign w:val="center"/>
                </w:tcPr>
                <w:p w14:paraId="7FC6F2CD">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r w14:paraId="74D17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continue"/>
                  <w:noWrap w:val="0"/>
                  <w:vAlign w:val="center"/>
                </w:tcPr>
                <w:p w14:paraId="62192680">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14:textFill>
                        <w14:solidFill>
                          <w14:schemeClr w14:val="tx1"/>
                        </w14:solidFill>
                      </w14:textFill>
                    </w:rPr>
                  </w:pPr>
                </w:p>
              </w:tc>
              <w:tc>
                <w:tcPr>
                  <w:tcW w:w="2357" w:type="pct"/>
                  <w:noWrap w:val="0"/>
                  <w:vAlign w:val="center"/>
                </w:tcPr>
                <w:p w14:paraId="087AACCF">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11.</w:t>
                  </w:r>
                  <w:r>
                    <w:rPr>
                      <w:rFonts w:hint="default" w:ascii="Times New Roman" w:hAnsi="Times New Roman" w:eastAsia="宋体" w:cs="Times New Roman"/>
                      <w:color w:val="000000" w:themeColor="text1"/>
                      <w:sz w:val="21"/>
                      <w:szCs w:val="21"/>
                      <w:u w:val="none"/>
                      <w14:textFill>
                        <w14:solidFill>
                          <w14:schemeClr w14:val="tx1"/>
                        </w14:solidFill>
                      </w14:textFill>
                    </w:rPr>
                    <w:t>禁止不符合土地利用性质的三类工业项目入驻。</w:t>
                  </w:r>
                </w:p>
              </w:tc>
              <w:tc>
                <w:tcPr>
                  <w:tcW w:w="1798" w:type="pct"/>
                  <w:vMerge w:val="restart"/>
                  <w:noWrap w:val="0"/>
                  <w:vAlign w:val="center"/>
                </w:tcPr>
                <w:p w14:paraId="5B2C6F68">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b w:val="0"/>
                      <w:bCs w:val="0"/>
                      <w:color w:val="000000" w:themeColor="text1"/>
                      <w:sz w:val="21"/>
                      <w:szCs w:val="21"/>
                      <w:highlight w:val="none"/>
                      <w14:textFill>
                        <w14:solidFill>
                          <w14:schemeClr w14:val="tx1"/>
                        </w14:solidFill>
                      </w14:textFill>
                    </w:rPr>
                    <w:t>本项目位于</w:t>
                  </w:r>
                  <w:r>
                    <w:rPr>
                      <w:rFonts w:hint="eastAsia" w:ascii="Times New Roman" w:cs="Times New Roman"/>
                      <w:b w:val="0"/>
                      <w:bCs w:val="0"/>
                      <w:color w:val="000000" w:themeColor="text1"/>
                      <w:sz w:val="21"/>
                      <w:szCs w:val="21"/>
                      <w:highlight w:val="none"/>
                      <w:lang w:val="en-US" w:eastAsia="zh-CN"/>
                      <w14:textFill>
                        <w14:solidFill>
                          <w14:schemeClr w14:val="tx1"/>
                        </w14:solidFill>
                      </w14:textFill>
                    </w:rPr>
                    <w:t>新乡市新乡县翟坡镇东大阳堤村村西中央大道东侧</w:t>
                  </w:r>
                  <w:r>
                    <w:rPr>
                      <w:rFonts w:hint="eastAsia" w:ascii="Times New Roman" w:hAnsi="Times New Roman" w:eastAsia="宋体" w:cs="Times New Roman"/>
                      <w:b w:val="0"/>
                      <w:bCs w:val="0"/>
                      <w:color w:val="000000" w:themeColor="text1"/>
                      <w:sz w:val="21"/>
                      <w:szCs w:val="21"/>
                      <w:highlight w:val="none"/>
                      <w14:textFill>
                        <w14:solidFill>
                          <w14:schemeClr w14:val="tx1"/>
                        </w14:solidFill>
                      </w14:textFill>
                    </w:rPr>
                    <w:t>，根据</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《新乡县智能制造产业园区总体发展规划（2021-2035）-土地利用规划图》</w:t>
                  </w:r>
                  <w:r>
                    <w:rPr>
                      <w:rFonts w:hint="eastAsia" w:ascii="Times New Roman" w:hAnsi="Times New Roman" w:eastAsia="宋体" w:cs="Times New Roman"/>
                      <w:b w:val="0"/>
                      <w:bCs w:val="0"/>
                      <w:color w:val="000000" w:themeColor="text1"/>
                      <w:sz w:val="21"/>
                      <w:szCs w:val="21"/>
                      <w:highlight w:val="none"/>
                      <w14:textFill>
                        <w14:solidFill>
                          <w14:schemeClr w14:val="tx1"/>
                        </w14:solidFill>
                      </w14:textFill>
                    </w:rPr>
                    <w:t>，项目所占用地为</w:t>
                  </w:r>
                  <w: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t>二类</w:t>
                  </w:r>
                  <w:r>
                    <w:rPr>
                      <w:rFonts w:hint="eastAsia" w:ascii="Times New Roman" w:hAnsi="Times New Roman" w:eastAsia="宋体" w:cs="Times New Roman"/>
                      <w:b w:val="0"/>
                      <w:bCs w:val="0"/>
                      <w:color w:val="000000" w:themeColor="text1"/>
                      <w:sz w:val="21"/>
                      <w:szCs w:val="21"/>
                      <w:highlight w:val="none"/>
                      <w14:textFill>
                        <w14:solidFill>
                          <w14:schemeClr w14:val="tx1"/>
                        </w14:solidFill>
                      </w14:textFill>
                    </w:rPr>
                    <w:t>用地，符合新乡县智能制造产业园区总体发展规划要求。</w:t>
                  </w:r>
                </w:p>
              </w:tc>
              <w:tc>
                <w:tcPr>
                  <w:tcW w:w="403" w:type="pct"/>
                  <w:vMerge w:val="restart"/>
                  <w:noWrap w:val="0"/>
                  <w:vAlign w:val="center"/>
                </w:tcPr>
                <w:p w14:paraId="2D0F3544">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r w14:paraId="1BF5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continue"/>
                  <w:noWrap w:val="0"/>
                  <w:vAlign w:val="center"/>
                </w:tcPr>
                <w:p w14:paraId="0182DBA7">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14:textFill>
                        <w14:solidFill>
                          <w14:schemeClr w14:val="tx1"/>
                        </w14:solidFill>
                      </w14:textFill>
                    </w:rPr>
                  </w:pPr>
                </w:p>
              </w:tc>
              <w:tc>
                <w:tcPr>
                  <w:tcW w:w="2357" w:type="pct"/>
                  <w:noWrap w:val="0"/>
                  <w:vAlign w:val="center"/>
                </w:tcPr>
                <w:p w14:paraId="736C5D4B">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12.</w:t>
                  </w:r>
                  <w:r>
                    <w:rPr>
                      <w:rFonts w:hint="default" w:ascii="Times New Roman" w:hAnsi="Times New Roman" w:eastAsia="宋体" w:cs="Times New Roman"/>
                      <w:color w:val="000000" w:themeColor="text1"/>
                      <w:sz w:val="21"/>
                      <w:szCs w:val="21"/>
                      <w:u w:val="none"/>
                      <w14:textFill>
                        <w14:solidFill>
                          <w14:schemeClr w14:val="tx1"/>
                        </w14:solidFill>
                      </w14:textFill>
                    </w:rPr>
                    <w:t>土地利用规划调整到位前不得入驻与土地性质不符的项目。</w:t>
                  </w:r>
                </w:p>
              </w:tc>
              <w:tc>
                <w:tcPr>
                  <w:tcW w:w="1798" w:type="pct"/>
                  <w:vMerge w:val="continue"/>
                  <w:noWrap w:val="0"/>
                  <w:vAlign w:val="center"/>
                </w:tcPr>
                <w:p w14:paraId="136CB04F">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14:textFill>
                        <w14:solidFill>
                          <w14:schemeClr w14:val="tx1"/>
                        </w14:solidFill>
                      </w14:textFill>
                    </w:rPr>
                  </w:pPr>
                </w:p>
              </w:tc>
              <w:tc>
                <w:tcPr>
                  <w:tcW w:w="403" w:type="pct"/>
                  <w:vMerge w:val="continue"/>
                  <w:noWrap w:val="0"/>
                  <w:vAlign w:val="center"/>
                </w:tcPr>
                <w:p w14:paraId="20A26EB9">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p>
              </w:tc>
            </w:tr>
            <w:tr w14:paraId="7B71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restart"/>
                  <w:noWrap w:val="0"/>
                  <w:vAlign w:val="center"/>
                </w:tcPr>
                <w:p w14:paraId="481CFD8F">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center"/>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污染物排放</w:t>
                  </w:r>
                  <w:r>
                    <w:rPr>
                      <w:rFonts w:hint="eastAsia" w:ascii="Times New Roman" w:hAnsi="Times New Roman" w:eastAsia="宋体"/>
                      <w:color w:val="000000" w:themeColor="text1"/>
                      <w:sz w:val="21"/>
                      <w:szCs w:val="21"/>
                      <w:lang w:val="en-US" w:eastAsia="zh-CN"/>
                      <w14:textFill>
                        <w14:solidFill>
                          <w14:schemeClr w14:val="tx1"/>
                        </w14:solidFill>
                      </w14:textFill>
                    </w:rPr>
                    <w:t>管控</w:t>
                  </w:r>
                </w:p>
              </w:tc>
              <w:tc>
                <w:tcPr>
                  <w:tcW w:w="2357" w:type="pct"/>
                  <w:noWrap w:val="0"/>
                  <w:vAlign w:val="center"/>
                </w:tcPr>
                <w:p w14:paraId="64A3DF95">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禁止发展环境污染严重、无污染治理技术或治理技术在技术经济上不可行的项目。</w:t>
                  </w:r>
                </w:p>
              </w:tc>
              <w:tc>
                <w:tcPr>
                  <w:tcW w:w="1798" w:type="pct"/>
                  <w:noWrap w:val="0"/>
                  <w:vAlign w:val="center"/>
                </w:tcPr>
                <w:p w14:paraId="030B7488">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cs="Times New Roman"/>
                      <w:b w:val="0"/>
                      <w:bCs w:val="0"/>
                      <w:color w:val="000000" w:themeColor="text1"/>
                      <w:sz w:val="21"/>
                      <w:szCs w:val="21"/>
                      <w:lang w:eastAsia="zh-CN"/>
                      <w14:textFill>
                        <w14:solidFill>
                          <w14:schemeClr w14:val="tx1"/>
                        </w14:solidFill>
                      </w14:textFill>
                    </w:rPr>
                    <w:t>本项目不涉及废气，生活废水经化粪池处理后通过污水管网排入新乡县综合污水处理厂。</w:t>
                  </w:r>
                </w:p>
              </w:tc>
              <w:tc>
                <w:tcPr>
                  <w:tcW w:w="403" w:type="pct"/>
                  <w:noWrap w:val="0"/>
                  <w:vAlign w:val="center"/>
                </w:tcPr>
                <w:p w14:paraId="1360F57B">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r w14:paraId="5613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vMerge w:val="continue"/>
                  <w:noWrap w:val="0"/>
                  <w:vAlign w:val="center"/>
                </w:tcPr>
                <w:p w14:paraId="50002B16">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center"/>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p>
              </w:tc>
              <w:tc>
                <w:tcPr>
                  <w:tcW w:w="2357" w:type="pct"/>
                  <w:noWrap w:val="0"/>
                  <w:vAlign w:val="center"/>
                </w:tcPr>
                <w:p w14:paraId="289ADEDB">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禁止入驻废水处理难度大且处理工艺不成熟，排水可能影响集中污水处理厂稳定运行达标排放的项目；</w:t>
                  </w:r>
                </w:p>
              </w:tc>
              <w:tc>
                <w:tcPr>
                  <w:tcW w:w="1798" w:type="pct"/>
                  <w:noWrap w:val="0"/>
                  <w:vAlign w:val="center"/>
                </w:tcPr>
                <w:p w14:paraId="3E2718AE">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本项目</w:t>
                  </w:r>
                  <w:r>
                    <w:rPr>
                      <w:rFonts w:hint="eastAsia" w:ascii="Times New Roman" w:cs="Times New Roman"/>
                      <w:b w:val="0"/>
                      <w:bCs w:val="0"/>
                      <w:color w:val="000000" w:themeColor="text1"/>
                      <w:sz w:val="21"/>
                      <w:szCs w:val="21"/>
                      <w:lang w:eastAsia="zh-CN"/>
                      <w14:textFill>
                        <w14:solidFill>
                          <w14:schemeClr w14:val="tx1"/>
                        </w14:solidFill>
                      </w14:textFill>
                    </w:rPr>
                    <w:t>不涉及生产废水，</w:t>
                  </w:r>
                  <w:r>
                    <w:rPr>
                      <w:rFonts w:hint="eastAsia" w:ascii="Times New Roman" w:cs="Times New Roman"/>
                      <w:b w:val="0"/>
                      <w:bCs w:val="0"/>
                      <w:color w:val="000000" w:themeColor="text1"/>
                      <w:sz w:val="21"/>
                      <w:szCs w:val="21"/>
                      <w:lang w:val="en-US" w:eastAsia="zh-CN"/>
                      <w14:textFill>
                        <w14:solidFill>
                          <w14:schemeClr w14:val="tx1"/>
                        </w14:solidFill>
                      </w14:textFill>
                    </w:rPr>
                    <w:t>生活废水经化粪池处理后通过污水管网排入新乡县综合污水处理厂</w:t>
                  </w:r>
                  <w:r>
                    <w:rPr>
                      <w:rFonts w:hint="eastAsia" w:ascii="Times New Roman" w:hAnsi="Times New Roman" w:eastAsia="宋体" w:cs="Times New Roman"/>
                      <w:b w:val="0"/>
                      <w:bCs w:val="0"/>
                      <w:color w:val="000000" w:themeColor="text1"/>
                      <w:sz w:val="21"/>
                      <w:szCs w:val="21"/>
                      <w14:textFill>
                        <w14:solidFill>
                          <w14:schemeClr w14:val="tx1"/>
                        </w14:solidFill>
                      </w14:textFill>
                    </w:rPr>
                    <w:t>。</w:t>
                  </w:r>
                </w:p>
              </w:tc>
              <w:tc>
                <w:tcPr>
                  <w:tcW w:w="403" w:type="pct"/>
                  <w:noWrap w:val="0"/>
                  <w:vAlign w:val="center"/>
                </w:tcPr>
                <w:p w14:paraId="14B7F8C0">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r w14:paraId="30E48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noWrap w:val="0"/>
                  <w:vAlign w:val="center"/>
                </w:tcPr>
                <w:p w14:paraId="09DD6A93">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环境风险防控</w:t>
                  </w:r>
                </w:p>
              </w:tc>
              <w:tc>
                <w:tcPr>
                  <w:tcW w:w="2357" w:type="pct"/>
                  <w:noWrap w:val="0"/>
                  <w:vAlign w:val="center"/>
                </w:tcPr>
                <w:p w14:paraId="50340026">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禁止入驻与环境敏感目标间距不能满足建设项目环评文件或行业规定的防护距离要求的项目。</w:t>
                  </w:r>
                </w:p>
              </w:tc>
              <w:tc>
                <w:tcPr>
                  <w:tcW w:w="1798" w:type="pct"/>
                  <w:noWrap w:val="0"/>
                  <w:vAlign w:val="center"/>
                </w:tcPr>
                <w:p w14:paraId="44A897C7">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center"/>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本项目不涉及。</w:t>
                  </w:r>
                </w:p>
              </w:tc>
              <w:tc>
                <w:tcPr>
                  <w:tcW w:w="403" w:type="pct"/>
                  <w:noWrap w:val="0"/>
                  <w:vAlign w:val="center"/>
                </w:tcPr>
                <w:p w14:paraId="3C270D4C">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r w14:paraId="6993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0" w:type="pct"/>
                  <w:noWrap w:val="0"/>
                  <w:vAlign w:val="center"/>
                </w:tcPr>
                <w:p w14:paraId="1A263FB4">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资源开发利用要求</w:t>
                  </w:r>
                </w:p>
              </w:tc>
              <w:tc>
                <w:tcPr>
                  <w:tcW w:w="2357" w:type="pct"/>
                  <w:noWrap w:val="0"/>
                  <w:vAlign w:val="center"/>
                </w:tcPr>
                <w:p w14:paraId="243D00F8">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禁止清洁生产水平达不到国内先进水平的项目。</w:t>
                  </w:r>
                </w:p>
              </w:tc>
              <w:tc>
                <w:tcPr>
                  <w:tcW w:w="1798" w:type="pct"/>
                  <w:noWrap w:val="0"/>
                  <w:vAlign w:val="center"/>
                </w:tcPr>
                <w:p w14:paraId="3C471ACA">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sz w:val="21"/>
                      <w:szCs w:val="21"/>
                      <w14:textFill>
                        <w14:solidFill>
                          <w14:schemeClr w14:val="tx1"/>
                        </w14:solidFill>
                      </w14:textFill>
                    </w:rPr>
                    <w:t>本项目清洁生产水平达到国内先进水平。</w:t>
                  </w:r>
                </w:p>
              </w:tc>
              <w:tc>
                <w:tcPr>
                  <w:tcW w:w="403" w:type="pct"/>
                  <w:noWrap w:val="0"/>
                  <w:vAlign w:val="center"/>
                </w:tcPr>
                <w:p w14:paraId="5BF1BBA2">
                  <w:pPr>
                    <w:pStyle w:val="53"/>
                    <w:keepNext w:val="0"/>
                    <w:keepLines w:val="0"/>
                    <w:pageBreakBefore w:val="0"/>
                    <w:widowControl w:val="0"/>
                    <w:suppressLineNumbers w:val="0"/>
                    <w:kinsoku/>
                    <w:wordWrap/>
                    <w:overflowPunct/>
                    <w:topLinePunct w:val="0"/>
                    <w:autoSpaceDE/>
                    <w:autoSpaceDN/>
                    <w:bidi w:val="0"/>
                    <w:spacing w:beforeLines="0" w:beforeAutospacing="0" w:afterLines="0" w:afterAutospacing="0" w:line="240" w:lineRule="auto"/>
                    <w:ind w:left="0" w:right="0" w:firstLine="0" w:firstLineChars="0"/>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不属于</w:t>
                  </w:r>
                </w:p>
              </w:tc>
            </w:tr>
          </w:tbl>
          <w:p w14:paraId="2BDC3E2E">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20" w:lineRule="exact"/>
              <w:ind w:left="0" w:right="0" w:firstLine="480" w:firstLineChars="200"/>
              <w:jc w:val="both"/>
              <w:textAlignment w:val="auto"/>
              <w:rPr>
                <w:rFonts w:hint="eastAsia" w:ascii="Times New Roman" w:hAnsi="Times New Roman" w:eastAsia="宋体"/>
                <w:color w:val="000000" w:themeColor="text1"/>
                <w:lang w:eastAsia="zh-CN"/>
                <w14:textFill>
                  <w14:solidFill>
                    <w14:schemeClr w14:val="tx1"/>
                  </w14:solidFill>
                </w14:textFill>
              </w:rPr>
            </w:pPr>
            <w:r>
              <w:rPr>
                <w:rFonts w:hint="default" w:ascii="Times New Roman" w:hAnsi="Times New Roman" w:eastAsia="宋体"/>
                <w:color w:val="000000" w:themeColor="text1"/>
                <w14:textFill>
                  <w14:solidFill>
                    <w14:schemeClr w14:val="tx1"/>
                  </w14:solidFill>
                </w14:textFill>
              </w:rPr>
              <w:t>本项目位于</w:t>
            </w:r>
            <w:r>
              <w:rPr>
                <w:rFonts w:hint="eastAsia"/>
                <w:color w:val="000000" w:themeColor="text1"/>
                <w:lang w:val="en-US" w:eastAsia="zh-CN"/>
                <w14:textFill>
                  <w14:solidFill>
                    <w14:schemeClr w14:val="tx1"/>
                  </w14:solidFill>
                </w14:textFill>
              </w:rPr>
              <w:t>新乡市新乡县翟坡镇东大阳堤村村西中央大道东侧</w:t>
            </w:r>
            <w:r>
              <w:rPr>
                <w:rFonts w:hint="default" w:ascii="Times New Roman" w:hAnsi="Times New Roman" w:eastAsia="宋体"/>
                <w:color w:val="000000" w:themeColor="text1"/>
                <w14:textFill>
                  <w14:solidFill>
                    <w14:schemeClr w14:val="tx1"/>
                  </w14:solidFill>
                </w14:textFill>
              </w:rPr>
              <w:t>，</w:t>
            </w:r>
            <w:r>
              <w:rPr>
                <w:rFonts w:hint="default" w:ascii="Times New Roman" w:hAnsi="Times New Roman" w:eastAsia="宋体"/>
                <w:color w:val="000000" w:themeColor="text1"/>
                <w:highlight w:val="none"/>
                <w14:textFill>
                  <w14:solidFill>
                    <w14:schemeClr w14:val="tx1"/>
                  </w14:solidFill>
                </w14:textFill>
              </w:rPr>
              <w:t>本项目属于</w:t>
            </w:r>
            <w:r>
              <w:rPr>
                <w:rFonts w:hint="eastAsia"/>
                <w:color w:val="000000" w:themeColor="text1"/>
                <w:highlight w:val="none"/>
                <w:lang w:val="en-US" w:eastAsia="zh-CN"/>
                <w14:textFill>
                  <w14:solidFill>
                    <w14:schemeClr w14:val="tx1"/>
                  </w14:solidFill>
                </w14:textFill>
              </w:rPr>
              <w:t>机械零部件制造</w:t>
            </w:r>
            <w:r>
              <w:rPr>
                <w:rFonts w:hint="default" w:ascii="Times New Roman" w:hAnsi="Times New Roman" w:eastAsia="宋体"/>
                <w:color w:val="000000" w:themeColor="text1"/>
                <w14:textFill>
                  <w14:solidFill>
                    <w14:schemeClr w14:val="tx1"/>
                  </w14:solidFill>
                </w14:textFill>
              </w:rPr>
              <w:t>，符合</w:t>
            </w:r>
            <w:r>
              <w:rPr>
                <w:rFonts w:hint="eastAsia" w:ascii="Times New Roman" w:hAnsi="Times New Roman" w:eastAsia="宋体"/>
                <w:color w:val="000000" w:themeColor="text1"/>
                <w:lang w:val="en-US" w:eastAsia="zh-CN"/>
                <w14:textFill>
                  <w14:solidFill>
                    <w14:schemeClr w14:val="tx1"/>
                  </w14:solidFill>
                </w14:textFill>
              </w:rPr>
              <w:t>新乡县</w:t>
            </w:r>
            <w:r>
              <w:rPr>
                <w:rFonts w:hint="eastAsia" w:ascii="Times New Roman" w:hAnsi="Times New Roman" w:eastAsia="宋体"/>
                <w:color w:val="000000" w:themeColor="text1"/>
                <w:szCs w:val="21"/>
                <w:u w:val="none"/>
                <w:lang w:eastAsia="zh-CN"/>
                <w14:textFill>
                  <w14:solidFill>
                    <w14:schemeClr w14:val="tx1"/>
                  </w14:solidFill>
                </w14:textFill>
              </w:rPr>
              <w:t>智能制造产业园区</w:t>
            </w:r>
            <w:r>
              <w:rPr>
                <w:rFonts w:hint="eastAsia"/>
                <w:color w:val="000000" w:themeColor="text1"/>
                <w:lang w:eastAsia="zh-CN"/>
                <w14:textFill>
                  <w14:solidFill>
                    <w14:schemeClr w14:val="tx1"/>
                  </w14:solidFill>
                </w14:textFill>
              </w:rPr>
              <w:t>主导产业规划。</w:t>
            </w:r>
          </w:p>
          <w:p w14:paraId="10F1D355">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20" w:lineRule="exact"/>
              <w:ind w:left="0" w:right="0" w:firstLine="482" w:firstLineChars="200"/>
              <w:jc w:val="both"/>
              <w:textAlignment w:val="auto"/>
              <w:rPr>
                <w:rFonts w:hint="default" w:ascii="Times New Roman" w:hAnsi="Times New Roman" w:eastAsia="宋体"/>
                <w:b/>
                <w:bCs/>
                <w:color w:val="000000" w:themeColor="text1"/>
                <w14:textFill>
                  <w14:solidFill>
                    <w14:schemeClr w14:val="tx1"/>
                  </w14:solidFill>
                </w14:textFill>
              </w:rPr>
            </w:pPr>
            <w:r>
              <w:rPr>
                <w:rFonts w:hint="eastAsia"/>
                <w:b/>
                <w:bCs/>
                <w:color w:val="000000" w:themeColor="text1"/>
                <w:lang w:val="en-US" w:eastAsia="zh-CN"/>
                <w14:textFill>
                  <w14:solidFill>
                    <w14:schemeClr w14:val="tx1"/>
                  </w14:solidFill>
                </w14:textFill>
              </w:rPr>
              <w:t>3</w:t>
            </w:r>
            <w:r>
              <w:rPr>
                <w:rFonts w:hint="eastAsia" w:ascii="Times New Roman" w:hAnsi="Times New Roman" w:eastAsia="宋体"/>
                <w:b/>
                <w:bCs/>
                <w:color w:val="000000" w:themeColor="text1"/>
                <w14:textFill>
                  <w14:solidFill>
                    <w14:schemeClr w14:val="tx1"/>
                  </w14:solidFill>
                </w14:textFill>
              </w:rPr>
              <w:t>、本项目与《</w:t>
            </w:r>
            <w:r>
              <w:rPr>
                <w:rFonts w:hint="eastAsia" w:ascii="Times New Roman" w:hAnsi="Times New Roman" w:eastAsia="宋体"/>
                <w:b/>
                <w:bCs/>
                <w:color w:val="000000" w:themeColor="text1"/>
                <w:lang w:val="en-US" w:eastAsia="zh-CN"/>
                <w14:textFill>
                  <w14:solidFill>
                    <w14:schemeClr w14:val="tx1"/>
                  </w14:solidFill>
                </w14:textFill>
              </w:rPr>
              <w:t>新乡市</w:t>
            </w:r>
            <w:r>
              <w:rPr>
                <w:rFonts w:hint="eastAsia" w:ascii="Times New Roman" w:hAnsi="Times New Roman" w:eastAsia="宋体"/>
                <w:b/>
                <w:bCs/>
                <w:color w:val="000000" w:themeColor="text1"/>
                <w14:textFill>
                  <w14:solidFill>
                    <w14:schemeClr w14:val="tx1"/>
                  </w14:solidFill>
                </w14:textFill>
              </w:rPr>
              <w:t>生态环境</w:t>
            </w:r>
            <w:r>
              <w:rPr>
                <w:rFonts w:hint="eastAsia" w:ascii="Times New Roman" w:hAnsi="Times New Roman" w:eastAsia="宋体"/>
                <w:b/>
                <w:bCs/>
                <w:color w:val="000000" w:themeColor="text1"/>
                <w:lang w:val="en-US" w:eastAsia="zh-CN"/>
                <w14:textFill>
                  <w14:solidFill>
                    <w14:schemeClr w14:val="tx1"/>
                  </w14:solidFill>
                </w14:textFill>
              </w:rPr>
              <w:t>局新乡县分局</w:t>
            </w:r>
            <w:r>
              <w:rPr>
                <w:rFonts w:hint="eastAsia" w:ascii="Times New Roman" w:hAnsi="Times New Roman" w:eastAsia="宋体" w:cs="Times New Roman"/>
                <w:b/>
                <w:bCs/>
                <w:color w:val="000000" w:themeColor="text1"/>
                <w14:textFill>
                  <w14:solidFill>
                    <w14:schemeClr w14:val="tx1"/>
                  </w14:solidFill>
                </w14:textFill>
              </w:rPr>
              <w:t>关于</w:t>
            </w:r>
            <w:r>
              <w:rPr>
                <w:rFonts w:hint="eastAsia" w:ascii="Times New Roman" w:hAnsi="Times New Roman" w:eastAsia="宋体" w:cs="Times New Roman"/>
                <w:b/>
                <w:bCs/>
                <w:color w:val="000000" w:themeColor="text1"/>
                <w:lang w:val="en-US" w:eastAsia="zh-CN"/>
                <w14:textFill>
                  <w14:solidFill>
                    <w14:schemeClr w14:val="tx1"/>
                  </w14:solidFill>
                </w14:textFill>
              </w:rPr>
              <w:t>新乡县</w:t>
            </w:r>
            <w:r>
              <w:rPr>
                <w:rFonts w:hint="eastAsia" w:ascii="Times New Roman" w:hAnsi="Times New Roman" w:eastAsia="宋体" w:cs="Times New Roman"/>
                <w:b/>
                <w:bCs/>
                <w:color w:val="000000" w:themeColor="text1"/>
                <w:lang w:eastAsia="zh-CN"/>
                <w14:textFill>
                  <w14:solidFill>
                    <w14:schemeClr w14:val="tx1"/>
                  </w14:solidFill>
                </w14:textFill>
              </w:rPr>
              <w:t>智能制造产业园区</w:t>
            </w:r>
            <w:r>
              <w:rPr>
                <w:rFonts w:hint="eastAsia" w:ascii="Times New Roman" w:hAnsi="Times New Roman" w:eastAsia="宋体" w:cs="Times New Roman"/>
                <w:b/>
                <w:bCs/>
                <w:color w:val="000000" w:themeColor="text1"/>
                <w14:textFill>
                  <w14:solidFill>
                    <w14:schemeClr w14:val="tx1"/>
                  </w14:solidFill>
                </w14:textFill>
              </w:rPr>
              <w:t>总体发展规划（20</w:t>
            </w:r>
            <w:r>
              <w:rPr>
                <w:rFonts w:hint="eastAsia" w:ascii="Times New Roman" w:hAnsi="Times New Roman" w:eastAsia="宋体" w:cs="Times New Roman"/>
                <w:b/>
                <w:bCs/>
                <w:color w:val="000000" w:themeColor="text1"/>
                <w:lang w:val="en-US" w:eastAsia="zh-CN"/>
                <w14:textFill>
                  <w14:solidFill>
                    <w14:schemeClr w14:val="tx1"/>
                  </w14:solidFill>
                </w14:textFill>
              </w:rPr>
              <w:t>21-2035</w:t>
            </w:r>
            <w:r>
              <w:rPr>
                <w:rFonts w:hint="eastAsia" w:ascii="Times New Roman" w:hAnsi="Times New Roman" w:eastAsia="宋体" w:cs="Times New Roman"/>
                <w:b/>
                <w:bCs/>
                <w:color w:val="000000" w:themeColor="text1"/>
                <w14:textFill>
                  <w14:solidFill>
                    <w14:schemeClr w14:val="tx1"/>
                  </w14:solidFill>
                </w14:textFill>
              </w:rPr>
              <w:t>）环境</w:t>
            </w:r>
            <w:r>
              <w:rPr>
                <w:rFonts w:hint="eastAsia" w:ascii="Times New Roman" w:hAnsi="Times New Roman" w:eastAsia="宋体"/>
                <w:b/>
                <w:bCs/>
                <w:color w:val="000000" w:themeColor="text1"/>
                <w14:textFill>
                  <w14:solidFill>
                    <w14:schemeClr w14:val="tx1"/>
                  </w14:solidFill>
                </w14:textFill>
              </w:rPr>
              <w:t>影响报告书的审查意见》相符性分析</w:t>
            </w:r>
          </w:p>
          <w:p w14:paraId="1DADBCF7">
            <w:pPr>
              <w:pStyle w:val="6"/>
              <w:keepNext w:val="0"/>
              <w:keepLines w:val="0"/>
              <w:pageBreakBefore w:val="0"/>
              <w:widowControl w:val="0"/>
              <w:suppressLineNumbers w:val="0"/>
              <w:kinsoku/>
              <w:wordWrap/>
              <w:overflowPunct/>
              <w:topLinePunct w:val="0"/>
              <w:autoSpaceDE/>
              <w:autoSpaceDN/>
              <w:bidi w:val="0"/>
              <w:adjustRightInd/>
              <w:snapToGrid/>
              <w:spacing w:beforeAutospacing="0" w:afterAutospacing="0" w:line="520" w:lineRule="exact"/>
              <w:ind w:left="0" w:right="0" w:firstLine="480" w:firstLineChars="200"/>
              <w:jc w:val="both"/>
              <w:textAlignment w:val="auto"/>
              <w:rPr>
                <w:rFonts w:hint="eastAsia" w:ascii="Times New Roman" w:hAnsi="Times New Roman" w:eastAsia="黑体" w:cs="Times New Roman"/>
                <w:bCs/>
                <w:color w:val="auto"/>
                <w:spacing w:val="0"/>
                <w:kern w:val="2"/>
                <w:sz w:val="24"/>
                <w:szCs w:val="24"/>
                <w:lang w:val="en-US" w:eastAsia="zh-CN" w:bidi="ar-SA"/>
              </w:rPr>
            </w:pPr>
            <w:r>
              <w:rPr>
                <w:rFonts w:hint="default" w:ascii="Times New Roman" w:hAnsi="Times New Roman" w:eastAsia="黑体" w:cs="Times New Roman"/>
                <w:bCs/>
                <w:color w:val="auto"/>
                <w:spacing w:val="0"/>
                <w:kern w:val="2"/>
                <w:sz w:val="24"/>
                <w:szCs w:val="24"/>
                <w:lang w:val="en-US" w:eastAsia="zh-CN" w:bidi="ar-SA"/>
              </w:rPr>
              <w:t>表</w:t>
            </w:r>
            <w:r>
              <w:rPr>
                <w:rFonts w:hint="eastAsia" w:cs="Times New Roman"/>
                <w:bCs/>
                <w:color w:val="auto"/>
                <w:spacing w:val="0"/>
                <w:kern w:val="2"/>
                <w:sz w:val="24"/>
                <w:szCs w:val="24"/>
                <w:lang w:val="en-US" w:eastAsia="zh-CN" w:bidi="ar-SA"/>
              </w:rPr>
              <w:t>1-4</w:t>
            </w:r>
            <w:r>
              <w:rPr>
                <w:rFonts w:hint="eastAsia" w:ascii="Times New Roman" w:hAnsi="Times New Roman" w:eastAsia="黑体" w:cs="Times New Roman"/>
                <w:bCs/>
                <w:color w:val="auto"/>
                <w:spacing w:val="0"/>
                <w:kern w:val="2"/>
                <w:sz w:val="24"/>
                <w:szCs w:val="24"/>
                <w:lang w:val="en-US" w:eastAsia="zh-CN" w:bidi="ar-SA"/>
              </w:rPr>
              <w:t xml:space="preserve">    本项目与审查意见相符性分析</w:t>
            </w:r>
          </w:p>
          <w:tbl>
            <w:tblPr>
              <w:tblStyle w:val="2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51"/>
              <w:gridCol w:w="2205"/>
              <w:gridCol w:w="433"/>
            </w:tblGrid>
            <w:tr w14:paraId="51CD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7" w:type="pct"/>
                  <w:tcBorders>
                    <w:bottom w:val="single" w:color="auto" w:sz="8" w:space="0"/>
                  </w:tcBorders>
                  <w:noWrap w:val="0"/>
                  <w:vAlign w:val="center"/>
                </w:tcPr>
                <w:p w14:paraId="124B72AA">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default" w:ascii="Times New Roman" w:hAnsi="Times New Roman" w:eastAsia="宋体"/>
                      <w:b w:val="0"/>
                      <w:bCs w:val="0"/>
                      <w:color w:val="000000" w:themeColor="text1"/>
                      <w:sz w:val="21"/>
                      <w:szCs w:val="21"/>
                      <w14:textFill>
                        <w14:solidFill>
                          <w14:schemeClr w14:val="tx1"/>
                        </w14:solidFill>
                      </w14:textFill>
                    </w:rPr>
                  </w:pPr>
                  <w:r>
                    <w:rPr>
                      <w:rFonts w:hint="eastAsia" w:ascii="Times New Roman" w:hAnsi="Times New Roman" w:eastAsia="宋体"/>
                      <w:b w:val="0"/>
                      <w:bCs w:val="0"/>
                      <w:color w:val="000000" w:themeColor="text1"/>
                      <w:sz w:val="21"/>
                      <w:szCs w:val="21"/>
                      <w14:textFill>
                        <w14:solidFill>
                          <w14:schemeClr w14:val="tx1"/>
                        </w14:solidFill>
                      </w14:textFill>
                    </w:rPr>
                    <w:t>与本项目相关</w:t>
                  </w:r>
                  <w:r>
                    <w:rPr>
                      <w:rFonts w:hint="default" w:ascii="Times New Roman" w:hAnsi="Times New Roman" w:eastAsia="宋体"/>
                      <w:b w:val="0"/>
                      <w:bCs w:val="0"/>
                      <w:color w:val="000000" w:themeColor="text1"/>
                      <w:sz w:val="21"/>
                      <w:szCs w:val="21"/>
                      <w14:textFill>
                        <w14:solidFill>
                          <w14:schemeClr w14:val="tx1"/>
                        </w14:solidFill>
                      </w14:textFill>
                    </w:rPr>
                    <w:t>审查意见要求</w:t>
                  </w:r>
                </w:p>
              </w:tc>
              <w:tc>
                <w:tcPr>
                  <w:tcW w:w="1623" w:type="pct"/>
                  <w:tcBorders>
                    <w:bottom w:val="single" w:color="auto" w:sz="8" w:space="0"/>
                  </w:tcBorders>
                  <w:noWrap w:val="0"/>
                  <w:vAlign w:val="center"/>
                </w:tcPr>
                <w:p w14:paraId="0A197D10">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textAlignment w:val="auto"/>
                    <w:rPr>
                      <w:rFonts w:hint="default" w:ascii="Times New Roman" w:hAnsi="Times New Roman" w:eastAsia="宋体"/>
                      <w:b w:val="0"/>
                      <w:bCs w:val="0"/>
                      <w:color w:val="000000" w:themeColor="text1"/>
                      <w:sz w:val="21"/>
                      <w:szCs w:val="21"/>
                      <w14:textFill>
                        <w14:solidFill>
                          <w14:schemeClr w14:val="tx1"/>
                        </w14:solidFill>
                      </w14:textFill>
                    </w:rPr>
                  </w:pPr>
                  <w:r>
                    <w:rPr>
                      <w:rFonts w:hint="default" w:ascii="Times New Roman" w:hAnsi="Times New Roman" w:eastAsia="宋体"/>
                      <w:b w:val="0"/>
                      <w:bCs w:val="0"/>
                      <w:color w:val="000000" w:themeColor="text1"/>
                      <w:sz w:val="21"/>
                      <w:szCs w:val="21"/>
                      <w14:textFill>
                        <w14:solidFill>
                          <w14:schemeClr w14:val="tx1"/>
                        </w14:solidFill>
                      </w14:textFill>
                    </w:rPr>
                    <w:t>本项目情况</w:t>
                  </w:r>
                </w:p>
              </w:tc>
              <w:tc>
                <w:tcPr>
                  <w:tcW w:w="318" w:type="pct"/>
                  <w:tcBorders>
                    <w:bottom w:val="single" w:color="auto" w:sz="8" w:space="0"/>
                  </w:tcBorders>
                  <w:noWrap w:val="0"/>
                  <w:vAlign w:val="center"/>
                </w:tcPr>
                <w:p w14:paraId="2A749839">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b w:val="0"/>
                      <w:bCs w:val="0"/>
                      <w:color w:val="000000" w:themeColor="text1"/>
                      <w:sz w:val="21"/>
                      <w:szCs w:val="21"/>
                      <w14:textFill>
                        <w14:solidFill>
                          <w14:schemeClr w14:val="tx1"/>
                        </w14:solidFill>
                      </w14:textFill>
                    </w:rPr>
                  </w:pPr>
                  <w:r>
                    <w:rPr>
                      <w:rFonts w:hint="eastAsia" w:ascii="Times New Roman" w:hAnsi="Times New Roman" w:eastAsia="宋体"/>
                      <w:b w:val="0"/>
                      <w:bCs w:val="0"/>
                      <w:color w:val="000000" w:themeColor="text1"/>
                      <w:sz w:val="21"/>
                      <w:szCs w:val="21"/>
                      <w:u w:val="none"/>
                      <w:lang w:val="en-US" w:eastAsia="zh-CN"/>
                      <w14:textFill>
                        <w14:solidFill>
                          <w14:schemeClr w14:val="tx1"/>
                        </w14:solidFill>
                      </w14:textFill>
                    </w:rPr>
                    <w:t>相符性</w:t>
                  </w:r>
                </w:p>
              </w:tc>
            </w:tr>
            <w:tr w14:paraId="0332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7" w:type="pct"/>
                  <w:tcBorders>
                    <w:top w:val="single" w:color="auto" w:sz="8" w:space="0"/>
                  </w:tcBorders>
                  <w:noWrap w:val="0"/>
                  <w:vAlign w:val="center"/>
                </w:tcPr>
                <w:p w14:paraId="66FB6A5C">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（一）合理用地布局</w:t>
                  </w:r>
                </w:p>
                <w:p w14:paraId="0F33AD7A">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优化用地布局，在开发过程中不应随意改变各用地功能区的使用功能，在新乡县国土空间总体规划调整之前，不得入驻与规划不相符的建设项目。园区布局应充分考虑人与环境、生产单元之间以及生产对基础设施和管理的要求，按照《报告书》要求，园区内现有化学原料及化学制品、化学药品原料药企业限制发展(不涉及挥发性有机溶剂的单纯复配、分装及升级改造项目除外)；近居住区一侧工业用地布置与居民区相容性较好的项目类型，减轻对周边居民区的影响；园区边界与邻近居民的200m区域范围内执行《声环境质量标准》(GB3096-2008)2类标准，防止园区工业对周边声环境造成不良影响。</w:t>
                  </w:r>
                </w:p>
              </w:tc>
              <w:tc>
                <w:tcPr>
                  <w:tcW w:w="1623" w:type="pct"/>
                  <w:tcBorders>
                    <w:top w:val="single" w:color="auto" w:sz="8" w:space="0"/>
                  </w:tcBorders>
                  <w:noWrap w:val="0"/>
                  <w:vAlign w:val="center"/>
                </w:tcPr>
                <w:p w14:paraId="6CD1EBF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本项目位于新乡市新乡县智能制造产业园区，符合新乡县智能制造产业园区总体发展规划要求，本项目执行《声环境质量标准》(GB3096-2008)</w:t>
                  </w:r>
                  <w:r>
                    <w:rPr>
                      <w:rFonts w:hint="eastAsia" w:ascii="Times New Roman" w:cs="Times New Roman"/>
                      <w:color w:val="000000" w:themeColor="text1"/>
                      <w:sz w:val="21"/>
                      <w:szCs w:val="21"/>
                      <w:u w:val="none"/>
                      <w:lang w:val="en-US" w:eastAsia="zh-CN"/>
                      <w14:textFill>
                        <w14:solidFill>
                          <w14:schemeClr w14:val="tx1"/>
                        </w14:solidFill>
                      </w14:textFill>
                    </w:rPr>
                    <w:t>2</w:t>
                  </w: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类标准。</w:t>
                  </w:r>
                </w:p>
              </w:tc>
              <w:tc>
                <w:tcPr>
                  <w:tcW w:w="318" w:type="pct"/>
                  <w:tcBorders>
                    <w:top w:val="single" w:color="auto" w:sz="8" w:space="0"/>
                  </w:tcBorders>
                  <w:noWrap w:val="0"/>
                  <w:vAlign w:val="center"/>
                </w:tcPr>
                <w:p w14:paraId="2BA5E003">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相符</w:t>
                  </w:r>
                </w:p>
              </w:tc>
            </w:tr>
            <w:tr w14:paraId="0ABCC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7" w:type="pct"/>
                  <w:noWrap w:val="0"/>
                  <w:vAlign w:val="center"/>
                </w:tcPr>
                <w:p w14:paraId="26317DE3">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(二)优化产业结构</w:t>
                  </w:r>
                </w:p>
                <w:p w14:paraId="552019FE">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严格执行《报告书》提出的项目准入条件和负面清单。鼓励引进与园区产业定位及产业规划相符的项目入驻，与园区产业链相关的轻污染项目优先入园；禁止入驻钢铁、金属冶炼、制浆造纸、屠宰、水泥、平板玻璃、建筑陶瓷、化学原料及化学制品、化学药品原料药和生物发酵制药、皮革或毛皮鞣制加工、轮胎制造、再生橡胶制造、印染等不符合园区产业定位且污染重的项目；禁止入驻食品制造项目，限制现有食品制造企业发展；禁止建设生产和使用高VOCs含量的溶剂型涂料、油墨、胶粘剂等项目；禁止涉及含苯(系物)漆料项目入园，限制现有企业使用含苯(苯系物)漆料；禁止新增铸造行业产能；禁止入驻非集中供热性质的燃煤、燃重油渣油等锅炉或炉窑；禁止新、改、扩建“两高”项目(与主导产业相符的“两高”项目除外)；禁止新增铅、铬、镉、汞、砷等重点控制重金属污染物排放的项目入驻。</w:t>
                  </w:r>
                </w:p>
              </w:tc>
              <w:tc>
                <w:tcPr>
                  <w:tcW w:w="1623" w:type="pct"/>
                  <w:noWrap w:val="0"/>
                  <w:vAlign w:val="center"/>
                </w:tcPr>
                <w:p w14:paraId="4EF654D9">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本项目</w:t>
                  </w:r>
                  <w:r>
                    <w:rPr>
                      <w:rFonts w:hint="eastAsia" w:ascii="Times New Roman" w:cs="Times New Roman"/>
                      <w:color w:val="000000" w:themeColor="text1"/>
                      <w:sz w:val="21"/>
                      <w:szCs w:val="21"/>
                      <w:u w:val="none"/>
                      <w:lang w:val="en-US" w:eastAsia="zh-CN"/>
                      <w14:textFill>
                        <w14:solidFill>
                          <w14:schemeClr w14:val="tx1"/>
                        </w14:solidFill>
                      </w14:textFill>
                    </w:rPr>
                    <w:t>属于机械零部件制造，符合园区产业定位。</w:t>
                  </w:r>
                </w:p>
              </w:tc>
              <w:tc>
                <w:tcPr>
                  <w:tcW w:w="318" w:type="pct"/>
                  <w:noWrap w:val="0"/>
                  <w:vAlign w:val="center"/>
                </w:tcPr>
                <w:p w14:paraId="22BA4F89">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olor w:val="000000" w:themeColor="text1"/>
                      <w:sz w:val="21"/>
                      <w:szCs w:val="21"/>
                      <w:u w:val="none"/>
                      <w:lang w:val="pt-BR"/>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相符</w:t>
                  </w:r>
                </w:p>
              </w:tc>
            </w:tr>
            <w:tr w14:paraId="3C26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7" w:type="pct"/>
                  <w:noWrap w:val="0"/>
                  <w:vAlign w:val="center"/>
                </w:tcPr>
                <w:p w14:paraId="544F9900">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t>(三)尽快完善园区环保设施建设</w:t>
                  </w:r>
                </w:p>
                <w:p w14:paraId="7C153A7C">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t>按照“清污分流、雨污分流、中水回用、污水纳管率达100%”的要求，加快完善园区雨污分流管网、中水回用管网等基础设施建设，减少废水排放量，确保入区企业外排废水及生活污水通过规范化排污口经管网收集到新乡县综合污水处理厂集中处理。加快完善集中供热(供汽)设施建设，满足园区供热、供汽需求。</w:t>
                  </w:r>
                </w:p>
              </w:tc>
              <w:tc>
                <w:tcPr>
                  <w:tcW w:w="1623" w:type="pct"/>
                  <w:noWrap w:val="0"/>
                  <w:vAlign w:val="center"/>
                </w:tcPr>
                <w:p w14:paraId="68DB70BE">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本项目生活废水经化粪池处理后通过污水管网排入新乡县综合污水处理厂。</w:t>
                  </w:r>
                </w:p>
              </w:tc>
              <w:tc>
                <w:tcPr>
                  <w:tcW w:w="318" w:type="pct"/>
                  <w:noWrap w:val="0"/>
                  <w:vAlign w:val="center"/>
                </w:tcPr>
                <w:p w14:paraId="7E0F1402">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olor w:val="000000" w:themeColor="text1"/>
                      <w:sz w:val="21"/>
                      <w:szCs w:val="21"/>
                      <w:lang w:val="pt-BR"/>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相符</w:t>
                  </w:r>
                </w:p>
              </w:tc>
            </w:tr>
            <w:tr w14:paraId="3E847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7" w:type="pct"/>
                  <w:noWrap w:val="0"/>
                  <w:vAlign w:val="center"/>
                </w:tcPr>
                <w:p w14:paraId="1A4C0ED3">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t>(四)严格控制污染物排放</w:t>
                  </w:r>
                </w:p>
                <w:p w14:paraId="00541D4C">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t>严格执行污染物排放总量控制制度，采取调整能源结构、加强污染治理等措施，严格控制烟粉尘、二氧化硫、氮氧化物、V0Cs等大气污染物的排放，大气污染物排放严格执行新的排放标准要求。园区所有废水应全部进入新乡县综合污水处理厂处理。定期对地下水质进行监测，发现问题及时采取有效防治措施，避免对地下水造成污染。</w:t>
                  </w:r>
                </w:p>
                <w:p w14:paraId="1D7280E6">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t>按照循环经济的要求，提高固体废物的综合利用率，一般工业固废回收或综合利用，外排固废应统一运至专用处置场安全处置，严禁企业随意弃置；危险废物要做到安全处置，危险固废的收集、贮存应满足《危险废物贮存污染控制标准》(GB18597-2001)及修改单的要求，并送有资质的危险废物处置单位处置，危险废物的转运应执行《危险废物转移管理办法》的有关规定。</w:t>
                  </w:r>
                </w:p>
              </w:tc>
              <w:tc>
                <w:tcPr>
                  <w:tcW w:w="1623" w:type="pct"/>
                  <w:noWrap w:val="0"/>
                  <w:vAlign w:val="center"/>
                </w:tcPr>
                <w:p w14:paraId="3EB3207A">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t>本项目</w:t>
                  </w: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不</w:t>
                  </w:r>
                  <w:r>
                    <w:rPr>
                      <w:rFonts w:hint="eastAsia" w:ascii="Times New Roman" w:cs="Times New Roman"/>
                      <w:color w:val="000000" w:themeColor="text1"/>
                      <w:sz w:val="21"/>
                      <w:szCs w:val="21"/>
                      <w:u w:val="none"/>
                      <w:lang w:val="en-US" w:eastAsia="zh-CN"/>
                      <w14:textFill>
                        <w14:solidFill>
                          <w14:schemeClr w14:val="tx1"/>
                        </w14:solidFill>
                      </w14:textFill>
                    </w:rPr>
                    <w:t>涉及</w:t>
                  </w: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废气</w:t>
                  </w:r>
                  <w:r>
                    <w:rPr>
                      <w:rFonts w:hint="eastAsia" w:ascii="Times New Roman" w:cs="Times New Roman"/>
                      <w:color w:val="000000" w:themeColor="text1"/>
                      <w:sz w:val="21"/>
                      <w:szCs w:val="21"/>
                      <w:u w:val="none"/>
                      <w:lang w:val="en-US" w:eastAsia="zh-CN"/>
                      <w14:textFill>
                        <w14:solidFill>
                          <w14:schemeClr w14:val="tx1"/>
                        </w14:solidFill>
                      </w14:textFill>
                    </w:rPr>
                    <w:t>，生活污水经化粪池处理后通过污水管网排入新乡县综合污水处理厂</w:t>
                  </w:r>
                  <w:r>
                    <w:rPr>
                      <w:rFonts w:hint="default" w:ascii="Times New Roman" w:hAnsi="Times New Roman" w:eastAsia="宋体" w:cs="Times New Roman"/>
                      <w:color w:val="000000" w:themeColor="text1"/>
                      <w:sz w:val="21"/>
                      <w:szCs w:val="21"/>
                      <w:u w:val="none"/>
                      <w:lang w:val="pt-BR" w:eastAsia="zh-CN"/>
                      <w14:textFill>
                        <w14:solidFill>
                          <w14:schemeClr w14:val="tx1"/>
                        </w14:solidFill>
                      </w14:textFill>
                    </w:rPr>
                    <w:t>。</w:t>
                  </w: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固体废物经收集后分区暂存于一般固废间或危废暂存间内。危险废物</w:t>
                  </w:r>
                  <w:r>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t>收集、贮存应满足《危险废物贮存污染控制标准》(GB18597-</w:t>
                  </w:r>
                  <w:r>
                    <w:rPr>
                      <w:rFonts w:hint="eastAsia" w:ascii="Times New Roman" w:hAnsi="Times New Roman" w:eastAsia="宋体" w:cs="Times New Roman"/>
                      <w:color w:val="000000" w:themeColor="text1"/>
                      <w:sz w:val="21"/>
                      <w:szCs w:val="21"/>
                      <w:u w:val="none"/>
                      <w:lang w:val="en-US" w:eastAsia="zh-CN"/>
                      <w14:textFill>
                        <w14:solidFill>
                          <w14:schemeClr w14:val="tx1"/>
                        </w14:solidFill>
                      </w14:textFill>
                    </w:rPr>
                    <w:t>2023</w:t>
                  </w:r>
                  <w:r>
                    <w:rPr>
                      <w:rFonts w:hint="default" w:ascii="Times New Roman" w:hAnsi="Times New Roman" w:eastAsia="宋体" w:cs="Times New Roman"/>
                      <w:color w:val="000000" w:themeColor="text1"/>
                      <w:sz w:val="21"/>
                      <w:szCs w:val="21"/>
                      <w:u w:val="none"/>
                      <w:lang w:val="en-US" w:eastAsia="zh-CN"/>
                      <w14:textFill>
                        <w14:solidFill>
                          <w14:schemeClr w14:val="tx1"/>
                        </w14:solidFill>
                      </w14:textFill>
                    </w:rPr>
                    <w:t>)的要求，并送有资质的危险废物处置单位处置，危险废物的转运应执行《危险废物转移管理办法》的有关规定。</w:t>
                  </w:r>
                </w:p>
              </w:tc>
              <w:tc>
                <w:tcPr>
                  <w:tcW w:w="318" w:type="pct"/>
                  <w:noWrap w:val="0"/>
                  <w:vAlign w:val="center"/>
                </w:tcPr>
                <w:p w14:paraId="7A872619">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olor w:val="000000" w:themeColor="text1"/>
                      <w:sz w:val="21"/>
                      <w:szCs w:val="21"/>
                      <w:lang w:val="pt-BR"/>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相符</w:t>
                  </w:r>
                </w:p>
              </w:tc>
            </w:tr>
            <w:tr w14:paraId="18A2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7" w:type="pct"/>
                  <w:noWrap w:val="0"/>
                  <w:vAlign w:val="center"/>
                </w:tcPr>
                <w:p w14:paraId="6B2AB72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(五)大力发展循环经济</w:t>
                  </w:r>
                </w:p>
                <w:p w14:paraId="60220C8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按照“减量化、再利用、资源化”的原则，鼓励、支持园区和企业提高资源综合利用率，积极进行产业升级和技术改进，加大智能化、绿色化和信息化改造，完善配套设施，提升园区环境</w:t>
                  </w:r>
                  <w:r>
                    <w:rPr>
                      <w:rFonts w:hint="eastAsia" w:ascii="Times New Roman" w:hAnsi="Times New Roman" w:eastAsia="宋体"/>
                      <w:color w:val="000000" w:themeColor="text1"/>
                      <w:sz w:val="21"/>
                      <w:szCs w:val="21"/>
                      <w:lang w:eastAsia="zh-CN"/>
                      <w14:textFill>
                        <w14:solidFill>
                          <w14:schemeClr w14:val="tx1"/>
                        </w14:solidFill>
                      </w14:textFill>
                    </w:rPr>
                    <w:t>，</w:t>
                  </w:r>
                  <w:r>
                    <w:rPr>
                      <w:rFonts w:hint="eastAsia" w:ascii="Times New Roman" w:hAnsi="Times New Roman" w:eastAsia="宋体"/>
                      <w:color w:val="000000" w:themeColor="text1"/>
                      <w:sz w:val="21"/>
                      <w:szCs w:val="21"/>
                      <w14:textFill>
                        <w14:solidFill>
                          <w14:schemeClr w14:val="tx1"/>
                        </w14:solidFill>
                      </w14:textFill>
                    </w:rPr>
                    <w:t>将新乡县智能制造产业园区打造成中原地区智能装备制造基地</w:t>
                  </w:r>
                  <w:r>
                    <w:rPr>
                      <w:rFonts w:hint="eastAsia" w:ascii="Times New Roman" w:hAnsi="Times New Roman" w:eastAsia="宋体"/>
                      <w:color w:val="000000" w:themeColor="text1"/>
                      <w:sz w:val="21"/>
                      <w:szCs w:val="21"/>
                      <w:lang w:eastAsia="zh-CN"/>
                      <w14:textFill>
                        <w14:solidFill>
                          <w14:schemeClr w14:val="tx1"/>
                        </w14:solidFill>
                      </w14:textFill>
                    </w:rPr>
                    <w:t>。</w:t>
                  </w:r>
                </w:p>
              </w:tc>
              <w:tc>
                <w:tcPr>
                  <w:tcW w:w="1623" w:type="pct"/>
                  <w:noWrap w:val="0"/>
                  <w:vAlign w:val="center"/>
                </w:tcPr>
                <w:p w14:paraId="237063B8">
                  <w:pPr>
                    <w:pStyle w:val="7"/>
                    <w:keepNext w:val="0"/>
                    <w:keepLines w:val="0"/>
                    <w:pageBreakBefore w:val="0"/>
                    <w:widowControl w:val="0"/>
                    <w:kinsoku/>
                    <w:wordWrap/>
                    <w:overflowPunct/>
                    <w:topLinePunct w:val="0"/>
                    <w:autoSpaceDE/>
                    <w:autoSpaceDN/>
                    <w:bidi w:val="0"/>
                    <w:adjustRightInd/>
                    <w:snapToGrid/>
                    <w:spacing w:line="240" w:lineRule="auto"/>
                    <w:ind w:firstLine="0" w:firstLineChars="0"/>
                    <w:jc w:val="both"/>
                    <w:textAlignment w:val="auto"/>
                    <w:rPr>
                      <w:rFonts w:hint="default" w:ascii="Times New Roman" w:hAnsi="Times New Roman" w:eastAsia="宋体" w:cs="Times New Roman"/>
                      <w:color w:val="000000" w:themeColor="text1"/>
                      <w:kern w:val="0"/>
                      <w:sz w:val="21"/>
                      <w:szCs w:val="21"/>
                      <w:u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u w:val="none"/>
                      <w:lang w:val="en-US" w:eastAsia="zh-CN" w:bidi="ar-SA"/>
                      <w14:textFill>
                        <w14:solidFill>
                          <w14:schemeClr w14:val="tx1"/>
                        </w14:solidFill>
                      </w14:textFill>
                    </w:rPr>
                    <w:t>本项目建成后按照“减量化、再利用、资源化”的原则，提高资源综合利用率，积极进行技术改进等。</w:t>
                  </w:r>
                </w:p>
                <w:p w14:paraId="5412436E">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olor w:val="000000" w:themeColor="text1"/>
                      <w:sz w:val="21"/>
                      <w:szCs w:val="21"/>
                      <w:lang w:val="en-US" w:eastAsia="zh-CN"/>
                      <w14:textFill>
                        <w14:solidFill>
                          <w14:schemeClr w14:val="tx1"/>
                        </w14:solidFill>
                      </w14:textFill>
                    </w:rPr>
                  </w:pPr>
                </w:p>
              </w:tc>
              <w:tc>
                <w:tcPr>
                  <w:tcW w:w="318" w:type="pct"/>
                  <w:noWrap w:val="0"/>
                  <w:vAlign w:val="center"/>
                </w:tcPr>
                <w:p w14:paraId="1B28E717">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olor w:val="000000" w:themeColor="text1"/>
                      <w:sz w:val="21"/>
                      <w:szCs w:val="21"/>
                      <w:highlight w:val="none"/>
                      <w:lang w:val="pt-BR"/>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相符</w:t>
                  </w:r>
                </w:p>
              </w:tc>
            </w:tr>
            <w:tr w14:paraId="3132C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057" w:type="pct"/>
                  <w:noWrap w:val="0"/>
                  <w:vAlign w:val="center"/>
                </w:tcPr>
                <w:p w14:paraId="2914B9D1">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eastAsia"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(六)建立环境风险防控和应急处置体系</w:t>
                  </w:r>
                </w:p>
                <w:p w14:paraId="528577D7">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14:textFill>
                        <w14:solidFill>
                          <w14:schemeClr w14:val="tx1"/>
                        </w14:solidFill>
                      </w14:textFill>
                    </w:rPr>
                    <w:t>加强环境安全组织领导，成立环境事故应急管理机构，落实环境安全责任制</w:t>
                  </w:r>
                  <w:r>
                    <w:rPr>
                      <w:rFonts w:hint="eastAsia" w:ascii="Times New Roman" w:hAnsi="Times New Roman" w:eastAsia="宋体"/>
                      <w:color w:val="000000" w:themeColor="text1"/>
                      <w:sz w:val="21"/>
                      <w:szCs w:val="21"/>
                      <w:lang w:eastAsia="zh-CN"/>
                      <w14:textFill>
                        <w14:solidFill>
                          <w14:schemeClr w14:val="tx1"/>
                        </w14:solidFill>
                      </w14:textFill>
                    </w:rPr>
                    <w:t>；</w:t>
                  </w:r>
                  <w:r>
                    <w:rPr>
                      <w:rFonts w:hint="eastAsia" w:ascii="Times New Roman" w:hAnsi="Times New Roman" w:eastAsia="宋体"/>
                      <w:color w:val="000000" w:themeColor="text1"/>
                      <w:sz w:val="21"/>
                      <w:szCs w:val="21"/>
                      <w14:textFill>
                        <w14:solidFill>
                          <w14:schemeClr w14:val="tx1"/>
                        </w14:solidFill>
                      </w14:textFill>
                    </w:rPr>
                    <w:t>加强环境风险预警体系建设，健全环境风险单位信息库，严格危险化学品管理</w:t>
                  </w:r>
                  <w:r>
                    <w:rPr>
                      <w:rFonts w:hint="eastAsia" w:ascii="Times New Roman" w:hAnsi="Times New Roman" w:eastAsia="宋体"/>
                      <w:color w:val="000000" w:themeColor="text1"/>
                      <w:sz w:val="21"/>
                      <w:szCs w:val="21"/>
                      <w:lang w:eastAsia="zh-CN"/>
                      <w14:textFill>
                        <w14:solidFill>
                          <w14:schemeClr w14:val="tx1"/>
                        </w14:solidFill>
                      </w14:textFill>
                    </w:rPr>
                    <w:t>；</w:t>
                  </w:r>
                  <w:r>
                    <w:rPr>
                      <w:rFonts w:hint="eastAsia" w:ascii="Times New Roman" w:hAnsi="Times New Roman" w:eastAsia="宋体"/>
                      <w:color w:val="000000" w:themeColor="text1"/>
                      <w:sz w:val="21"/>
                      <w:szCs w:val="21"/>
                      <w14:textFill>
                        <w14:solidFill>
                          <w14:schemeClr w14:val="tx1"/>
                        </w14:solidFill>
                      </w14:textFill>
                    </w:rPr>
                    <w:t>健全环境风险防控工程，建立企业、产业园区和周边水系环境风险防控体系</w:t>
                  </w:r>
                  <w:r>
                    <w:rPr>
                      <w:rFonts w:hint="eastAsia" w:ascii="Times New Roman" w:hAnsi="Times New Roman" w:eastAsia="宋体"/>
                      <w:color w:val="000000" w:themeColor="text1"/>
                      <w:sz w:val="21"/>
                      <w:szCs w:val="21"/>
                      <w:lang w:eastAsia="zh-CN"/>
                      <w14:textFill>
                        <w14:solidFill>
                          <w14:schemeClr w14:val="tx1"/>
                        </w14:solidFill>
                      </w14:textFill>
                    </w:rPr>
                    <w:t>；</w:t>
                  </w:r>
                  <w:r>
                    <w:rPr>
                      <w:rFonts w:hint="eastAsia" w:ascii="Times New Roman" w:hAnsi="Times New Roman" w:eastAsia="宋体"/>
                      <w:color w:val="000000" w:themeColor="text1"/>
                      <w:sz w:val="21"/>
                      <w:szCs w:val="21"/>
                      <w14:textFill>
                        <w14:solidFill>
                          <w14:schemeClr w14:val="tx1"/>
                        </w14:solidFill>
                      </w14:textFill>
                    </w:rPr>
                    <w:t>制定科学有效的园区级综合环境应急预案，不断完善各类突发环境事件应急预案，有计划地组织应急培训和演练，全面提升园区风险防控和事故应急处置能力。</w:t>
                  </w:r>
                </w:p>
              </w:tc>
              <w:tc>
                <w:tcPr>
                  <w:tcW w:w="1623" w:type="pct"/>
                  <w:noWrap w:val="0"/>
                  <w:vAlign w:val="center"/>
                </w:tcPr>
                <w:p w14:paraId="4C8C665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olor w:val="000000" w:themeColor="text1"/>
                      <w:sz w:val="21"/>
                      <w:szCs w:val="21"/>
                      <w14:textFill>
                        <w14:solidFill>
                          <w14:schemeClr w14:val="tx1"/>
                        </w14:solidFill>
                      </w14:textFill>
                    </w:rPr>
                  </w:pPr>
                  <w:r>
                    <w:rPr>
                      <w:rFonts w:hint="eastAsia" w:ascii="Times New Roman" w:hAnsi="Times New Roman" w:eastAsia="宋体"/>
                      <w:color w:val="000000" w:themeColor="text1"/>
                      <w:sz w:val="21"/>
                      <w:szCs w:val="21"/>
                      <w:lang w:val="en-US" w:eastAsia="zh-CN"/>
                      <w14:textFill>
                        <w14:solidFill>
                          <w14:schemeClr w14:val="tx1"/>
                        </w14:solidFill>
                      </w14:textFill>
                    </w:rPr>
                    <w:t>本项目</w:t>
                  </w:r>
                  <w:r>
                    <w:rPr>
                      <w:rFonts w:hint="default" w:ascii="Times New Roman" w:hAnsi="Times New Roman" w:eastAsia="宋体"/>
                      <w:color w:val="000000" w:themeColor="text1"/>
                      <w:sz w:val="21"/>
                      <w:szCs w:val="21"/>
                      <w14:textFill>
                        <w14:solidFill>
                          <w14:schemeClr w14:val="tx1"/>
                        </w14:solidFill>
                      </w14:textFill>
                    </w:rPr>
                    <w:t>建成后结合园区突发环境事件应急预案修订环境突发事件应急预案，加强演练。</w:t>
                  </w:r>
                </w:p>
              </w:tc>
              <w:tc>
                <w:tcPr>
                  <w:tcW w:w="318" w:type="pct"/>
                  <w:noWrap w:val="0"/>
                  <w:vAlign w:val="center"/>
                </w:tcPr>
                <w:p w14:paraId="2BFB00A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eastAsia" w:ascii="Times New Roman" w:hAnsi="Times New Roman" w:eastAsia="宋体"/>
                      <w:color w:val="000000" w:themeColor="text1"/>
                      <w:sz w:val="21"/>
                      <w:szCs w:val="21"/>
                      <w:u w:val="none"/>
                      <w:lang w:val="en-US" w:eastAsia="zh-CN"/>
                      <w14:textFill>
                        <w14:solidFill>
                          <w14:schemeClr w14:val="tx1"/>
                        </w14:solidFill>
                      </w14:textFill>
                    </w:rPr>
                  </w:pPr>
                  <w:r>
                    <w:rPr>
                      <w:rFonts w:hint="eastAsia" w:ascii="Times New Roman" w:hAnsi="Times New Roman" w:eastAsia="宋体"/>
                      <w:color w:val="000000" w:themeColor="text1"/>
                      <w:sz w:val="21"/>
                      <w:szCs w:val="21"/>
                      <w:u w:val="none"/>
                      <w:lang w:val="en-US" w:eastAsia="zh-CN"/>
                      <w14:textFill>
                        <w14:solidFill>
                          <w14:schemeClr w14:val="tx1"/>
                        </w14:solidFill>
                      </w14:textFill>
                    </w:rPr>
                    <w:t>相符</w:t>
                  </w:r>
                </w:p>
              </w:tc>
            </w:tr>
          </w:tbl>
          <w:p w14:paraId="0C300990">
            <w:pPr>
              <w:keepNext w:val="0"/>
              <w:keepLines w:val="0"/>
              <w:pageBreakBefore w:val="0"/>
              <w:widowControl w:val="0"/>
              <w:kinsoku/>
              <w:wordWrap/>
              <w:overflowPunct/>
              <w:topLinePunct w:val="0"/>
              <w:autoSpaceDE/>
              <w:autoSpaceDN/>
              <w:bidi w:val="0"/>
              <w:adjustRightInd w:val="0"/>
              <w:snapToGrid w:val="0"/>
              <w:spacing w:line="520" w:lineRule="atLeast"/>
              <w:ind w:firstLine="480" w:firstLineChars="200"/>
              <w:textAlignment w:val="auto"/>
              <w:rPr>
                <w:rFonts w:hint="eastAsia" w:cs="Times New Roman"/>
                <w:color w:val="auto"/>
                <w:sz w:val="24"/>
                <w:szCs w:val="24"/>
                <w:lang w:val="en-US" w:eastAsia="zh-CN"/>
              </w:rPr>
            </w:pPr>
            <w:r>
              <w:rPr>
                <w:rFonts w:hint="default" w:ascii="Times New Roman" w:hAnsi="Times New Roman" w:eastAsia="宋体"/>
                <w:color w:val="000000" w:themeColor="text1"/>
                <w:sz w:val="24"/>
                <w:szCs w:val="24"/>
                <w14:textFill>
                  <w14:solidFill>
                    <w14:schemeClr w14:val="tx1"/>
                  </w14:solidFill>
                </w14:textFill>
              </w:rPr>
              <w:t>由上表可知，本项目建设</w:t>
            </w:r>
            <w:r>
              <w:rPr>
                <w:rFonts w:hint="eastAsia" w:ascii="Times New Roman" w:hAnsi="Times New Roman" w:eastAsia="宋体"/>
                <w:color w:val="000000" w:themeColor="text1"/>
                <w:sz w:val="24"/>
                <w:szCs w:val="24"/>
                <w:lang w:val="en-US" w:eastAsia="zh-CN"/>
                <w14:textFill>
                  <w14:solidFill>
                    <w14:schemeClr w14:val="tx1"/>
                  </w14:solidFill>
                </w14:textFill>
              </w:rPr>
              <w:t>符合</w:t>
            </w:r>
            <w:r>
              <w:rPr>
                <w:rFonts w:hint="default" w:ascii="Times New Roman" w:hAnsi="Times New Roman" w:eastAsia="宋体"/>
                <w:color w:val="000000" w:themeColor="text1"/>
                <w:sz w:val="24"/>
                <w:szCs w:val="24"/>
                <w14:textFill>
                  <w14:solidFill>
                    <w14:schemeClr w14:val="tx1"/>
                  </w14:solidFill>
                </w14:textFill>
              </w:rPr>
              <w:t>园区产业布局</w:t>
            </w:r>
            <w:r>
              <w:rPr>
                <w:rFonts w:hint="eastAsia" w:ascii="Times New Roman" w:hAnsi="Times New Roman" w:eastAsia="宋体"/>
                <w:color w:val="000000" w:themeColor="text1"/>
                <w:sz w:val="24"/>
                <w:szCs w:val="24"/>
                <w:lang w:val="en-US" w:eastAsia="zh-CN"/>
                <w14:textFill>
                  <w14:solidFill>
                    <w14:schemeClr w14:val="tx1"/>
                  </w14:solidFill>
                </w14:textFill>
              </w:rPr>
              <w:t>及</w:t>
            </w:r>
            <w:r>
              <w:rPr>
                <w:rFonts w:hint="default" w:ascii="Times New Roman" w:hAnsi="Times New Roman" w:eastAsia="宋体"/>
                <w:color w:val="000000" w:themeColor="text1"/>
                <w:sz w:val="24"/>
                <w:szCs w:val="24"/>
                <w14:textFill>
                  <w14:solidFill>
                    <w14:schemeClr w14:val="tx1"/>
                  </w14:solidFill>
                </w14:textFill>
              </w:rPr>
              <w:t>《审查意见》要求。</w:t>
            </w:r>
          </w:p>
        </w:tc>
      </w:tr>
      <w:tr w14:paraId="39C73E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39" w:type="dxa"/>
            <w:tcBorders>
              <w:left w:val="single" w:color="auto" w:sz="4" w:space="0"/>
              <w:bottom w:val="single" w:color="auto" w:sz="4" w:space="0"/>
              <w:tl2br w:val="nil"/>
              <w:tr2bl w:val="nil"/>
            </w:tcBorders>
            <w:noWrap w:val="0"/>
            <w:vAlign w:val="center"/>
          </w:tcPr>
          <w:p w14:paraId="137B5257">
            <w:pPr>
              <w:keepNext w:val="0"/>
              <w:keepLines w:val="0"/>
              <w:pageBreakBefore w:val="0"/>
              <w:widowControl w:val="0"/>
              <w:kinsoku/>
              <w:wordWrap/>
              <w:overflowPunct/>
              <w:topLinePunct w:val="0"/>
              <w:autoSpaceDE w:val="0"/>
              <w:autoSpaceDN w:val="0"/>
              <w:bidi w:val="0"/>
              <w:adjustRightInd/>
              <w:snapToGrid/>
              <w:spacing w:line="240" w:lineRule="auto"/>
              <w:ind w:left="0" w:leftChars="0" w:firstLine="0" w:firstLineChars="0"/>
              <w:jc w:val="center"/>
              <w:textAlignment w:val="auto"/>
              <w:rPr>
                <w:rFonts w:hint="default" w:ascii="Times New Roman" w:hAnsi="Times New Roman" w:eastAsia="宋体" w:cs="Times New Roman"/>
                <w:b w:val="0"/>
                <w:bCs w:val="0"/>
                <w:color w:val="auto"/>
                <w:kern w:val="0"/>
                <w:sz w:val="24"/>
                <w:szCs w:val="24"/>
                <w:u w:val="none"/>
              </w:rPr>
            </w:pPr>
            <w:r>
              <w:rPr>
                <w:rFonts w:hint="eastAsia" w:cs="宋体"/>
                <w:color w:val="auto"/>
                <w:spacing w:val="0"/>
                <w:kern w:val="0"/>
                <w:sz w:val="24"/>
                <w:szCs w:val="24"/>
              </w:rPr>
              <w:t>其他符合性分析</w:t>
            </w:r>
          </w:p>
        </w:tc>
        <w:tc>
          <w:tcPr>
            <w:tcW w:w="7921" w:type="dxa"/>
            <w:gridSpan w:val="4"/>
            <w:tcBorders>
              <w:bottom w:val="single" w:color="auto" w:sz="4" w:space="0"/>
              <w:right w:val="single" w:color="auto" w:sz="4" w:space="0"/>
              <w:tl2br w:val="nil"/>
              <w:tr2bl w:val="nil"/>
            </w:tcBorders>
            <w:noWrap w:val="0"/>
            <w:vAlign w:val="center"/>
          </w:tcPr>
          <w:p w14:paraId="4C48FEB9">
            <w:pPr>
              <w:keepNext w:val="0"/>
              <w:keepLines w:val="0"/>
              <w:pageBreakBefore w:val="0"/>
              <w:widowControl w:val="0"/>
              <w:kinsoku/>
              <w:wordWrap/>
              <w:overflowPunct/>
              <w:topLinePunct w:val="0"/>
              <w:autoSpaceDE/>
              <w:autoSpaceDN/>
              <w:bidi w:val="0"/>
              <w:adjustRightInd/>
              <w:snapToGrid w:val="0"/>
              <w:spacing w:line="520" w:lineRule="exact"/>
              <w:ind w:firstLine="482" w:firstLineChars="200"/>
              <w:jc w:val="left"/>
              <w:textAlignment w:val="auto"/>
              <w:rPr>
                <w:rFonts w:hint="default" w:ascii="Times New Roman" w:hAnsi="Times New Roman" w:eastAsia="宋体" w:cs="Times New Roman"/>
                <w:b/>
                <w:color w:val="000000" w:themeColor="text1"/>
                <w:sz w:val="24"/>
                <w14:textFill>
                  <w14:solidFill>
                    <w14:schemeClr w14:val="tx1"/>
                  </w14:solidFill>
                </w14:textFill>
              </w:rPr>
            </w:pPr>
            <w:r>
              <w:rPr>
                <w:rFonts w:hint="default" w:ascii="Times New Roman" w:hAnsi="Times New Roman" w:eastAsia="宋体" w:cs="Times New Roman"/>
                <w:b/>
                <w:color w:val="000000" w:themeColor="text1"/>
                <w:sz w:val="24"/>
                <w14:textFill>
                  <w14:solidFill>
                    <w14:schemeClr w14:val="tx1"/>
                  </w14:solidFill>
                </w14:textFill>
              </w:rPr>
              <w:t>1、与《建设项目环境影响评价分类管理名录》（2021年版）相符性分析</w:t>
            </w:r>
          </w:p>
          <w:p w14:paraId="305D6147">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both"/>
              <w:textAlignment w:val="auto"/>
              <w:rPr>
                <w:rFonts w:hint="eastAsia" w:ascii="Times New Roman" w:hAnsi="Times New Roman" w:eastAsia="宋体" w:cs="Times New Roman"/>
                <w:b/>
                <w:bCs/>
                <w:color w:val="auto"/>
                <w:spacing w:val="0"/>
                <w:sz w:val="24"/>
                <w:szCs w:val="24"/>
                <w:lang w:val="en-US" w:eastAsia="zh-CN"/>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根据《中华人民共和国环境保护法</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中华人民共和国环境影响评价法》和《建设项目环境保护管理条例》等有关规定，本项目需要进行环境影响评价。</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根据《建设项目环境影响评价分类管理名录》（2021版），本项目属于三十一项“通用设备制造业 34”第69条“通用零部件制造 348”。名录规定：“有电镀工艺的</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年用溶剂型涂料</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含稀释剂</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10吨及以上的”需编制环境影响报告书；“其他</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仅分割、焊接、组装的除外</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年用非溶剂型低VOCs含量涂料10吨以下的除外</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需编制环境影响报告表。本项目为新乡市威远精工有限公司光刻机大尺寸结构件量产及装配项目，年产300件光刻机高精密框架，生产工艺流程：原料检验-电退火-粗、半精、精加工-三坐标检测-清理-洁净装配-真空包装-入库</w:t>
            </w:r>
            <w:r>
              <w:rPr>
                <w:rFonts w:hint="eastAsia" w:cs="Times New Roman"/>
                <w:color w:val="000000" w:themeColor="text1"/>
                <w:kern w:val="0"/>
                <w:sz w:val="24"/>
                <w:szCs w:val="24"/>
                <w:highlight w:val="none"/>
                <w:lang w:val="en-US" w:eastAsia="zh-CN"/>
                <w14:textFill>
                  <w14:solidFill>
                    <w14:schemeClr w14:val="tx1"/>
                  </w14:solidFill>
                </w14:textFill>
              </w:rPr>
              <w:t>，属于“其他”，</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需编制环境影响报告表。</w:t>
            </w:r>
          </w:p>
          <w:p w14:paraId="659190B6">
            <w:pPr>
              <w:keepNext w:val="0"/>
              <w:keepLines w:val="0"/>
              <w:pageBreakBefore w:val="0"/>
              <w:widowControl w:val="0"/>
              <w:kinsoku/>
              <w:wordWrap/>
              <w:overflowPunct/>
              <w:topLinePunct w:val="0"/>
              <w:autoSpaceDE w:val="0"/>
              <w:autoSpaceDN w:val="0"/>
              <w:bidi w:val="0"/>
              <w:adjustRightInd w:val="0"/>
              <w:snapToGrid w:val="0"/>
              <w:spacing w:line="520" w:lineRule="exact"/>
              <w:ind w:firstLine="482" w:firstLineChars="200"/>
              <w:jc w:val="both"/>
              <w:textAlignment w:val="auto"/>
              <w:rPr>
                <w:rFonts w:hint="default" w:ascii="Times New Roman" w:hAnsi="Times New Roman" w:eastAsia="宋体" w:cs="Times New Roman"/>
                <w:b/>
                <w:bCs/>
                <w:color w:val="auto"/>
                <w:spacing w:val="0"/>
                <w:sz w:val="24"/>
                <w:szCs w:val="24"/>
                <w:lang w:val="en-US" w:eastAsia="zh-CN"/>
              </w:rPr>
            </w:pPr>
            <w:r>
              <w:rPr>
                <w:rFonts w:hint="eastAsia" w:cs="Times New Roman"/>
                <w:b/>
                <w:bCs/>
                <w:color w:val="auto"/>
                <w:spacing w:val="0"/>
                <w:sz w:val="24"/>
                <w:szCs w:val="24"/>
                <w:lang w:val="en-US" w:eastAsia="zh-CN"/>
              </w:rPr>
              <w:t>2</w:t>
            </w:r>
            <w:r>
              <w:rPr>
                <w:rFonts w:hint="eastAsia" w:ascii="Times New Roman" w:hAnsi="Times New Roman" w:eastAsia="宋体" w:cs="Times New Roman"/>
                <w:b/>
                <w:bCs/>
                <w:color w:val="auto"/>
                <w:spacing w:val="0"/>
                <w:sz w:val="24"/>
                <w:szCs w:val="24"/>
                <w:lang w:val="en-US" w:eastAsia="zh-CN"/>
              </w:rPr>
              <w:t>、产业政策相符性分析</w:t>
            </w:r>
          </w:p>
          <w:p w14:paraId="3D43C646">
            <w:pPr>
              <w:keepNext w:val="0"/>
              <w:keepLines w:val="0"/>
              <w:pageBreakBefore w:val="0"/>
              <w:widowControl w:val="0"/>
              <w:kinsoku/>
              <w:wordWrap w:val="0"/>
              <w:overflowPunct/>
              <w:topLinePunct w:val="0"/>
              <w:autoSpaceDE/>
              <w:autoSpaceDN/>
              <w:bidi w:val="0"/>
              <w:adjustRightInd/>
              <w:snapToGrid w:val="0"/>
              <w:spacing w:line="520" w:lineRule="exact"/>
              <w:ind w:firstLine="436" w:firstLineChars="182"/>
              <w:jc w:val="left"/>
              <w:textAlignment w:val="auto"/>
              <w:rPr>
                <w:rFonts w:hint="eastAsia"/>
                <w:b/>
                <w:bCs/>
                <w:color w:val="auto"/>
                <w:spacing w:val="0"/>
                <w:kern w:val="0"/>
                <w:sz w:val="24"/>
                <w:szCs w:val="24"/>
                <w:lang w:val="en-US" w:eastAsia="zh-CN"/>
              </w:rPr>
            </w:pPr>
            <w:r>
              <w:rPr>
                <w:rFonts w:hint="eastAsia" w:ascii="Times New Roman" w:hAnsi="Times New Roman" w:eastAsia="宋体" w:cs="Times New Roman"/>
                <w:color w:val="auto"/>
                <w:spacing w:val="0"/>
                <w:sz w:val="24"/>
                <w:lang w:eastAsia="zh-CN"/>
              </w:rPr>
              <w:t>经查阅</w:t>
            </w:r>
            <w:r>
              <w:rPr>
                <w:rFonts w:hint="default" w:ascii="Times New Roman" w:hAnsi="Times New Roman" w:eastAsia="宋体" w:cs="Times New Roman"/>
                <w:bCs/>
                <w:color w:val="auto"/>
                <w:spacing w:val="0"/>
                <w:sz w:val="24"/>
                <w:szCs w:val="24"/>
              </w:rPr>
              <w:t>《产业结构调整指导目录（20</w:t>
            </w:r>
            <w:r>
              <w:rPr>
                <w:rFonts w:hint="eastAsia" w:ascii="Times New Roman" w:hAnsi="Times New Roman" w:eastAsia="宋体" w:cs="Times New Roman"/>
                <w:bCs/>
                <w:color w:val="auto"/>
                <w:spacing w:val="0"/>
                <w:sz w:val="24"/>
                <w:szCs w:val="24"/>
                <w:lang w:val="en-US" w:eastAsia="zh-CN"/>
              </w:rPr>
              <w:t>24</w:t>
            </w:r>
            <w:r>
              <w:rPr>
                <w:rFonts w:hint="default" w:ascii="Times New Roman" w:hAnsi="Times New Roman" w:eastAsia="宋体" w:cs="Times New Roman"/>
                <w:bCs/>
                <w:color w:val="auto"/>
                <w:spacing w:val="0"/>
                <w:sz w:val="24"/>
                <w:szCs w:val="24"/>
              </w:rPr>
              <w:t>年本）》</w:t>
            </w:r>
            <w:r>
              <w:rPr>
                <w:rFonts w:hint="eastAsia" w:ascii="Times New Roman" w:hAnsi="Times New Roman" w:eastAsia="宋体" w:cs="Times New Roman"/>
                <w:bCs/>
                <w:color w:val="auto"/>
                <w:spacing w:val="0"/>
                <w:sz w:val="24"/>
                <w:szCs w:val="24"/>
                <w:lang w:eastAsia="zh-CN"/>
              </w:rPr>
              <w:t>，</w:t>
            </w:r>
            <w:r>
              <w:rPr>
                <w:rFonts w:hint="default" w:ascii="Times New Roman" w:hAnsi="Times New Roman" w:eastAsia="宋体" w:cs="Times New Roman"/>
                <w:color w:val="auto"/>
                <w:spacing w:val="0"/>
                <w:sz w:val="24"/>
              </w:rPr>
              <w:t>本项目不属于鼓励类、限制类及淘汰类</w:t>
            </w:r>
            <w:r>
              <w:rPr>
                <w:rFonts w:hint="eastAsia" w:ascii="Times New Roman" w:hAnsi="Times New Roman" w:eastAsia="宋体" w:cs="Times New Roman"/>
                <w:color w:val="auto"/>
                <w:spacing w:val="0"/>
                <w:sz w:val="24"/>
                <w:lang w:eastAsia="zh-CN"/>
              </w:rPr>
              <w:t>项目</w:t>
            </w:r>
            <w:r>
              <w:rPr>
                <w:rFonts w:hint="default" w:ascii="Times New Roman" w:hAnsi="Times New Roman" w:eastAsia="宋体" w:cs="Times New Roman"/>
                <w:color w:val="auto"/>
                <w:spacing w:val="0"/>
                <w:sz w:val="24"/>
              </w:rPr>
              <w:t>，</w:t>
            </w:r>
            <w:r>
              <w:rPr>
                <w:rFonts w:hint="eastAsia" w:ascii="Times New Roman" w:hAnsi="Times New Roman" w:eastAsia="宋体" w:cs="Times New Roman"/>
                <w:color w:val="auto"/>
                <w:spacing w:val="0"/>
                <w:sz w:val="24"/>
                <w:lang w:eastAsia="zh-CN"/>
              </w:rPr>
              <w:t>为</w:t>
            </w:r>
            <w:r>
              <w:rPr>
                <w:rFonts w:hint="default" w:ascii="Times New Roman" w:hAnsi="Times New Roman" w:eastAsia="宋体" w:cs="Times New Roman"/>
                <w:color w:val="auto"/>
                <w:spacing w:val="0"/>
                <w:sz w:val="24"/>
              </w:rPr>
              <w:t>允许类</w:t>
            </w:r>
            <w:r>
              <w:rPr>
                <w:rFonts w:hint="eastAsia" w:ascii="Times New Roman" w:hAnsi="Times New Roman" w:eastAsia="宋体" w:cs="Times New Roman"/>
                <w:color w:val="auto"/>
                <w:spacing w:val="0"/>
                <w:sz w:val="24"/>
                <w:lang w:eastAsia="zh-CN"/>
              </w:rPr>
              <w:t>项目</w:t>
            </w:r>
            <w:r>
              <w:rPr>
                <w:rFonts w:hint="default" w:ascii="Times New Roman" w:hAnsi="Times New Roman" w:eastAsia="宋体" w:cs="Times New Roman"/>
                <w:color w:val="auto"/>
                <w:spacing w:val="0"/>
                <w:sz w:val="24"/>
              </w:rPr>
              <w:t>，</w:t>
            </w:r>
            <w:r>
              <w:rPr>
                <w:rFonts w:hint="eastAsia" w:ascii="Times New Roman" w:hAnsi="Times New Roman" w:eastAsia="宋体" w:cs="Times New Roman"/>
                <w:bCs/>
                <w:color w:val="auto"/>
                <w:spacing w:val="0"/>
                <w:sz w:val="24"/>
                <w:szCs w:val="24"/>
                <w:lang w:val="en-US" w:eastAsia="zh-CN"/>
              </w:rPr>
              <w:t>符合国家相关产业政策</w:t>
            </w:r>
            <w:r>
              <w:rPr>
                <w:rFonts w:hint="default" w:ascii="Times New Roman" w:hAnsi="Times New Roman" w:eastAsia="宋体" w:cs="Times New Roman"/>
                <w:bCs/>
                <w:color w:val="auto"/>
                <w:spacing w:val="0"/>
                <w:sz w:val="24"/>
                <w:szCs w:val="24"/>
              </w:rPr>
              <w:t>。</w:t>
            </w:r>
            <w:r>
              <w:rPr>
                <w:rFonts w:hint="eastAsia" w:ascii="Times New Roman" w:hAnsi="Times New Roman" w:eastAsia="宋体" w:cs="Times New Roman"/>
                <w:bCs/>
                <w:color w:val="auto"/>
                <w:spacing w:val="0"/>
                <w:sz w:val="24"/>
                <w:szCs w:val="24"/>
                <w:lang w:eastAsia="zh-CN"/>
              </w:rPr>
              <w:t>本</w:t>
            </w:r>
            <w:r>
              <w:rPr>
                <w:rFonts w:hint="default" w:ascii="Times New Roman" w:hAnsi="Times New Roman" w:eastAsia="宋体" w:cs="Times New Roman"/>
                <w:bCs/>
                <w:color w:val="auto"/>
                <w:spacing w:val="0"/>
                <w:sz w:val="24"/>
                <w:szCs w:val="24"/>
              </w:rPr>
              <w:t>项目</w:t>
            </w:r>
            <w:r>
              <w:rPr>
                <w:rFonts w:hint="default" w:ascii="Times New Roman" w:hAnsi="Times New Roman" w:eastAsia="宋体" w:cs="Times New Roman"/>
                <w:bCs/>
                <w:color w:val="auto"/>
                <w:spacing w:val="0"/>
                <w:sz w:val="24"/>
                <w:szCs w:val="24"/>
                <w:lang w:eastAsia="zh-CN"/>
              </w:rPr>
              <w:t>已在</w:t>
            </w:r>
            <w:r>
              <w:rPr>
                <w:rFonts w:hint="eastAsia" w:cs="Times New Roman"/>
                <w:bCs/>
                <w:color w:val="auto"/>
                <w:spacing w:val="0"/>
                <w:sz w:val="24"/>
                <w:szCs w:val="24"/>
                <w:lang w:eastAsia="zh-CN"/>
              </w:rPr>
              <w:t>新乡县发展和改革委员会</w:t>
            </w:r>
            <w:r>
              <w:rPr>
                <w:rFonts w:hint="eastAsia" w:cs="宋体"/>
                <w:color w:val="auto"/>
                <w:spacing w:val="0"/>
                <w:sz w:val="24"/>
                <w:lang w:eastAsia="zh-CN"/>
              </w:rPr>
              <w:t>行政审批局</w:t>
            </w:r>
            <w:r>
              <w:rPr>
                <w:rFonts w:hint="default" w:ascii="Times New Roman" w:hAnsi="Times New Roman" w:eastAsia="宋体" w:cs="Times New Roman"/>
                <w:color w:val="auto"/>
                <w:spacing w:val="0"/>
                <w:sz w:val="24"/>
                <w:szCs w:val="24"/>
                <w:lang w:eastAsia="zh-CN"/>
              </w:rPr>
              <w:t>备案，</w:t>
            </w:r>
            <w:r>
              <w:rPr>
                <w:rFonts w:hint="default" w:ascii="Times New Roman" w:hAnsi="Times New Roman" w:eastAsia="宋体" w:cs="Times New Roman"/>
                <w:bCs/>
                <w:color w:val="auto"/>
                <w:spacing w:val="0"/>
                <w:sz w:val="24"/>
                <w:szCs w:val="24"/>
              </w:rPr>
              <w:t>项目代码为</w:t>
            </w:r>
            <w:r>
              <w:rPr>
                <w:rFonts w:hint="eastAsia" w:cs="Times New Roman"/>
                <w:bCs/>
                <w:color w:val="auto"/>
                <w:spacing w:val="0"/>
                <w:sz w:val="24"/>
                <w:szCs w:val="24"/>
                <w:lang w:eastAsia="zh-CN"/>
              </w:rPr>
              <w:t>2512-410721-04-01-857616</w:t>
            </w:r>
            <w:r>
              <w:rPr>
                <w:rFonts w:hint="default" w:ascii="Times New Roman" w:hAnsi="Times New Roman" w:eastAsia="宋体" w:cs="Times New Roman"/>
                <w:bCs/>
                <w:color w:val="auto"/>
                <w:spacing w:val="0"/>
                <w:sz w:val="24"/>
                <w:szCs w:val="24"/>
                <w:lang w:eastAsia="zh-CN"/>
              </w:rPr>
              <w:t>（备案见附件</w:t>
            </w:r>
            <w:r>
              <w:rPr>
                <w:rFonts w:hint="default" w:ascii="Times New Roman" w:hAnsi="Times New Roman" w:eastAsia="宋体" w:cs="Times New Roman"/>
                <w:bCs/>
                <w:color w:val="auto"/>
                <w:spacing w:val="0"/>
                <w:sz w:val="24"/>
                <w:szCs w:val="24"/>
                <w:lang w:val="en-US" w:eastAsia="zh-CN"/>
              </w:rPr>
              <w:t>2</w:t>
            </w:r>
            <w:r>
              <w:rPr>
                <w:rFonts w:hint="default" w:ascii="Times New Roman" w:hAnsi="Times New Roman" w:eastAsia="宋体" w:cs="Times New Roman"/>
                <w:bCs/>
                <w:color w:val="auto"/>
                <w:spacing w:val="0"/>
                <w:sz w:val="24"/>
                <w:szCs w:val="24"/>
                <w:lang w:eastAsia="zh-CN"/>
              </w:rPr>
              <w:t>）</w:t>
            </w:r>
            <w:r>
              <w:rPr>
                <w:rFonts w:hint="eastAsia" w:ascii="Times New Roman" w:hAnsi="Times New Roman" w:eastAsia="宋体" w:cs="Times New Roman"/>
                <w:bCs/>
                <w:color w:val="auto"/>
                <w:spacing w:val="0"/>
                <w:sz w:val="24"/>
                <w:szCs w:val="24"/>
                <w:lang w:eastAsia="zh-CN"/>
              </w:rPr>
              <w:t>。</w:t>
            </w:r>
          </w:p>
          <w:p w14:paraId="2B09D16F">
            <w:pPr>
              <w:keepNext w:val="0"/>
              <w:keepLines w:val="0"/>
              <w:pageBreakBefore w:val="0"/>
              <w:widowControl w:val="0"/>
              <w:kinsoku/>
              <w:wordWrap/>
              <w:overflowPunct/>
              <w:topLinePunct w:val="0"/>
              <w:autoSpaceDE w:val="0"/>
              <w:autoSpaceDN w:val="0"/>
              <w:bidi w:val="0"/>
              <w:adjustRightInd w:val="0"/>
              <w:snapToGrid w:val="0"/>
              <w:spacing w:line="520" w:lineRule="exact"/>
              <w:ind w:firstLine="482" w:firstLineChars="200"/>
              <w:jc w:val="left"/>
              <w:textAlignment w:val="auto"/>
              <w:rPr>
                <w:rFonts w:hint="default" w:ascii="Times New Roman" w:hAnsi="Times New Roman" w:eastAsia="黑体" w:cs="Times New Roman"/>
                <w:b w:val="0"/>
                <w:bCs w:val="0"/>
                <w:color w:val="auto"/>
                <w:spacing w:val="0"/>
                <w:kern w:val="0"/>
                <w:sz w:val="24"/>
                <w:szCs w:val="24"/>
              </w:rPr>
            </w:pPr>
            <w:r>
              <w:rPr>
                <w:rFonts w:hint="eastAsia"/>
                <w:b/>
                <w:bCs/>
                <w:color w:val="auto"/>
                <w:spacing w:val="0"/>
                <w:kern w:val="0"/>
                <w:sz w:val="24"/>
                <w:szCs w:val="24"/>
                <w:lang w:val="en-US" w:eastAsia="zh-CN"/>
              </w:rPr>
              <w:t>3</w:t>
            </w:r>
            <w:r>
              <w:rPr>
                <w:b/>
                <w:bCs/>
                <w:color w:val="auto"/>
                <w:spacing w:val="0"/>
                <w:kern w:val="0"/>
                <w:sz w:val="24"/>
                <w:szCs w:val="24"/>
              </w:rPr>
              <w:t>、备案相符性分析</w:t>
            </w:r>
          </w:p>
          <w:p w14:paraId="5FF19B89">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both"/>
              <w:textAlignment w:val="auto"/>
              <w:rPr>
                <w:rFonts w:hint="default" w:ascii="Times New Roman" w:hAnsi="Times New Roman" w:eastAsia="黑体" w:cs="Times New Roman"/>
                <w:b w:val="0"/>
                <w:bCs w:val="0"/>
                <w:color w:val="auto"/>
                <w:spacing w:val="0"/>
                <w:kern w:val="0"/>
                <w:sz w:val="24"/>
                <w:szCs w:val="24"/>
              </w:rPr>
            </w:pPr>
          </w:p>
          <w:p w14:paraId="7AEF6AE5">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both"/>
              <w:textAlignment w:val="auto"/>
              <w:rPr>
                <w:rFonts w:hint="default" w:ascii="Times New Roman" w:hAnsi="Times New Roman" w:eastAsia="黑体" w:cs="Times New Roman"/>
                <w:b w:val="0"/>
                <w:bCs w:val="0"/>
                <w:color w:val="auto"/>
                <w:spacing w:val="0"/>
                <w:kern w:val="0"/>
                <w:sz w:val="24"/>
                <w:szCs w:val="24"/>
              </w:rPr>
            </w:pPr>
            <w:r>
              <w:rPr>
                <w:rFonts w:hint="default" w:ascii="Times New Roman" w:hAnsi="Times New Roman" w:eastAsia="黑体" w:cs="Times New Roman"/>
                <w:b w:val="0"/>
                <w:bCs w:val="0"/>
                <w:color w:val="auto"/>
                <w:spacing w:val="0"/>
                <w:kern w:val="0"/>
                <w:sz w:val="24"/>
                <w:szCs w:val="24"/>
              </w:rPr>
              <w:t>表1</w:t>
            </w:r>
            <w:r>
              <w:rPr>
                <w:rFonts w:hint="default" w:ascii="Times New Roman" w:hAnsi="Times New Roman" w:eastAsia="黑体" w:cs="Times New Roman"/>
                <w:b w:val="0"/>
                <w:bCs w:val="0"/>
                <w:color w:val="auto"/>
                <w:spacing w:val="0"/>
                <w:kern w:val="0"/>
                <w:sz w:val="24"/>
                <w:szCs w:val="24"/>
                <w:lang w:val="en-US" w:eastAsia="zh-CN"/>
              </w:rPr>
              <w:t>-</w:t>
            </w:r>
            <w:r>
              <w:rPr>
                <w:rFonts w:hint="eastAsia" w:eastAsia="黑体" w:cs="Times New Roman"/>
                <w:b w:val="0"/>
                <w:bCs w:val="0"/>
                <w:color w:val="auto"/>
                <w:spacing w:val="0"/>
                <w:kern w:val="0"/>
                <w:sz w:val="24"/>
                <w:szCs w:val="24"/>
                <w:lang w:val="en-US" w:eastAsia="zh-CN"/>
              </w:rPr>
              <w:t>5</w:t>
            </w:r>
            <w:r>
              <w:rPr>
                <w:rFonts w:hint="default" w:ascii="Times New Roman" w:hAnsi="Times New Roman" w:eastAsia="黑体" w:cs="Times New Roman"/>
                <w:b w:val="0"/>
                <w:bCs w:val="0"/>
                <w:color w:val="auto"/>
                <w:spacing w:val="0"/>
                <w:kern w:val="0"/>
                <w:sz w:val="24"/>
                <w:szCs w:val="24"/>
              </w:rPr>
              <w:t xml:space="preserve">    </w:t>
            </w:r>
            <w:r>
              <w:rPr>
                <w:rFonts w:hint="default" w:ascii="Times New Roman" w:hAnsi="Times New Roman" w:eastAsia="黑体" w:cs="Times New Roman"/>
                <w:b w:val="0"/>
                <w:bCs w:val="0"/>
                <w:color w:val="auto"/>
                <w:spacing w:val="0"/>
                <w:kern w:val="0"/>
                <w:sz w:val="24"/>
                <w:szCs w:val="24"/>
                <w:lang w:val="en-US" w:eastAsia="zh-CN"/>
              </w:rPr>
              <w:t xml:space="preserve">  </w:t>
            </w:r>
            <w:r>
              <w:rPr>
                <w:rFonts w:hint="default" w:ascii="Times New Roman" w:hAnsi="Times New Roman" w:eastAsia="黑体" w:cs="Times New Roman"/>
                <w:b w:val="0"/>
                <w:bCs w:val="0"/>
                <w:color w:val="auto"/>
                <w:spacing w:val="0"/>
                <w:kern w:val="0"/>
                <w:sz w:val="24"/>
                <w:szCs w:val="24"/>
              </w:rPr>
              <w:t>项目建设内容与备案相符性分析一览表</w:t>
            </w:r>
          </w:p>
          <w:tbl>
            <w:tblPr>
              <w:tblStyle w:val="2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1"/>
              <w:gridCol w:w="3077"/>
              <w:gridCol w:w="2948"/>
              <w:gridCol w:w="976"/>
            </w:tblGrid>
            <w:tr w14:paraId="107C0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9" w:type="pct"/>
                  <w:noWrap w:val="0"/>
                  <w:vAlign w:val="center"/>
                </w:tcPr>
                <w:p w14:paraId="1EBB6EF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rPr>
                  </w:pPr>
                  <w:r>
                    <w:rPr>
                      <w:rFonts w:hint="default" w:ascii="Times New Roman" w:hAnsi="Times New Roman" w:eastAsia="宋体" w:cs="Times New Roman"/>
                      <w:color w:val="auto"/>
                      <w:spacing w:val="0"/>
                      <w:kern w:val="0"/>
                      <w:sz w:val="21"/>
                      <w:szCs w:val="21"/>
                    </w:rPr>
                    <w:t>项目</w:t>
                  </w:r>
                </w:p>
              </w:tc>
              <w:tc>
                <w:tcPr>
                  <w:tcW w:w="1999" w:type="pct"/>
                  <w:noWrap w:val="0"/>
                  <w:vAlign w:val="center"/>
                </w:tcPr>
                <w:p w14:paraId="68413C97">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rPr>
                  </w:pPr>
                  <w:r>
                    <w:rPr>
                      <w:rFonts w:hint="default" w:ascii="Times New Roman" w:hAnsi="Times New Roman" w:eastAsia="宋体" w:cs="Times New Roman"/>
                      <w:color w:val="auto"/>
                      <w:spacing w:val="0"/>
                      <w:kern w:val="0"/>
                      <w:sz w:val="21"/>
                      <w:szCs w:val="21"/>
                    </w:rPr>
                    <w:t>备案内容</w:t>
                  </w:r>
                </w:p>
              </w:tc>
              <w:tc>
                <w:tcPr>
                  <w:tcW w:w="1915" w:type="pct"/>
                  <w:noWrap w:val="0"/>
                  <w:vAlign w:val="center"/>
                </w:tcPr>
                <w:p w14:paraId="2E801A1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rPr>
                  </w:pPr>
                  <w:r>
                    <w:rPr>
                      <w:rFonts w:hint="default" w:ascii="Times New Roman" w:hAnsi="Times New Roman" w:eastAsia="宋体" w:cs="Times New Roman"/>
                      <w:color w:val="auto"/>
                      <w:spacing w:val="0"/>
                      <w:kern w:val="0"/>
                      <w:sz w:val="21"/>
                      <w:szCs w:val="21"/>
                    </w:rPr>
                    <w:t>建设内容</w:t>
                  </w:r>
                </w:p>
              </w:tc>
              <w:tc>
                <w:tcPr>
                  <w:tcW w:w="634" w:type="pct"/>
                  <w:noWrap w:val="0"/>
                  <w:vAlign w:val="center"/>
                </w:tcPr>
                <w:p w14:paraId="0D9FD5C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rPr>
                  </w:pPr>
                  <w:r>
                    <w:rPr>
                      <w:rFonts w:hint="default" w:ascii="Times New Roman" w:hAnsi="Times New Roman" w:eastAsia="宋体" w:cs="Times New Roman"/>
                      <w:color w:val="auto"/>
                      <w:spacing w:val="0"/>
                      <w:kern w:val="0"/>
                      <w:sz w:val="21"/>
                      <w:szCs w:val="21"/>
                    </w:rPr>
                    <w:t>一致性分析</w:t>
                  </w:r>
                </w:p>
              </w:tc>
            </w:tr>
            <w:tr w14:paraId="5A75F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exact"/>
              </w:trPr>
              <w:tc>
                <w:tcPr>
                  <w:tcW w:w="449" w:type="pct"/>
                  <w:noWrap w:val="0"/>
                  <w:vAlign w:val="center"/>
                </w:tcPr>
                <w:p w14:paraId="02C0930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rPr>
                  </w:pPr>
                  <w:r>
                    <w:rPr>
                      <w:rFonts w:hint="default" w:ascii="Times New Roman" w:hAnsi="Times New Roman" w:eastAsia="宋体" w:cs="Times New Roman"/>
                      <w:color w:val="auto"/>
                      <w:spacing w:val="0"/>
                      <w:kern w:val="0"/>
                      <w:sz w:val="21"/>
                      <w:szCs w:val="21"/>
                    </w:rPr>
                    <w:t>项目名称</w:t>
                  </w:r>
                </w:p>
              </w:tc>
              <w:tc>
                <w:tcPr>
                  <w:tcW w:w="1999" w:type="pct"/>
                  <w:noWrap w:val="0"/>
                  <w:vAlign w:val="center"/>
                </w:tcPr>
                <w:p w14:paraId="0CDF815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lang w:val="en-US" w:eastAsia="zh-CN"/>
                    </w:rPr>
                  </w:pPr>
                  <w:r>
                    <w:rPr>
                      <w:rFonts w:hint="eastAsia" w:cs="Times New Roman"/>
                      <w:color w:val="auto"/>
                      <w:spacing w:val="0"/>
                      <w:kern w:val="0"/>
                      <w:sz w:val="21"/>
                      <w:szCs w:val="21"/>
                      <w:lang w:val="en-US" w:eastAsia="zh-CN"/>
                    </w:rPr>
                    <w:t>新乡市威远精工有限公司光刻机大尺寸结构件量产及装配项目</w:t>
                  </w:r>
                </w:p>
              </w:tc>
              <w:tc>
                <w:tcPr>
                  <w:tcW w:w="1915" w:type="pct"/>
                  <w:noWrap w:val="0"/>
                  <w:vAlign w:val="center"/>
                </w:tcPr>
                <w:p w14:paraId="48180E9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lang w:eastAsia="zh-CN"/>
                    </w:rPr>
                  </w:pPr>
                  <w:r>
                    <w:rPr>
                      <w:rFonts w:hint="eastAsia" w:cs="Times New Roman"/>
                      <w:color w:val="auto"/>
                      <w:spacing w:val="0"/>
                      <w:kern w:val="0"/>
                      <w:sz w:val="21"/>
                      <w:szCs w:val="21"/>
                      <w:lang w:val="en-US" w:eastAsia="zh-CN"/>
                    </w:rPr>
                    <w:t>新乡市威远精工有限公司光刻机大尺寸结构件量产及装配项目</w:t>
                  </w:r>
                </w:p>
              </w:tc>
              <w:tc>
                <w:tcPr>
                  <w:tcW w:w="634" w:type="pct"/>
                  <w:noWrap w:val="0"/>
                  <w:vAlign w:val="center"/>
                </w:tcPr>
                <w:p w14:paraId="52CAB40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rPr>
                  </w:pPr>
                  <w:r>
                    <w:rPr>
                      <w:rFonts w:hint="default" w:ascii="Times New Roman" w:hAnsi="Times New Roman" w:eastAsia="宋体" w:cs="Times New Roman"/>
                      <w:color w:val="auto"/>
                      <w:spacing w:val="0"/>
                      <w:kern w:val="0"/>
                      <w:sz w:val="21"/>
                      <w:szCs w:val="21"/>
                    </w:rPr>
                    <w:t>一致</w:t>
                  </w:r>
                </w:p>
              </w:tc>
            </w:tr>
            <w:tr w14:paraId="3AF32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49" w:type="pct"/>
                  <w:noWrap w:val="0"/>
                  <w:vAlign w:val="center"/>
                </w:tcPr>
                <w:p w14:paraId="7695826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eastAsia="宋体" w:cs="Times New Roman"/>
                      <w:color w:val="auto"/>
                      <w:spacing w:val="0"/>
                      <w:kern w:val="0"/>
                      <w:sz w:val="21"/>
                      <w:szCs w:val="21"/>
                    </w:rPr>
                    <w:t>建设单位</w:t>
                  </w:r>
                </w:p>
              </w:tc>
              <w:tc>
                <w:tcPr>
                  <w:tcW w:w="1999" w:type="pct"/>
                  <w:noWrap w:val="0"/>
                  <w:vAlign w:val="center"/>
                </w:tcPr>
                <w:p w14:paraId="24E4C12E">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lang w:val="en-US" w:eastAsia="zh-CN" w:bidi="ar-SA"/>
                    </w:rPr>
                  </w:pPr>
                  <w:r>
                    <w:rPr>
                      <w:rFonts w:hint="eastAsia" w:cs="Times New Roman"/>
                      <w:color w:val="auto"/>
                      <w:spacing w:val="0"/>
                      <w:kern w:val="0"/>
                      <w:sz w:val="21"/>
                      <w:szCs w:val="21"/>
                      <w:lang w:eastAsia="zh-CN"/>
                    </w:rPr>
                    <w:t>新乡市威远精工有限公司</w:t>
                  </w:r>
                </w:p>
              </w:tc>
              <w:tc>
                <w:tcPr>
                  <w:tcW w:w="1915" w:type="pct"/>
                  <w:noWrap w:val="0"/>
                  <w:vAlign w:val="center"/>
                </w:tcPr>
                <w:p w14:paraId="75569CB3">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lang w:val="en-US" w:eastAsia="zh-CN" w:bidi="ar-SA"/>
                    </w:rPr>
                  </w:pPr>
                  <w:r>
                    <w:rPr>
                      <w:rFonts w:hint="eastAsia" w:cs="Times New Roman"/>
                      <w:color w:val="auto"/>
                      <w:spacing w:val="0"/>
                      <w:kern w:val="0"/>
                      <w:sz w:val="21"/>
                      <w:szCs w:val="21"/>
                      <w:lang w:eastAsia="zh-CN"/>
                    </w:rPr>
                    <w:t>新乡市威远精工有限公司</w:t>
                  </w:r>
                </w:p>
              </w:tc>
              <w:tc>
                <w:tcPr>
                  <w:tcW w:w="634" w:type="pct"/>
                  <w:noWrap w:val="0"/>
                  <w:vAlign w:val="center"/>
                </w:tcPr>
                <w:p w14:paraId="3CCBB3C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default" w:ascii="Times New Roman" w:hAnsi="Times New Roman" w:eastAsia="宋体" w:cs="Times New Roman"/>
                      <w:color w:val="auto"/>
                      <w:spacing w:val="0"/>
                      <w:kern w:val="0"/>
                      <w:sz w:val="21"/>
                      <w:szCs w:val="21"/>
                    </w:rPr>
                    <w:t>一致</w:t>
                  </w:r>
                </w:p>
              </w:tc>
            </w:tr>
            <w:tr w14:paraId="12D35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49" w:type="pct"/>
                  <w:noWrap w:val="0"/>
                  <w:vAlign w:val="center"/>
                </w:tcPr>
                <w:p w14:paraId="43B68EF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rPr>
                  </w:pPr>
                  <w:r>
                    <w:rPr>
                      <w:rFonts w:hint="default" w:ascii="Times New Roman" w:hAnsi="Times New Roman" w:eastAsia="宋体" w:cs="Times New Roman"/>
                      <w:color w:val="auto"/>
                      <w:spacing w:val="0"/>
                      <w:kern w:val="0"/>
                      <w:sz w:val="21"/>
                      <w:szCs w:val="21"/>
                    </w:rPr>
                    <w:t>建设地点</w:t>
                  </w:r>
                </w:p>
              </w:tc>
              <w:tc>
                <w:tcPr>
                  <w:tcW w:w="1999" w:type="pct"/>
                  <w:noWrap w:val="0"/>
                  <w:vAlign w:val="center"/>
                </w:tcPr>
                <w:p w14:paraId="3EFD1F2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lang w:val="en-US" w:eastAsia="zh-CN"/>
                    </w:rPr>
                  </w:pPr>
                  <w:r>
                    <w:rPr>
                      <w:rFonts w:hint="eastAsia" w:cs="Times New Roman"/>
                      <w:color w:val="auto"/>
                      <w:spacing w:val="0"/>
                      <w:kern w:val="0"/>
                      <w:sz w:val="21"/>
                      <w:szCs w:val="21"/>
                      <w:lang w:val="en-US" w:eastAsia="zh-CN"/>
                    </w:rPr>
                    <w:t>新乡市新乡县翟坡镇东大阳堤村村西中央大道东侧</w:t>
                  </w:r>
                </w:p>
              </w:tc>
              <w:tc>
                <w:tcPr>
                  <w:tcW w:w="1915" w:type="pct"/>
                  <w:noWrap w:val="0"/>
                  <w:vAlign w:val="center"/>
                </w:tcPr>
                <w:p w14:paraId="29FA732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lang w:eastAsia="zh-CN"/>
                    </w:rPr>
                  </w:pPr>
                  <w:r>
                    <w:rPr>
                      <w:rFonts w:hint="eastAsia" w:cs="Times New Roman"/>
                      <w:color w:val="auto"/>
                      <w:spacing w:val="0"/>
                      <w:kern w:val="0"/>
                      <w:sz w:val="21"/>
                      <w:szCs w:val="21"/>
                      <w:lang w:val="en-US" w:eastAsia="zh-CN"/>
                    </w:rPr>
                    <w:t>新乡市新乡县翟坡镇东大阳堤村村西中央大道东侧</w:t>
                  </w:r>
                </w:p>
              </w:tc>
              <w:tc>
                <w:tcPr>
                  <w:tcW w:w="634" w:type="pct"/>
                  <w:noWrap w:val="0"/>
                  <w:vAlign w:val="center"/>
                </w:tcPr>
                <w:p w14:paraId="45D7D80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rPr>
                  </w:pPr>
                  <w:r>
                    <w:rPr>
                      <w:rFonts w:hint="default" w:ascii="Times New Roman" w:hAnsi="Times New Roman" w:eastAsia="宋体" w:cs="Times New Roman"/>
                      <w:color w:val="auto"/>
                      <w:spacing w:val="0"/>
                      <w:kern w:val="0"/>
                      <w:sz w:val="21"/>
                      <w:szCs w:val="21"/>
                    </w:rPr>
                    <w:t>一致</w:t>
                  </w:r>
                </w:p>
              </w:tc>
            </w:tr>
            <w:tr w14:paraId="0E81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9" w:type="pct"/>
                  <w:noWrap w:val="0"/>
                  <w:vAlign w:val="center"/>
                </w:tcPr>
                <w:p w14:paraId="07E553A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lang w:eastAsia="zh-CN"/>
                    </w:rPr>
                  </w:pPr>
                  <w:r>
                    <w:rPr>
                      <w:rFonts w:hint="eastAsia" w:ascii="Times New Roman" w:hAnsi="Times New Roman" w:eastAsia="宋体" w:cs="Times New Roman"/>
                      <w:color w:val="auto"/>
                      <w:spacing w:val="0"/>
                      <w:kern w:val="0"/>
                      <w:sz w:val="21"/>
                      <w:szCs w:val="21"/>
                      <w:lang w:eastAsia="zh-CN"/>
                    </w:rPr>
                    <w:t>建设性质</w:t>
                  </w:r>
                </w:p>
              </w:tc>
              <w:tc>
                <w:tcPr>
                  <w:tcW w:w="1999" w:type="pct"/>
                  <w:noWrap w:val="0"/>
                  <w:vAlign w:val="center"/>
                </w:tcPr>
                <w:p w14:paraId="5E6826C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lang w:val="en-US" w:eastAsia="zh-CN"/>
                    </w:rPr>
                  </w:pPr>
                  <w:r>
                    <w:rPr>
                      <w:rFonts w:hint="eastAsia" w:ascii="Times New Roman" w:hAnsi="Times New Roman" w:eastAsia="宋体" w:cs="Times New Roman"/>
                      <w:color w:val="auto"/>
                      <w:spacing w:val="0"/>
                      <w:kern w:val="0"/>
                      <w:sz w:val="21"/>
                      <w:szCs w:val="21"/>
                      <w:lang w:eastAsia="zh-CN"/>
                    </w:rPr>
                    <w:t>新建</w:t>
                  </w:r>
                </w:p>
              </w:tc>
              <w:tc>
                <w:tcPr>
                  <w:tcW w:w="1915" w:type="pct"/>
                  <w:noWrap w:val="0"/>
                  <w:vAlign w:val="center"/>
                </w:tcPr>
                <w:p w14:paraId="092B627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lang w:eastAsia="zh-CN"/>
                    </w:rPr>
                  </w:pPr>
                  <w:r>
                    <w:rPr>
                      <w:rFonts w:hint="eastAsia" w:ascii="Times New Roman" w:hAnsi="Times New Roman" w:eastAsia="宋体" w:cs="Times New Roman"/>
                      <w:color w:val="auto"/>
                      <w:spacing w:val="0"/>
                      <w:kern w:val="0"/>
                      <w:sz w:val="21"/>
                      <w:szCs w:val="21"/>
                      <w:lang w:eastAsia="zh-CN"/>
                    </w:rPr>
                    <w:t>新建</w:t>
                  </w:r>
                </w:p>
              </w:tc>
              <w:tc>
                <w:tcPr>
                  <w:tcW w:w="634" w:type="pct"/>
                  <w:noWrap w:val="0"/>
                  <w:vAlign w:val="center"/>
                </w:tcPr>
                <w:p w14:paraId="2ACC35F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lang w:eastAsia="zh-CN"/>
                    </w:rPr>
                  </w:pPr>
                  <w:r>
                    <w:rPr>
                      <w:rFonts w:hint="eastAsia" w:ascii="Times New Roman" w:hAnsi="Times New Roman" w:eastAsia="宋体" w:cs="Times New Roman"/>
                      <w:color w:val="auto"/>
                      <w:spacing w:val="0"/>
                      <w:kern w:val="0"/>
                      <w:sz w:val="21"/>
                      <w:szCs w:val="21"/>
                      <w:lang w:eastAsia="zh-CN"/>
                    </w:rPr>
                    <w:t>一致</w:t>
                  </w:r>
                </w:p>
              </w:tc>
            </w:tr>
            <w:tr w14:paraId="614FC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449" w:type="pct"/>
                  <w:noWrap w:val="0"/>
                  <w:vAlign w:val="center"/>
                </w:tcPr>
                <w:p w14:paraId="7A1F14A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lang w:eastAsia="zh-CN"/>
                    </w:rPr>
                  </w:pPr>
                  <w:r>
                    <w:rPr>
                      <w:rFonts w:hint="eastAsia" w:ascii="Times New Roman" w:hAnsi="Times New Roman" w:eastAsia="宋体" w:cs="Times New Roman"/>
                      <w:color w:val="auto"/>
                      <w:spacing w:val="0"/>
                      <w:kern w:val="0"/>
                      <w:sz w:val="21"/>
                      <w:szCs w:val="21"/>
                      <w:lang w:eastAsia="zh-CN"/>
                    </w:rPr>
                    <w:t>建设规模及内容</w:t>
                  </w:r>
                </w:p>
              </w:tc>
              <w:tc>
                <w:tcPr>
                  <w:tcW w:w="1999" w:type="pct"/>
                  <w:noWrap w:val="0"/>
                  <w:vAlign w:val="center"/>
                </w:tcPr>
                <w:p w14:paraId="6E43B20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both"/>
                    <w:textAlignment w:val="auto"/>
                    <w:rPr>
                      <w:rFonts w:hint="default" w:ascii="Times New Roman" w:hAnsi="Times New Roman" w:eastAsia="宋体" w:cs="Times New Roman"/>
                      <w:color w:val="auto"/>
                      <w:spacing w:val="0"/>
                      <w:kern w:val="0"/>
                      <w:sz w:val="21"/>
                      <w:szCs w:val="21"/>
                      <w:lang w:val="en-US" w:eastAsia="zh-CN"/>
                    </w:rPr>
                  </w:pPr>
                  <w:r>
                    <w:rPr>
                      <w:rFonts w:hint="default" w:ascii="Times New Roman" w:hAnsi="Times New Roman" w:eastAsia="宋体" w:cs="Times New Roman"/>
                      <w:color w:val="auto"/>
                      <w:spacing w:val="0"/>
                      <w:kern w:val="0"/>
                      <w:sz w:val="21"/>
                      <w:szCs w:val="21"/>
                      <w:lang w:val="en-US" w:eastAsia="zh-CN"/>
                    </w:rPr>
                    <w:t>本项目分两期进行，一期计划投入7000万元，占地约21亩，建筑面积约9000平方米，预计2026年10月底完工。二期预计投入8000万元，预计于2028年11月完工。整个项目预计共投入15000万元。本项目新建恒温机加工车间、电退火车间</w:t>
                  </w:r>
                  <w:r>
                    <w:rPr>
                      <w:rFonts w:hint="eastAsia" w:cs="Times New Roman"/>
                      <w:color w:val="auto"/>
                      <w:spacing w:val="0"/>
                      <w:kern w:val="0"/>
                      <w:sz w:val="21"/>
                      <w:szCs w:val="21"/>
                      <w:lang w:val="en-US" w:eastAsia="zh-CN"/>
                    </w:rPr>
                    <w:t>（配备3米*4米*2米的电退火炉）</w:t>
                  </w:r>
                  <w:r>
                    <w:rPr>
                      <w:rFonts w:hint="default" w:ascii="Times New Roman" w:hAnsi="Times New Roman" w:eastAsia="宋体" w:cs="Times New Roman"/>
                      <w:color w:val="auto"/>
                      <w:spacing w:val="0"/>
                      <w:kern w:val="0"/>
                      <w:sz w:val="21"/>
                      <w:szCs w:val="21"/>
                      <w:lang w:val="en-US" w:eastAsia="zh-CN"/>
                    </w:rPr>
                    <w:t>、三坐标检测车间及千级洁净装配间和研发实验室等。项目主要生产光刻机大尺寸高精密框架及半导体设备大尺寸结构件，形成年产框架300件、子系统装配50套的产能。主要原料为外购碳钢板材、焊接毛坯，均由具有资质的专业供应商提供。生产工艺流程为：原料检验</w:t>
                  </w:r>
                  <w:r>
                    <w:rPr>
                      <w:rFonts w:hint="eastAsia" w:cs="Times New Roman"/>
                      <w:color w:val="auto"/>
                      <w:spacing w:val="0"/>
                      <w:kern w:val="0"/>
                      <w:sz w:val="21"/>
                      <w:szCs w:val="21"/>
                      <w:lang w:val="en-US" w:eastAsia="zh-CN"/>
                    </w:rPr>
                    <w:t>-</w:t>
                  </w:r>
                  <w:r>
                    <w:rPr>
                      <w:rFonts w:hint="default" w:ascii="Times New Roman" w:hAnsi="Times New Roman" w:eastAsia="宋体" w:cs="Times New Roman"/>
                      <w:color w:val="auto"/>
                      <w:spacing w:val="0"/>
                      <w:kern w:val="0"/>
                      <w:sz w:val="21"/>
                      <w:szCs w:val="21"/>
                      <w:lang w:val="en-US" w:eastAsia="zh-CN"/>
                    </w:rPr>
                    <w:t>电退火</w:t>
                  </w:r>
                  <w:r>
                    <w:rPr>
                      <w:rFonts w:hint="eastAsia" w:cs="Times New Roman"/>
                      <w:color w:val="auto"/>
                      <w:spacing w:val="0"/>
                      <w:kern w:val="0"/>
                      <w:sz w:val="21"/>
                      <w:szCs w:val="21"/>
                      <w:lang w:val="en-US" w:eastAsia="zh-CN"/>
                    </w:rPr>
                    <w:t>-</w:t>
                  </w:r>
                  <w:r>
                    <w:rPr>
                      <w:rFonts w:hint="default" w:ascii="Times New Roman" w:hAnsi="Times New Roman" w:eastAsia="宋体" w:cs="Times New Roman"/>
                      <w:color w:val="auto"/>
                      <w:spacing w:val="0"/>
                      <w:kern w:val="0"/>
                      <w:sz w:val="21"/>
                      <w:szCs w:val="21"/>
                      <w:lang w:val="en-US" w:eastAsia="zh-CN"/>
                    </w:rPr>
                    <w:t>粗、半精、精加工</w:t>
                  </w:r>
                  <w:r>
                    <w:rPr>
                      <w:rFonts w:hint="eastAsia" w:cs="Times New Roman"/>
                      <w:color w:val="auto"/>
                      <w:spacing w:val="0"/>
                      <w:kern w:val="0"/>
                      <w:sz w:val="21"/>
                      <w:szCs w:val="21"/>
                      <w:lang w:val="en-US" w:eastAsia="zh-CN"/>
                    </w:rPr>
                    <w:t>-</w:t>
                  </w:r>
                  <w:r>
                    <w:rPr>
                      <w:rFonts w:hint="default" w:ascii="Times New Roman" w:hAnsi="Times New Roman" w:eastAsia="宋体" w:cs="Times New Roman"/>
                      <w:color w:val="auto"/>
                      <w:spacing w:val="0"/>
                      <w:kern w:val="0"/>
                      <w:sz w:val="21"/>
                      <w:szCs w:val="21"/>
                      <w:lang w:val="en-US" w:eastAsia="zh-CN"/>
                    </w:rPr>
                    <w:t>三坐标检测</w:t>
                  </w:r>
                  <w:r>
                    <w:rPr>
                      <w:rFonts w:hint="eastAsia" w:cs="Times New Roman"/>
                      <w:color w:val="auto"/>
                      <w:spacing w:val="0"/>
                      <w:kern w:val="0"/>
                      <w:sz w:val="21"/>
                      <w:szCs w:val="21"/>
                      <w:lang w:val="en-US" w:eastAsia="zh-CN"/>
                    </w:rPr>
                    <w:t>-</w:t>
                  </w:r>
                  <w:r>
                    <w:rPr>
                      <w:rFonts w:hint="default" w:ascii="Times New Roman" w:hAnsi="Times New Roman" w:eastAsia="宋体" w:cs="Times New Roman"/>
                      <w:color w:val="auto"/>
                      <w:spacing w:val="0"/>
                      <w:kern w:val="0"/>
                      <w:sz w:val="21"/>
                      <w:szCs w:val="21"/>
                      <w:lang w:val="en-US" w:eastAsia="zh-CN"/>
                    </w:rPr>
                    <w:t>清理</w:t>
                  </w:r>
                  <w:r>
                    <w:rPr>
                      <w:rFonts w:hint="eastAsia" w:cs="Times New Roman"/>
                      <w:color w:val="auto"/>
                      <w:spacing w:val="0"/>
                      <w:kern w:val="0"/>
                      <w:sz w:val="21"/>
                      <w:szCs w:val="21"/>
                      <w:lang w:val="en-US" w:eastAsia="zh-CN"/>
                    </w:rPr>
                    <w:t>-</w:t>
                  </w:r>
                  <w:r>
                    <w:rPr>
                      <w:rFonts w:hint="default" w:ascii="Times New Roman" w:hAnsi="Times New Roman" w:eastAsia="宋体" w:cs="Times New Roman"/>
                      <w:color w:val="auto"/>
                      <w:spacing w:val="0"/>
                      <w:kern w:val="0"/>
                      <w:sz w:val="21"/>
                      <w:szCs w:val="21"/>
                      <w:lang w:val="en-US" w:eastAsia="zh-CN"/>
                    </w:rPr>
                    <w:t>洁净装配</w:t>
                  </w:r>
                  <w:r>
                    <w:rPr>
                      <w:rFonts w:hint="eastAsia" w:cs="Times New Roman"/>
                      <w:color w:val="auto"/>
                      <w:spacing w:val="0"/>
                      <w:kern w:val="0"/>
                      <w:sz w:val="21"/>
                      <w:szCs w:val="21"/>
                      <w:lang w:val="en-US" w:eastAsia="zh-CN"/>
                    </w:rPr>
                    <w:t>-</w:t>
                  </w:r>
                  <w:r>
                    <w:rPr>
                      <w:rFonts w:hint="default" w:ascii="Times New Roman" w:hAnsi="Times New Roman" w:eastAsia="宋体" w:cs="Times New Roman"/>
                      <w:color w:val="auto"/>
                      <w:spacing w:val="0"/>
                      <w:kern w:val="0"/>
                      <w:sz w:val="21"/>
                      <w:szCs w:val="21"/>
                      <w:lang w:val="en-US" w:eastAsia="zh-CN"/>
                    </w:rPr>
                    <w:t>真空包装</w:t>
                  </w:r>
                  <w:r>
                    <w:rPr>
                      <w:rFonts w:hint="eastAsia" w:cs="Times New Roman"/>
                      <w:color w:val="auto"/>
                      <w:spacing w:val="0"/>
                      <w:kern w:val="0"/>
                      <w:sz w:val="21"/>
                      <w:szCs w:val="21"/>
                      <w:lang w:val="en-US" w:eastAsia="zh-CN"/>
                    </w:rPr>
                    <w:t>-</w:t>
                  </w:r>
                  <w:r>
                    <w:rPr>
                      <w:rFonts w:hint="default" w:ascii="Times New Roman" w:hAnsi="Times New Roman" w:eastAsia="宋体" w:cs="Times New Roman"/>
                      <w:color w:val="auto"/>
                      <w:spacing w:val="0"/>
                      <w:kern w:val="0"/>
                      <w:sz w:val="21"/>
                      <w:szCs w:val="21"/>
                      <w:lang w:val="en-US" w:eastAsia="zh-CN"/>
                    </w:rPr>
                    <w:t>入库。主要生产设备包括高精度数控龙门加工中心、蔡司龙门三坐标测量机、真空包装机及电退火炉等。本项目已经进入国内光刻机龙头企业供应链名单，并且为多家在研项目提供零部件支持，总体上看</w:t>
                  </w:r>
                </w:p>
              </w:tc>
              <w:tc>
                <w:tcPr>
                  <w:tcW w:w="1915" w:type="pct"/>
                  <w:noWrap w:val="0"/>
                  <w:vAlign w:val="center"/>
                </w:tcPr>
                <w:p w14:paraId="172686A9">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lang w:val="en-US" w:eastAsia="zh-CN"/>
                    </w:rPr>
                  </w:pPr>
                  <w:r>
                    <w:rPr>
                      <w:rFonts w:hint="default" w:ascii="Times New Roman" w:hAnsi="Times New Roman" w:eastAsia="宋体" w:cs="Times New Roman"/>
                      <w:color w:val="auto"/>
                      <w:spacing w:val="0"/>
                      <w:kern w:val="0"/>
                      <w:sz w:val="21"/>
                      <w:szCs w:val="21"/>
                      <w:highlight w:val="none"/>
                      <w:lang w:val="en-US" w:eastAsia="zh-CN"/>
                    </w:rPr>
                    <w:t>本项目一期</w:t>
                  </w:r>
                  <w:r>
                    <w:rPr>
                      <w:rFonts w:hint="eastAsia" w:cs="Times New Roman"/>
                      <w:color w:val="auto"/>
                      <w:spacing w:val="0"/>
                      <w:kern w:val="0"/>
                      <w:sz w:val="21"/>
                      <w:szCs w:val="21"/>
                      <w:highlight w:val="none"/>
                      <w:lang w:val="en-US" w:eastAsia="zh-CN"/>
                    </w:rPr>
                    <w:t>工程</w:t>
                  </w:r>
                  <w:r>
                    <w:rPr>
                      <w:rFonts w:hint="default" w:ascii="Times New Roman" w:hAnsi="Times New Roman" w:eastAsia="宋体" w:cs="Times New Roman"/>
                      <w:color w:val="auto"/>
                      <w:spacing w:val="0"/>
                      <w:kern w:val="0"/>
                      <w:sz w:val="21"/>
                      <w:szCs w:val="21"/>
                      <w:highlight w:val="none"/>
                      <w:lang w:val="en-US" w:eastAsia="zh-CN"/>
                    </w:rPr>
                    <w:t>计划投入7000万元，占地约21亩，建筑面积</w:t>
                  </w:r>
                  <w:r>
                    <w:rPr>
                      <w:rFonts w:hint="eastAsia" w:cs="Times New Roman"/>
                      <w:color w:val="auto"/>
                      <w:spacing w:val="0"/>
                      <w:kern w:val="0"/>
                      <w:sz w:val="21"/>
                      <w:szCs w:val="21"/>
                      <w:highlight w:val="none"/>
                      <w:lang w:val="en-US" w:eastAsia="zh-CN"/>
                    </w:rPr>
                    <w:t>10252.48</w:t>
                  </w:r>
                  <w:r>
                    <w:rPr>
                      <w:rFonts w:hint="default" w:ascii="Times New Roman" w:hAnsi="Times New Roman" w:eastAsia="宋体" w:cs="Times New Roman"/>
                      <w:color w:val="auto"/>
                      <w:spacing w:val="0"/>
                      <w:kern w:val="0"/>
                      <w:sz w:val="21"/>
                      <w:szCs w:val="21"/>
                      <w:highlight w:val="none"/>
                      <w:lang w:val="en-US" w:eastAsia="zh-CN"/>
                    </w:rPr>
                    <w:t>平方米，预计2026年10月底完工。本项目新建恒温机加工车间、电退火车间</w:t>
                  </w:r>
                  <w:r>
                    <w:rPr>
                      <w:rFonts w:hint="eastAsia" w:cs="Times New Roman"/>
                      <w:color w:val="auto"/>
                      <w:spacing w:val="0"/>
                      <w:kern w:val="0"/>
                      <w:sz w:val="21"/>
                      <w:szCs w:val="21"/>
                      <w:highlight w:val="none"/>
                      <w:lang w:val="en-US" w:eastAsia="zh-CN"/>
                    </w:rPr>
                    <w:t>（配备3米*4米*2米的电退火炉）</w:t>
                  </w:r>
                  <w:r>
                    <w:rPr>
                      <w:rFonts w:hint="default" w:ascii="Times New Roman" w:hAnsi="Times New Roman" w:eastAsia="宋体" w:cs="Times New Roman"/>
                      <w:color w:val="auto"/>
                      <w:spacing w:val="0"/>
                      <w:kern w:val="0"/>
                      <w:sz w:val="21"/>
                      <w:szCs w:val="21"/>
                      <w:highlight w:val="none"/>
                      <w:lang w:val="en-US" w:eastAsia="zh-CN"/>
                    </w:rPr>
                    <w:t>、三坐标检测车间及千级洁净装配间和研发实验室等。项目主要生产光刻机大尺寸高精密框架，形成年产框架300件。主要原料为外购碳钢板材、焊接毛坯，均由具有资质的专业供应商提供。生产工艺流程为：原料检验</w:t>
                  </w:r>
                  <w:r>
                    <w:rPr>
                      <w:rFonts w:hint="eastAsia" w:cs="Times New Roman"/>
                      <w:color w:val="auto"/>
                      <w:spacing w:val="0"/>
                      <w:kern w:val="0"/>
                      <w:sz w:val="21"/>
                      <w:szCs w:val="21"/>
                      <w:highlight w:val="none"/>
                      <w:lang w:val="en-US" w:eastAsia="zh-CN"/>
                    </w:rPr>
                    <w:t>-</w:t>
                  </w:r>
                  <w:r>
                    <w:rPr>
                      <w:rFonts w:hint="default" w:ascii="Times New Roman" w:hAnsi="Times New Roman" w:eastAsia="宋体" w:cs="Times New Roman"/>
                      <w:color w:val="auto"/>
                      <w:spacing w:val="0"/>
                      <w:kern w:val="0"/>
                      <w:sz w:val="21"/>
                      <w:szCs w:val="21"/>
                      <w:highlight w:val="none"/>
                      <w:lang w:val="en-US" w:eastAsia="zh-CN"/>
                    </w:rPr>
                    <w:t>电退火</w:t>
                  </w:r>
                  <w:r>
                    <w:rPr>
                      <w:rFonts w:hint="eastAsia" w:cs="Times New Roman"/>
                      <w:color w:val="auto"/>
                      <w:spacing w:val="0"/>
                      <w:kern w:val="0"/>
                      <w:sz w:val="21"/>
                      <w:szCs w:val="21"/>
                      <w:highlight w:val="none"/>
                      <w:lang w:val="en-US" w:eastAsia="zh-CN"/>
                    </w:rPr>
                    <w:t>-</w:t>
                  </w:r>
                  <w:r>
                    <w:rPr>
                      <w:rFonts w:hint="default" w:ascii="Times New Roman" w:hAnsi="Times New Roman" w:eastAsia="宋体" w:cs="Times New Roman"/>
                      <w:color w:val="auto"/>
                      <w:spacing w:val="0"/>
                      <w:kern w:val="0"/>
                      <w:sz w:val="21"/>
                      <w:szCs w:val="21"/>
                      <w:highlight w:val="none"/>
                      <w:lang w:val="en-US" w:eastAsia="zh-CN"/>
                    </w:rPr>
                    <w:t>粗、半精、精加工</w:t>
                  </w:r>
                  <w:r>
                    <w:rPr>
                      <w:rFonts w:hint="eastAsia" w:cs="Times New Roman"/>
                      <w:color w:val="auto"/>
                      <w:spacing w:val="0"/>
                      <w:kern w:val="0"/>
                      <w:sz w:val="21"/>
                      <w:szCs w:val="21"/>
                      <w:highlight w:val="none"/>
                      <w:lang w:val="en-US" w:eastAsia="zh-CN"/>
                    </w:rPr>
                    <w:t>-</w:t>
                  </w:r>
                  <w:r>
                    <w:rPr>
                      <w:rFonts w:hint="default" w:ascii="Times New Roman" w:hAnsi="Times New Roman" w:eastAsia="宋体" w:cs="Times New Roman"/>
                      <w:color w:val="auto"/>
                      <w:spacing w:val="0"/>
                      <w:kern w:val="0"/>
                      <w:sz w:val="21"/>
                      <w:szCs w:val="21"/>
                      <w:highlight w:val="none"/>
                      <w:lang w:val="en-US" w:eastAsia="zh-CN"/>
                    </w:rPr>
                    <w:t>三坐标检测</w:t>
                  </w:r>
                  <w:r>
                    <w:rPr>
                      <w:rFonts w:hint="eastAsia" w:cs="Times New Roman"/>
                      <w:color w:val="auto"/>
                      <w:spacing w:val="0"/>
                      <w:kern w:val="0"/>
                      <w:sz w:val="21"/>
                      <w:szCs w:val="21"/>
                      <w:highlight w:val="none"/>
                      <w:lang w:val="en-US" w:eastAsia="zh-CN"/>
                    </w:rPr>
                    <w:t>-</w:t>
                  </w:r>
                  <w:r>
                    <w:rPr>
                      <w:rFonts w:hint="default" w:ascii="Times New Roman" w:hAnsi="Times New Roman" w:eastAsia="宋体" w:cs="Times New Roman"/>
                      <w:color w:val="auto"/>
                      <w:spacing w:val="0"/>
                      <w:kern w:val="0"/>
                      <w:sz w:val="21"/>
                      <w:szCs w:val="21"/>
                      <w:highlight w:val="none"/>
                      <w:lang w:val="en-US" w:eastAsia="zh-CN"/>
                    </w:rPr>
                    <w:t>清理</w:t>
                  </w:r>
                  <w:r>
                    <w:rPr>
                      <w:rFonts w:hint="eastAsia" w:cs="Times New Roman"/>
                      <w:color w:val="auto"/>
                      <w:spacing w:val="0"/>
                      <w:kern w:val="0"/>
                      <w:sz w:val="21"/>
                      <w:szCs w:val="21"/>
                      <w:highlight w:val="none"/>
                      <w:lang w:val="en-US" w:eastAsia="zh-CN"/>
                    </w:rPr>
                    <w:t>-</w:t>
                  </w:r>
                  <w:r>
                    <w:rPr>
                      <w:rFonts w:hint="default" w:ascii="Times New Roman" w:hAnsi="Times New Roman" w:eastAsia="宋体" w:cs="Times New Roman"/>
                      <w:color w:val="auto"/>
                      <w:spacing w:val="0"/>
                      <w:kern w:val="0"/>
                      <w:sz w:val="21"/>
                      <w:szCs w:val="21"/>
                      <w:highlight w:val="none"/>
                      <w:lang w:val="en-US" w:eastAsia="zh-CN"/>
                    </w:rPr>
                    <w:t>洁净装配</w:t>
                  </w:r>
                  <w:r>
                    <w:rPr>
                      <w:rFonts w:hint="eastAsia" w:cs="Times New Roman"/>
                      <w:color w:val="auto"/>
                      <w:spacing w:val="0"/>
                      <w:kern w:val="0"/>
                      <w:sz w:val="21"/>
                      <w:szCs w:val="21"/>
                      <w:highlight w:val="none"/>
                      <w:lang w:val="en-US" w:eastAsia="zh-CN"/>
                    </w:rPr>
                    <w:t>-</w:t>
                  </w:r>
                  <w:r>
                    <w:rPr>
                      <w:rFonts w:hint="default" w:ascii="Times New Roman" w:hAnsi="Times New Roman" w:eastAsia="宋体" w:cs="Times New Roman"/>
                      <w:color w:val="auto"/>
                      <w:spacing w:val="0"/>
                      <w:kern w:val="0"/>
                      <w:sz w:val="21"/>
                      <w:szCs w:val="21"/>
                      <w:highlight w:val="none"/>
                      <w:lang w:val="en-US" w:eastAsia="zh-CN"/>
                    </w:rPr>
                    <w:t>真空包装</w:t>
                  </w:r>
                  <w:r>
                    <w:rPr>
                      <w:rFonts w:hint="eastAsia" w:cs="Times New Roman"/>
                      <w:color w:val="auto"/>
                      <w:spacing w:val="0"/>
                      <w:kern w:val="0"/>
                      <w:sz w:val="21"/>
                      <w:szCs w:val="21"/>
                      <w:highlight w:val="none"/>
                      <w:lang w:val="en-US" w:eastAsia="zh-CN"/>
                    </w:rPr>
                    <w:t>-</w:t>
                  </w:r>
                  <w:r>
                    <w:rPr>
                      <w:rFonts w:hint="default" w:ascii="Times New Roman" w:hAnsi="Times New Roman" w:eastAsia="宋体" w:cs="Times New Roman"/>
                      <w:color w:val="auto"/>
                      <w:spacing w:val="0"/>
                      <w:kern w:val="0"/>
                      <w:sz w:val="21"/>
                      <w:szCs w:val="21"/>
                      <w:highlight w:val="none"/>
                      <w:lang w:val="en-US" w:eastAsia="zh-CN"/>
                    </w:rPr>
                    <w:t>入库。主要生产设备包括数控龙门加工中心、三坐标测量机、真空包装机及电退火炉等。本项目已经进入国内光刻机龙头企业供应链名单，并且为多家在研项目提供零部件支持，总体上看</w:t>
                  </w:r>
                </w:p>
              </w:tc>
              <w:tc>
                <w:tcPr>
                  <w:tcW w:w="634" w:type="pct"/>
                  <w:noWrap w:val="0"/>
                  <w:vAlign w:val="center"/>
                </w:tcPr>
                <w:p w14:paraId="4B66F0BF">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lang w:eastAsia="zh-CN"/>
                    </w:rPr>
                  </w:pPr>
                  <w:r>
                    <w:rPr>
                      <w:rFonts w:hint="eastAsia" w:cs="Times New Roman"/>
                      <w:color w:val="auto"/>
                      <w:spacing w:val="0"/>
                      <w:kern w:val="0"/>
                      <w:sz w:val="21"/>
                      <w:szCs w:val="21"/>
                      <w:lang w:eastAsia="zh-CN"/>
                    </w:rPr>
                    <w:t>一致，本次仅针对一期项目进行评价</w:t>
                  </w:r>
                </w:p>
              </w:tc>
            </w:tr>
            <w:tr w14:paraId="2211B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449" w:type="pct"/>
                  <w:noWrap w:val="0"/>
                  <w:vAlign w:val="center"/>
                </w:tcPr>
                <w:p w14:paraId="20672EFC">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lang w:val="en-US" w:eastAsia="zh-CN" w:bidi="ar-SA"/>
                    </w:rPr>
                  </w:pPr>
                  <w:r>
                    <w:rPr>
                      <w:rFonts w:hint="eastAsia" w:ascii="Times New Roman" w:hAnsi="Times New Roman" w:eastAsia="宋体" w:cs="Times New Roman"/>
                      <w:color w:val="auto"/>
                      <w:spacing w:val="0"/>
                      <w:kern w:val="0"/>
                      <w:sz w:val="21"/>
                      <w:szCs w:val="21"/>
                      <w:lang w:eastAsia="zh-CN"/>
                    </w:rPr>
                    <w:t>投资</w:t>
                  </w:r>
                </w:p>
              </w:tc>
              <w:tc>
                <w:tcPr>
                  <w:tcW w:w="1999" w:type="pct"/>
                  <w:noWrap w:val="0"/>
                  <w:vAlign w:val="center"/>
                </w:tcPr>
                <w:p w14:paraId="37D0C764">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0"/>
                      <w:sz w:val="21"/>
                      <w:szCs w:val="21"/>
                      <w:lang w:val="en-US" w:eastAsia="zh-CN" w:bidi="ar-SA"/>
                    </w:rPr>
                  </w:pPr>
                  <w:r>
                    <w:rPr>
                      <w:rFonts w:hint="eastAsia" w:cs="Times New Roman"/>
                      <w:color w:val="auto"/>
                      <w:spacing w:val="0"/>
                      <w:kern w:val="0"/>
                      <w:sz w:val="21"/>
                      <w:szCs w:val="21"/>
                      <w:lang w:val="en-US" w:eastAsia="zh-CN"/>
                    </w:rPr>
                    <w:t>15000</w:t>
                  </w:r>
                  <w:r>
                    <w:rPr>
                      <w:rFonts w:hint="eastAsia" w:ascii="Times New Roman" w:hAnsi="Times New Roman" w:eastAsia="宋体" w:cs="Times New Roman"/>
                      <w:color w:val="auto"/>
                      <w:spacing w:val="0"/>
                      <w:kern w:val="0"/>
                      <w:sz w:val="21"/>
                      <w:szCs w:val="21"/>
                      <w:lang w:val="en-US" w:eastAsia="zh-CN"/>
                    </w:rPr>
                    <w:t>万元</w:t>
                  </w:r>
                </w:p>
              </w:tc>
              <w:tc>
                <w:tcPr>
                  <w:tcW w:w="1915" w:type="pct"/>
                  <w:noWrap w:val="0"/>
                  <w:vAlign w:val="center"/>
                </w:tcPr>
                <w:p w14:paraId="1C141ED0">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lang w:val="en-US" w:eastAsia="zh-CN" w:bidi="ar-SA"/>
                    </w:rPr>
                  </w:pPr>
                  <w:r>
                    <w:rPr>
                      <w:rFonts w:hint="eastAsia" w:cs="Times New Roman"/>
                      <w:color w:val="auto"/>
                      <w:spacing w:val="0"/>
                      <w:kern w:val="0"/>
                      <w:sz w:val="21"/>
                      <w:szCs w:val="21"/>
                      <w:lang w:val="en-US" w:eastAsia="zh-CN"/>
                    </w:rPr>
                    <w:t>7000</w:t>
                  </w:r>
                  <w:r>
                    <w:rPr>
                      <w:rFonts w:hint="eastAsia" w:ascii="Times New Roman" w:hAnsi="Times New Roman" w:eastAsia="宋体" w:cs="Times New Roman"/>
                      <w:color w:val="auto"/>
                      <w:spacing w:val="0"/>
                      <w:kern w:val="0"/>
                      <w:sz w:val="21"/>
                      <w:szCs w:val="21"/>
                      <w:lang w:val="en-US" w:eastAsia="zh-CN"/>
                    </w:rPr>
                    <w:t>万元</w:t>
                  </w:r>
                </w:p>
              </w:tc>
              <w:tc>
                <w:tcPr>
                  <w:tcW w:w="634" w:type="pct"/>
                  <w:noWrap w:val="0"/>
                  <w:vAlign w:val="center"/>
                </w:tcPr>
                <w:p w14:paraId="4956951D">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pacing w:val="0"/>
                      <w:kern w:val="0"/>
                      <w:sz w:val="21"/>
                      <w:szCs w:val="21"/>
                      <w:lang w:val="en-US" w:eastAsia="zh-CN" w:bidi="ar-SA"/>
                    </w:rPr>
                  </w:pPr>
                  <w:r>
                    <w:rPr>
                      <w:rFonts w:hint="eastAsia" w:cs="Times New Roman"/>
                      <w:color w:val="auto"/>
                      <w:spacing w:val="0"/>
                      <w:kern w:val="0"/>
                      <w:sz w:val="21"/>
                      <w:szCs w:val="21"/>
                      <w:lang w:val="en-US" w:eastAsia="zh-CN" w:bidi="ar-SA"/>
                    </w:rPr>
                    <w:t>一致，为一期项目投资</w:t>
                  </w:r>
                </w:p>
              </w:tc>
            </w:tr>
          </w:tbl>
          <w:p w14:paraId="77ABACB4">
            <w:pPr>
              <w:autoSpaceDE w:val="0"/>
              <w:autoSpaceDN w:val="0"/>
              <w:adjustRightInd w:val="0"/>
              <w:snapToGrid w:val="0"/>
              <w:spacing w:line="460" w:lineRule="exact"/>
              <w:ind w:firstLine="480" w:firstLineChars="200"/>
              <w:jc w:val="left"/>
              <w:rPr>
                <w:rFonts w:hint="eastAsia" w:eastAsia="宋体"/>
                <w:color w:val="auto"/>
                <w:spacing w:val="0"/>
                <w:kern w:val="0"/>
                <w:sz w:val="24"/>
                <w:szCs w:val="24"/>
                <w:lang w:eastAsia="zh-CN"/>
              </w:rPr>
            </w:pPr>
            <w:r>
              <w:rPr>
                <w:rFonts w:ascii="宋体" w:hAnsi="宋体"/>
                <w:color w:val="auto"/>
                <w:spacing w:val="0"/>
                <w:kern w:val="0"/>
                <w:sz w:val="24"/>
              </w:rPr>
              <w:t>由上表可知，</w:t>
            </w:r>
            <w:r>
              <w:rPr>
                <w:rFonts w:hint="eastAsia" w:ascii="宋体" w:hAnsi="宋体"/>
                <w:color w:val="auto"/>
                <w:spacing w:val="0"/>
                <w:kern w:val="0"/>
                <w:sz w:val="24"/>
                <w:lang w:eastAsia="zh-CN"/>
              </w:rPr>
              <w:t>本次环评仅针对备案文件中的一期工程进行评价，建设内容、规模、产品方案、生产工艺与备案一期规划内容一致，二期工程不纳入本次评价范围内。</w:t>
            </w:r>
          </w:p>
          <w:p w14:paraId="7E6D8150">
            <w:pPr>
              <w:keepNext w:val="0"/>
              <w:keepLines w:val="0"/>
              <w:pageBreakBefore w:val="0"/>
              <w:widowControl w:val="0"/>
              <w:kinsoku/>
              <w:wordWrap/>
              <w:overflowPunct/>
              <w:topLinePunct w:val="0"/>
              <w:autoSpaceDE/>
              <w:autoSpaceDN/>
              <w:bidi w:val="0"/>
              <w:adjustRightInd w:val="0"/>
              <w:snapToGrid w:val="0"/>
              <w:spacing w:line="520" w:lineRule="exact"/>
              <w:ind w:left="0" w:firstLine="472" w:firstLineChars="196"/>
              <w:textAlignment w:val="baseline"/>
              <w:rPr>
                <w:rFonts w:hint="default" w:ascii="Times New Roman" w:hAnsi="Times New Roman" w:eastAsia="宋体" w:cs="Times New Roman"/>
                <w:b/>
                <w:color w:val="auto"/>
                <w:spacing w:val="0"/>
                <w:sz w:val="24"/>
              </w:rPr>
            </w:pPr>
            <w:r>
              <w:rPr>
                <w:rFonts w:hint="eastAsia" w:ascii="Times New Roman" w:hAnsi="Times New Roman" w:eastAsia="宋体" w:cs="Times New Roman"/>
                <w:b/>
                <w:color w:val="auto"/>
                <w:spacing w:val="0"/>
                <w:sz w:val="24"/>
                <w:lang w:val="en-US" w:eastAsia="zh-CN"/>
              </w:rPr>
              <w:t>3</w:t>
            </w:r>
            <w:r>
              <w:rPr>
                <w:rFonts w:hint="default" w:ascii="Times New Roman" w:hAnsi="Times New Roman" w:eastAsia="宋体" w:cs="Times New Roman"/>
                <w:b/>
                <w:color w:val="auto"/>
                <w:spacing w:val="0"/>
                <w:sz w:val="24"/>
              </w:rPr>
              <w:t>、选址可行性分析</w:t>
            </w:r>
          </w:p>
          <w:p w14:paraId="7773A6F5">
            <w:pPr>
              <w:pStyle w:val="7"/>
              <w:keepNext w:val="0"/>
              <w:keepLines w:val="0"/>
              <w:pageBreakBefore w:val="0"/>
              <w:widowControl w:val="0"/>
              <w:kinsoku/>
              <w:wordWrap/>
              <w:overflowPunct/>
              <w:topLinePunct w:val="0"/>
              <w:bidi w:val="0"/>
              <w:spacing w:line="520" w:lineRule="exact"/>
              <w:textAlignment w:val="auto"/>
              <w:rPr>
                <w:rFonts w:hint="default" w:ascii="Times New Roman" w:hAnsi="宋体" w:eastAsia="宋体"/>
                <w:b w:val="0"/>
                <w:bCs/>
                <w:color w:val="auto"/>
                <w:spacing w:val="0"/>
                <w:sz w:val="24"/>
                <w:u w:val="none"/>
                <w:lang w:val="en-US"/>
              </w:rPr>
            </w:pPr>
            <w:r>
              <w:rPr>
                <w:rFonts w:hint="default" w:ascii="Times New Roman" w:hAnsi="Times New Roman" w:eastAsia="宋体" w:cs="Times New Roman"/>
                <w:color w:val="auto"/>
                <w:sz w:val="24"/>
                <w:szCs w:val="24"/>
              </w:rPr>
              <w:t>本项目位于</w:t>
            </w:r>
            <w:r>
              <w:rPr>
                <w:rFonts w:hint="eastAsia" w:cs="Times New Roman"/>
                <w:color w:val="auto"/>
                <w:sz w:val="24"/>
                <w:szCs w:val="24"/>
                <w:lang w:eastAsia="zh-CN"/>
              </w:rPr>
              <w:t>新乡市新乡县翟坡镇东大阳堤村村西中央大道东侧</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项目东侧</w:t>
            </w:r>
            <w:r>
              <w:rPr>
                <w:rFonts w:hint="default" w:ascii="Times New Roman" w:hAnsi="Times New Roman" w:eastAsia="宋体" w:cs="Times New Roman"/>
                <w:color w:val="auto"/>
                <w:sz w:val="24"/>
                <w:szCs w:val="24"/>
                <w:highlight w:val="none"/>
                <w:lang w:val="en-US" w:eastAsia="zh-CN"/>
              </w:rPr>
              <w:t>为</w:t>
            </w:r>
            <w:r>
              <w:rPr>
                <w:rFonts w:hint="eastAsia" w:cs="Times New Roman"/>
                <w:color w:val="auto"/>
                <w:sz w:val="24"/>
                <w:szCs w:val="24"/>
                <w:highlight w:val="none"/>
                <w:lang w:val="en-US" w:eastAsia="zh-CN"/>
              </w:rPr>
              <w:t>空地</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南</w:t>
            </w:r>
            <w:r>
              <w:rPr>
                <w:rFonts w:hint="default" w:ascii="Times New Roman" w:hAnsi="Times New Roman" w:eastAsia="宋体" w:cs="Times New Roman"/>
                <w:color w:val="auto"/>
                <w:sz w:val="24"/>
                <w:szCs w:val="24"/>
                <w:highlight w:val="none"/>
                <w:lang w:val="en-US" w:eastAsia="zh-CN"/>
              </w:rPr>
              <w:t>侧为</w:t>
            </w:r>
            <w:r>
              <w:rPr>
                <w:rFonts w:hint="eastAsia" w:cs="Times New Roman"/>
                <w:color w:val="auto"/>
                <w:sz w:val="24"/>
                <w:szCs w:val="24"/>
                <w:highlight w:val="none"/>
                <w:lang w:val="en-US" w:eastAsia="zh-CN"/>
              </w:rPr>
              <w:t>河南百川汽车部件有限公司</w:t>
            </w:r>
            <w:r>
              <w:rPr>
                <w:rFonts w:hint="default" w:ascii="Times New Roman" w:hAnsi="Times New Roman" w:eastAsia="宋体" w:cs="Times New Roman"/>
                <w:color w:val="auto"/>
                <w:sz w:val="24"/>
                <w:szCs w:val="24"/>
                <w:highlight w:val="none"/>
                <w:lang w:val="en-US" w:eastAsia="zh-CN"/>
              </w:rPr>
              <w:t>，西侧</w:t>
            </w:r>
            <w:r>
              <w:rPr>
                <w:rFonts w:hint="eastAsia" w:ascii="Times New Roman" w:hAnsi="Times New Roman" w:eastAsia="宋体" w:cs="Times New Roman"/>
                <w:color w:val="auto"/>
                <w:sz w:val="24"/>
                <w:szCs w:val="24"/>
                <w:highlight w:val="none"/>
                <w:lang w:val="en-US" w:eastAsia="zh-CN"/>
              </w:rPr>
              <w:t>为</w:t>
            </w:r>
            <w:r>
              <w:rPr>
                <w:rFonts w:hint="eastAsia" w:cs="Times New Roman"/>
                <w:color w:val="auto"/>
                <w:sz w:val="24"/>
                <w:szCs w:val="24"/>
                <w:highlight w:val="none"/>
                <w:lang w:val="en-US" w:eastAsia="zh-CN"/>
              </w:rPr>
              <w:t>中央大道</w:t>
            </w:r>
            <w:r>
              <w:rPr>
                <w:rFonts w:hint="eastAsia" w:ascii="Times New Roman" w:hAnsi="Times New Roman" w:eastAsia="宋体" w:cs="Times New Roman"/>
                <w:color w:val="auto"/>
                <w:sz w:val="24"/>
                <w:szCs w:val="24"/>
                <w:highlight w:val="none"/>
                <w:lang w:val="en-US" w:eastAsia="zh-CN"/>
              </w:rPr>
              <w:t>，北侧为</w:t>
            </w:r>
            <w:r>
              <w:rPr>
                <w:rFonts w:hint="eastAsia" w:cs="Times New Roman"/>
                <w:color w:val="auto"/>
                <w:sz w:val="24"/>
                <w:szCs w:val="24"/>
                <w:highlight w:val="none"/>
                <w:lang w:val="en-US" w:eastAsia="zh-CN"/>
              </w:rPr>
              <w:t>道路</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lang w:val="en-US" w:eastAsia="zh-CN"/>
              </w:rPr>
              <w:t>距</w:t>
            </w:r>
            <w:r>
              <w:rPr>
                <w:rFonts w:hint="default" w:ascii="Times New Roman" w:hAnsi="Times New Roman" w:eastAsia="宋体" w:cs="Times New Roman"/>
                <w:color w:val="auto"/>
                <w:sz w:val="24"/>
                <w:szCs w:val="24"/>
                <w:shd w:val="clear" w:color="auto" w:fill="auto"/>
                <w:lang w:val="en-US" w:eastAsia="zh-CN"/>
              </w:rPr>
              <w:t>离项目较近的地表水体为项目</w:t>
            </w:r>
            <w:r>
              <w:rPr>
                <w:rFonts w:hint="eastAsia" w:cs="Times New Roman"/>
                <w:color w:val="auto"/>
                <w:sz w:val="24"/>
                <w:szCs w:val="24"/>
                <w:shd w:val="clear" w:color="auto" w:fill="auto"/>
                <w:lang w:val="en-US" w:eastAsia="zh-CN"/>
              </w:rPr>
              <w:t>西北</w:t>
            </w:r>
            <w:r>
              <w:rPr>
                <w:rFonts w:hint="default" w:ascii="Times New Roman" w:hAnsi="Times New Roman" w:eastAsia="宋体" w:cs="Times New Roman"/>
                <w:color w:val="auto"/>
                <w:sz w:val="24"/>
                <w:szCs w:val="24"/>
                <w:shd w:val="clear" w:color="auto" w:fill="auto"/>
                <w:lang w:val="en-US" w:eastAsia="zh-CN"/>
              </w:rPr>
              <w:t>侧约</w:t>
            </w:r>
            <w:r>
              <w:rPr>
                <w:rFonts w:hint="eastAsia" w:cs="Times New Roman"/>
                <w:color w:val="auto"/>
                <w:sz w:val="24"/>
                <w:szCs w:val="24"/>
                <w:shd w:val="clear" w:color="auto" w:fill="auto"/>
                <w:lang w:val="en-US" w:eastAsia="zh-CN"/>
              </w:rPr>
              <w:t>1.7k</w:t>
            </w:r>
            <w:r>
              <w:rPr>
                <w:rFonts w:hint="eastAsia" w:ascii="Times New Roman" w:hAnsi="Times New Roman" w:eastAsia="宋体" w:cs="Times New Roman"/>
                <w:color w:val="auto"/>
                <w:sz w:val="24"/>
                <w:szCs w:val="24"/>
                <w:shd w:val="clear" w:color="auto" w:fill="auto"/>
                <w:lang w:val="en-US" w:eastAsia="zh-CN"/>
              </w:rPr>
              <w:t>m</w:t>
            </w:r>
            <w:r>
              <w:rPr>
                <w:rFonts w:hint="default" w:ascii="Times New Roman" w:hAnsi="Times New Roman" w:eastAsia="宋体" w:cs="Times New Roman"/>
                <w:color w:val="auto"/>
                <w:sz w:val="24"/>
                <w:szCs w:val="24"/>
                <w:shd w:val="clear" w:color="auto" w:fill="auto"/>
                <w:lang w:val="en-US" w:eastAsia="zh-CN"/>
              </w:rPr>
              <w:t>的</w:t>
            </w:r>
            <w:r>
              <w:rPr>
                <w:rFonts w:hint="eastAsia" w:cs="Times New Roman"/>
                <w:color w:val="auto"/>
                <w:sz w:val="24"/>
                <w:szCs w:val="24"/>
                <w:shd w:val="clear" w:color="auto" w:fill="auto"/>
                <w:lang w:val="en-US" w:eastAsia="zh-CN"/>
              </w:rPr>
              <w:t>西孟姜女河</w:t>
            </w:r>
            <w:r>
              <w:rPr>
                <w:rFonts w:hint="default" w:ascii="Times New Roman" w:hAnsi="Times New Roman" w:eastAsia="宋体" w:cs="Times New Roman"/>
                <w:color w:val="auto"/>
                <w:sz w:val="24"/>
                <w:szCs w:val="24"/>
                <w:shd w:val="clear" w:color="auto" w:fill="auto"/>
                <w:lang w:val="en-US" w:eastAsia="zh-CN"/>
              </w:rPr>
              <w:t>，</w:t>
            </w:r>
            <w:r>
              <w:rPr>
                <w:rFonts w:hint="eastAsia" w:ascii="Times New Roman" w:hAnsi="Times New Roman" w:eastAsia="宋体" w:cs="Times New Roman"/>
                <w:b w:val="0"/>
                <w:bCs w:val="0"/>
                <w:color w:val="auto"/>
                <w:sz w:val="24"/>
                <w:szCs w:val="24"/>
                <w:highlight w:val="none"/>
                <w:lang w:val="en-US" w:eastAsia="zh-CN"/>
              </w:rPr>
              <w:t>本项目周围敏感点为：</w:t>
            </w:r>
            <w:r>
              <w:rPr>
                <w:rFonts w:hint="eastAsia" w:cs="Times New Roman"/>
                <w:b w:val="0"/>
                <w:bCs w:val="0"/>
                <w:color w:val="auto"/>
                <w:sz w:val="24"/>
                <w:szCs w:val="24"/>
                <w:highlight w:val="none"/>
                <w:lang w:val="en-US" w:eastAsia="zh-CN"/>
              </w:rPr>
              <w:t>东侧114m处的朝阳社区、东南侧498处的兴宁村、西侧378m处的中大阳堤村</w:t>
            </w:r>
            <w:r>
              <w:rPr>
                <w:rFonts w:hint="eastAsia" w:eastAsia="宋体" w:cs="Times New Roman"/>
                <w:color w:val="auto"/>
                <w:sz w:val="24"/>
                <w:szCs w:val="24"/>
                <w:highlight w:val="none"/>
                <w:shd w:val="clear" w:color="auto" w:fill="auto"/>
                <w:lang w:val="en-US" w:eastAsia="zh-CN"/>
              </w:rPr>
              <w:t>（项目周边环境见附图</w:t>
            </w:r>
            <w:r>
              <w:rPr>
                <w:rFonts w:hint="eastAsia" w:cs="Times New Roman"/>
                <w:color w:val="auto"/>
                <w:sz w:val="24"/>
                <w:szCs w:val="24"/>
                <w:highlight w:val="none"/>
                <w:shd w:val="clear" w:color="auto" w:fill="auto"/>
                <w:lang w:val="en-US" w:eastAsia="zh-CN"/>
              </w:rPr>
              <w:t>6</w:t>
            </w:r>
            <w:r>
              <w:rPr>
                <w:rFonts w:hint="eastAsia" w:eastAsia="宋体" w:cs="Times New Roman"/>
                <w:color w:val="auto"/>
                <w:sz w:val="24"/>
                <w:szCs w:val="24"/>
                <w:highlight w:val="none"/>
                <w:shd w:val="clear" w:color="auto" w:fill="auto"/>
                <w:lang w:val="en-US" w:eastAsia="zh-CN"/>
              </w:rPr>
              <w:t>）</w:t>
            </w:r>
            <w:r>
              <w:rPr>
                <w:rFonts w:hint="eastAsia" w:ascii="Times New Roman" w:hAnsi="Times New Roman" w:eastAsia="宋体" w:cs="Times New Roman"/>
                <w:b w:val="0"/>
                <w:bCs/>
                <w:i w:val="0"/>
                <w:iCs w:val="0"/>
                <w:color w:val="auto"/>
                <w:spacing w:val="0"/>
                <w:sz w:val="24"/>
                <w:szCs w:val="24"/>
                <w:highlight w:val="none"/>
                <w:u w:val="none"/>
                <w:lang w:val="en-US" w:eastAsia="zh-CN"/>
              </w:rPr>
              <w:t>，</w:t>
            </w:r>
            <w:r>
              <w:rPr>
                <w:rFonts w:hint="eastAsia" w:cs="Times New Roman"/>
                <w:color w:val="000000" w:themeColor="text1"/>
                <w:kern w:val="0"/>
                <w:sz w:val="24"/>
                <w:szCs w:val="21"/>
                <w:lang w:val="en-US" w:eastAsia="zh-CN"/>
                <w14:textFill>
                  <w14:solidFill>
                    <w14:schemeClr w14:val="tx1"/>
                  </w14:solidFill>
                </w14:textFill>
              </w:rPr>
              <w:t>根据《</w:t>
            </w:r>
            <w:r>
              <w:rPr>
                <w:rFonts w:hint="eastAsia" w:ascii="Times New Roman" w:hAnsi="Times New Roman" w:eastAsia="宋体" w:cs="Times New Roman"/>
                <w:color w:val="000000" w:themeColor="text1"/>
                <w:kern w:val="0"/>
                <w:sz w:val="24"/>
                <w:szCs w:val="21"/>
                <w:lang w:val="en-US" w:eastAsia="zh-CN"/>
                <w14:textFill>
                  <w14:solidFill>
                    <w14:schemeClr w14:val="tx1"/>
                  </w14:solidFill>
                </w14:textFill>
              </w:rPr>
              <w:t>新乡</w:t>
            </w:r>
            <w:r>
              <w:rPr>
                <w:rFonts w:hint="eastAsia" w:cs="Times New Roman"/>
                <w:color w:val="000000" w:themeColor="text1"/>
                <w:kern w:val="0"/>
                <w:sz w:val="24"/>
                <w:szCs w:val="21"/>
                <w:lang w:val="en-US" w:eastAsia="zh-CN"/>
                <w14:textFill>
                  <w14:solidFill>
                    <w14:schemeClr w14:val="tx1"/>
                  </w14:solidFill>
                </w14:textFill>
              </w:rPr>
              <w:t>县国土空间总体规划（2021-2035年）</w:t>
            </w:r>
            <w:r>
              <w:rPr>
                <w:rFonts w:hint="eastAsia"/>
                <w:sz w:val="24"/>
                <w:lang w:val="en-US" w:eastAsia="zh-CN"/>
              </w:rPr>
              <w:t>-中心城区土地使用规划图</w:t>
            </w:r>
            <w:r>
              <w:rPr>
                <w:rFonts w:hint="eastAsia" w:cs="Times New Roman"/>
                <w:color w:val="000000" w:themeColor="text1"/>
                <w:kern w:val="0"/>
                <w:sz w:val="24"/>
                <w:szCs w:val="21"/>
                <w:lang w:val="en-US" w:eastAsia="zh-CN"/>
                <w14:textFill>
                  <w14:solidFill>
                    <w14:schemeClr w14:val="tx1"/>
                  </w14:solidFill>
                </w14:textFill>
              </w:rPr>
              <w:t>》及《新乡县智能制造产业园区总体发展规划(2021-2035)-土地利用规划图》，</w:t>
            </w:r>
            <w:r>
              <w:rPr>
                <w:rFonts w:hint="eastAsia" w:ascii="Times New Roman" w:hAnsi="Times New Roman" w:eastAsia="宋体" w:cs="Times New Roman"/>
                <w:bCs/>
                <w:color w:val="auto"/>
                <w:spacing w:val="0"/>
                <w:kern w:val="0"/>
                <w:sz w:val="24"/>
                <w:szCs w:val="24"/>
                <w:u w:val="none"/>
                <w:lang w:val="en-US" w:eastAsia="zh-CN"/>
              </w:rPr>
              <w:t>本项目</w:t>
            </w:r>
            <w:r>
              <w:rPr>
                <w:rFonts w:hint="eastAsia" w:ascii="Times New Roman" w:hAnsi="宋体" w:eastAsia="宋体"/>
                <w:b w:val="0"/>
                <w:bCs/>
                <w:color w:val="auto"/>
                <w:spacing w:val="0"/>
                <w:sz w:val="24"/>
                <w:u w:val="none"/>
                <w:lang w:eastAsia="zh-CN"/>
              </w:rPr>
              <w:t>用地性质为工业用地，</w:t>
            </w:r>
            <w:r>
              <w:rPr>
                <w:rFonts w:hint="eastAsia" w:ascii="Times New Roman" w:hAnsi="Times New Roman" w:cs="Times New Roman"/>
                <w:color w:val="auto"/>
                <w:spacing w:val="0"/>
                <w:sz w:val="24"/>
                <w:szCs w:val="24"/>
                <w:highlight w:val="none"/>
                <w:u w:val="none"/>
                <w:lang w:eastAsia="zh-CN"/>
              </w:rPr>
              <w:t>符合相关规划。</w:t>
            </w:r>
          </w:p>
          <w:p w14:paraId="7E7B8621">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Times New Roman" w:hAnsi="Times New Roman" w:eastAsia="宋体" w:cs="Times New Roman"/>
                <w:b w:val="0"/>
                <w:bCs/>
                <w:color w:val="auto"/>
                <w:spacing w:val="0"/>
                <w:sz w:val="24"/>
                <w:u w:val="none"/>
                <w:lang w:eastAsia="zh-CN"/>
              </w:rPr>
            </w:pPr>
            <w:r>
              <w:rPr>
                <w:rFonts w:hint="eastAsia" w:ascii="Times New Roman" w:hAnsi="Times New Roman" w:eastAsia="宋体" w:cs="Times New Roman"/>
                <w:b w:val="0"/>
                <w:bCs/>
                <w:color w:val="auto"/>
                <w:spacing w:val="0"/>
                <w:sz w:val="24"/>
                <w:u w:val="none"/>
                <w:lang w:eastAsia="zh-CN"/>
              </w:rPr>
              <w:t>综上，本项目选址可行。</w:t>
            </w:r>
          </w:p>
          <w:p w14:paraId="63ADFB6A">
            <w:pPr>
              <w:keepNext w:val="0"/>
              <w:keepLines w:val="0"/>
              <w:pageBreakBefore w:val="0"/>
              <w:widowControl w:val="0"/>
              <w:kinsoku/>
              <w:wordWrap/>
              <w:overflowPunct/>
              <w:topLinePunct w:val="0"/>
              <w:autoSpaceDE w:val="0"/>
              <w:autoSpaceDN w:val="0"/>
              <w:bidi w:val="0"/>
              <w:adjustRightInd w:val="0"/>
              <w:snapToGrid w:val="0"/>
              <w:spacing w:line="520" w:lineRule="exact"/>
              <w:ind w:firstLine="482" w:firstLineChars="200"/>
              <w:jc w:val="both"/>
              <w:textAlignment w:val="auto"/>
              <w:rPr>
                <w:rFonts w:hint="default" w:ascii="Times New Roman" w:hAnsi="Times New Roman" w:eastAsia="宋体" w:cs="Times New Roman"/>
                <w:b/>
                <w:bCs/>
                <w:color w:val="auto"/>
                <w:spacing w:val="0"/>
                <w:sz w:val="24"/>
                <w:szCs w:val="24"/>
                <w:lang w:val="en-US" w:eastAsia="zh-CN"/>
              </w:rPr>
            </w:pPr>
            <w:r>
              <w:rPr>
                <w:rFonts w:hint="eastAsia" w:ascii="Times New Roman" w:hAnsi="Times New Roman" w:eastAsia="宋体" w:cs="Times New Roman"/>
                <w:b/>
                <w:bCs/>
                <w:color w:val="auto"/>
                <w:spacing w:val="0"/>
                <w:sz w:val="24"/>
                <w:szCs w:val="24"/>
                <w:lang w:val="en-US" w:eastAsia="zh-CN"/>
              </w:rPr>
              <w:t>4</w:t>
            </w:r>
            <w:r>
              <w:rPr>
                <w:rFonts w:hint="default" w:ascii="Times New Roman" w:hAnsi="Times New Roman" w:eastAsia="宋体" w:cs="Times New Roman"/>
                <w:b/>
                <w:bCs/>
                <w:color w:val="auto"/>
                <w:spacing w:val="0"/>
                <w:sz w:val="24"/>
                <w:szCs w:val="24"/>
                <w:lang w:val="en-US" w:eastAsia="zh-CN"/>
              </w:rPr>
              <w:t>、“三线一单”相符性分析</w:t>
            </w:r>
          </w:p>
          <w:p w14:paraId="58B3A90A">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both"/>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（1）生态</w:t>
            </w:r>
            <w:r>
              <w:rPr>
                <w:rFonts w:hint="eastAsia" w:ascii="Times New Roman" w:hAnsi="Times New Roman" w:eastAsia="宋体" w:cs="Times New Roman"/>
                <w:color w:val="auto"/>
                <w:spacing w:val="0"/>
                <w:sz w:val="24"/>
                <w:szCs w:val="24"/>
                <w:lang w:val="en-US" w:eastAsia="zh-CN"/>
              </w:rPr>
              <w:t>保护</w:t>
            </w:r>
            <w:r>
              <w:rPr>
                <w:rFonts w:hint="default" w:ascii="Times New Roman" w:hAnsi="Times New Roman" w:eastAsia="宋体" w:cs="Times New Roman"/>
                <w:color w:val="auto"/>
                <w:spacing w:val="0"/>
                <w:sz w:val="24"/>
                <w:szCs w:val="24"/>
                <w:lang w:val="en-US" w:eastAsia="zh-CN"/>
              </w:rPr>
              <w:t>红线相符性</w:t>
            </w:r>
          </w:p>
          <w:p w14:paraId="252E0328">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both"/>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根据《河南省生态保护红线划定方案》，新乡市涉及土壤保持、生物多样性和水源涵养三大类生态红线，分别是太行山丘陵土壤保持生态保护红线、太行山山地生物多样性维护生态保护红线、太行山卫河水源涵养生态保护红线、南水北调中线水源涵养生态保护红线和黄河湿地生物多样性维护生态保护红线。</w:t>
            </w:r>
          </w:p>
          <w:p w14:paraId="63E5C717">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both"/>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本项目位于</w:t>
            </w:r>
            <w:r>
              <w:rPr>
                <w:rFonts w:hint="eastAsia" w:cs="Times New Roman"/>
                <w:color w:val="auto"/>
                <w:sz w:val="24"/>
                <w:szCs w:val="24"/>
                <w:lang w:eastAsia="zh-CN"/>
              </w:rPr>
              <w:t>新乡市新乡县翟坡镇东大阳堤村村西中央大道东侧</w:t>
            </w:r>
            <w:r>
              <w:rPr>
                <w:rFonts w:hint="default" w:ascii="Times New Roman" w:hAnsi="Times New Roman" w:eastAsia="宋体" w:cs="Times New Roman"/>
                <w:color w:val="auto"/>
                <w:spacing w:val="0"/>
                <w:sz w:val="24"/>
                <w:szCs w:val="24"/>
                <w:lang w:val="en-US" w:eastAsia="zh-CN"/>
              </w:rPr>
              <w:t>，不在上述生态</w:t>
            </w:r>
            <w:r>
              <w:rPr>
                <w:rFonts w:hint="eastAsia" w:ascii="Times New Roman" w:hAnsi="Times New Roman" w:eastAsia="宋体" w:cs="Times New Roman"/>
                <w:color w:val="auto"/>
                <w:spacing w:val="0"/>
                <w:sz w:val="24"/>
                <w:szCs w:val="24"/>
                <w:lang w:val="en-US" w:eastAsia="zh-CN"/>
              </w:rPr>
              <w:t>保护</w:t>
            </w:r>
            <w:r>
              <w:rPr>
                <w:rFonts w:hint="default" w:ascii="Times New Roman" w:hAnsi="Times New Roman" w:eastAsia="宋体" w:cs="Times New Roman"/>
                <w:color w:val="auto"/>
                <w:spacing w:val="0"/>
                <w:sz w:val="24"/>
                <w:szCs w:val="24"/>
                <w:lang w:val="en-US" w:eastAsia="zh-CN"/>
              </w:rPr>
              <w:t>红线范围内</w:t>
            </w:r>
            <w:r>
              <w:rPr>
                <w:rFonts w:hint="eastAsia" w:ascii="Times New Roman" w:hAnsi="Times New Roman" w:eastAsia="宋体" w:cs="Times New Roman"/>
                <w:color w:val="auto"/>
                <w:spacing w:val="0"/>
                <w:sz w:val="24"/>
                <w:szCs w:val="24"/>
                <w:lang w:val="en-US" w:eastAsia="zh-CN"/>
              </w:rPr>
              <w:t>（</w:t>
            </w:r>
            <w:r>
              <w:rPr>
                <w:rFonts w:hint="eastAsia" w:ascii="Times New Roman" w:hAnsi="Times New Roman" w:eastAsia="宋体" w:cs="Times New Roman"/>
                <w:color w:val="auto"/>
                <w:spacing w:val="0"/>
                <w:sz w:val="24"/>
                <w:szCs w:val="24"/>
                <w:highlight w:val="none"/>
                <w:lang w:val="en-US" w:eastAsia="zh-CN"/>
              </w:rPr>
              <w:t>新乡市生态保护红线图见附图</w:t>
            </w:r>
            <w:r>
              <w:rPr>
                <w:rFonts w:hint="eastAsia" w:cs="Times New Roman"/>
                <w:color w:val="auto"/>
                <w:spacing w:val="0"/>
                <w:sz w:val="24"/>
                <w:szCs w:val="24"/>
                <w:highlight w:val="none"/>
                <w:lang w:val="en-US" w:eastAsia="zh-CN"/>
              </w:rPr>
              <w:t>4</w:t>
            </w:r>
            <w:r>
              <w:rPr>
                <w:rFonts w:hint="eastAsia" w:ascii="Times New Roman" w:hAnsi="Times New Roman" w:eastAsia="宋体"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w:t>
            </w:r>
          </w:p>
          <w:p w14:paraId="0C26A25C">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both"/>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（2）环境质量底</w:t>
            </w:r>
            <w:r>
              <w:rPr>
                <w:rFonts w:hint="eastAsia" w:ascii="Times New Roman" w:hAnsi="Times New Roman" w:eastAsia="宋体" w:cs="Times New Roman"/>
                <w:color w:val="auto"/>
                <w:spacing w:val="0"/>
                <w:sz w:val="24"/>
                <w:szCs w:val="24"/>
                <w:lang w:val="en-US" w:eastAsia="zh-CN"/>
              </w:rPr>
              <w:t>线</w:t>
            </w:r>
            <w:r>
              <w:rPr>
                <w:rFonts w:hint="default" w:ascii="Times New Roman" w:hAnsi="Times New Roman" w:eastAsia="宋体" w:cs="Times New Roman"/>
                <w:color w:val="auto"/>
                <w:spacing w:val="0"/>
                <w:sz w:val="24"/>
                <w:szCs w:val="24"/>
                <w:lang w:val="en-US" w:eastAsia="zh-CN"/>
              </w:rPr>
              <w:t>相符性</w:t>
            </w:r>
          </w:p>
          <w:p w14:paraId="791585E7">
            <w:pPr>
              <w:pStyle w:val="7"/>
              <w:keepNext w:val="0"/>
              <w:keepLines w:val="0"/>
              <w:pageBreakBefore w:val="0"/>
              <w:widowControl w:val="0"/>
              <w:kinsoku/>
              <w:wordWrap/>
              <w:overflowPunct/>
              <w:topLinePunct w:val="0"/>
              <w:bidi w:val="0"/>
              <w:spacing w:line="520" w:lineRule="exact"/>
              <w:textAlignment w:val="auto"/>
              <w:rPr>
                <w:rFonts w:hint="default" w:ascii="Times New Roman" w:hAnsi="Times New Roman" w:eastAsia="宋体" w:cs="Times New Roman"/>
                <w:color w:val="000000" w:themeColor="text1"/>
                <w:sz w:val="24"/>
                <w:szCs w:val="24"/>
                <w:highlight w:val="yellow"/>
                <w:lang w:val="en-US"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本项目所在地大气环境为环境空气质量功能二类区，</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根据新乡市生态环境局发布的《</w:t>
            </w:r>
            <w:r>
              <w:rPr>
                <w:rFonts w:hint="eastAsia" w:ascii="Times New Roman" w:hAnsi="Times New Roman" w:eastAsia="宋体"/>
                <w:color w:val="000000" w:themeColor="text1"/>
                <w:sz w:val="24"/>
                <w:highlight w:val="none"/>
                <w14:textFill>
                  <w14:solidFill>
                    <w14:schemeClr w14:val="tx1"/>
                  </w14:solidFill>
                </w14:textFill>
              </w:rPr>
              <w:t>202</w:t>
            </w:r>
            <w:r>
              <w:rPr>
                <w:rFonts w:hint="eastAsia" w:ascii="Times New Roman" w:hAnsi="Times New Roman" w:eastAsia="宋体"/>
                <w:color w:val="000000" w:themeColor="text1"/>
                <w:sz w:val="24"/>
                <w:highlight w:val="none"/>
                <w:lang w:val="en-US" w:eastAsia="zh-CN"/>
                <w14:textFill>
                  <w14:solidFill>
                    <w14:schemeClr w14:val="tx1"/>
                  </w14:solidFill>
                </w14:textFill>
              </w:rPr>
              <w:t>4</w:t>
            </w:r>
            <w:r>
              <w:rPr>
                <w:rFonts w:hint="eastAsia" w:ascii="Times New Roman" w:hAnsi="Times New Roman" w:eastAsia="宋体"/>
                <w:color w:val="000000" w:themeColor="text1"/>
                <w:sz w:val="24"/>
                <w:highlight w:val="none"/>
                <w14:textFill>
                  <w14:solidFill>
                    <w14:schemeClr w14:val="tx1"/>
                  </w14:solidFill>
                </w14:textFill>
              </w:rPr>
              <w:t>年新乡市环境质量公报</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，评价区域内大气环境中PM</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10</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、PM</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2.5</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和O</w:t>
            </w:r>
            <w:r>
              <w:rPr>
                <w:rFonts w:hint="default" w:ascii="Times New Roman" w:hAnsi="Times New Roman" w:eastAsia="宋体" w:cs="Times New Roman"/>
                <w:color w:val="000000" w:themeColor="text1"/>
                <w:sz w:val="24"/>
                <w:szCs w:val="24"/>
                <w:highlight w:val="none"/>
                <w:vertAlign w:val="subscript"/>
                <w:lang w:val="en-US" w:eastAsia="zh-CN"/>
                <w14:textFill>
                  <w14:solidFill>
                    <w14:schemeClr w14:val="tx1"/>
                  </w14:solidFill>
                </w14:textFill>
              </w:rPr>
              <w:t>3</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均不能够满足</w:t>
            </w:r>
            <w:r>
              <w:rPr>
                <w:rFonts w:hint="eastAsia"/>
                <w:color w:val="000000"/>
                <w:spacing w:val="0"/>
                <w:kern w:val="0"/>
                <w:sz w:val="24"/>
              </w:rPr>
              <w:t>《环境空气质量标准》</w:t>
            </w:r>
            <w:r>
              <w:rPr>
                <w:rFonts w:hint="eastAsia"/>
                <w:color w:val="000000"/>
                <w:spacing w:val="0"/>
                <w:kern w:val="0"/>
                <w:sz w:val="24"/>
                <w:highlight w:val="none"/>
              </w:rPr>
              <w:t>（GB3095-20</w:t>
            </w:r>
            <w:r>
              <w:rPr>
                <w:rFonts w:hint="eastAsia"/>
                <w:color w:val="000000"/>
                <w:spacing w:val="0"/>
                <w:kern w:val="0"/>
                <w:sz w:val="24"/>
                <w:highlight w:val="none"/>
                <w:lang w:val="en-US" w:eastAsia="zh-CN"/>
              </w:rPr>
              <w:t>26</w:t>
            </w:r>
            <w:r>
              <w:rPr>
                <w:rFonts w:hint="eastAsia"/>
                <w:color w:val="000000"/>
                <w:spacing w:val="0"/>
                <w:kern w:val="0"/>
                <w:sz w:val="24"/>
                <w:highlight w:val="none"/>
              </w:rPr>
              <w:t>）</w:t>
            </w:r>
            <w:r>
              <w:rPr>
                <w:rFonts w:hint="eastAsia"/>
                <w:sz w:val="24"/>
              </w:rPr>
              <w:t>中过渡阶段浓度限值的二级标准要求</w:t>
            </w:r>
            <w:r>
              <w:rPr>
                <w:rFonts w:hint="default" w:ascii="Times New Roman" w:hAnsi="Times New Roman" w:eastAsia="宋体" w:cs="Times New Roman"/>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spacing w:val="0"/>
                <w:kern w:val="0"/>
                <w:sz w:val="24"/>
                <w:szCs w:val="24"/>
                <w:lang w:val="en-US" w:eastAsia="zh-CN"/>
              </w:rPr>
              <w:t>新乡市正在实施新乡市生态环境保护委员会办公室关于印发《新乡市2026年蓝天保卫战实施方案》的通知（新环委办[2026]18号）</w:t>
            </w:r>
            <w:r>
              <w:rPr>
                <w:rFonts w:hint="default" w:ascii="Times New Roman" w:hAnsi="Times New Roman" w:cs="Times New Roman"/>
                <w:color w:val="000000"/>
                <w:spacing w:val="0"/>
                <w:kern w:val="0"/>
                <w:sz w:val="24"/>
                <w:szCs w:val="24"/>
                <w:lang w:val="en-US" w:eastAsia="zh-CN"/>
              </w:rPr>
              <w:t>、《新乡市2026年柴油货车污染治理攻坚战实施方案》的通知（新环委办[2026]21号）</w:t>
            </w:r>
            <w:r>
              <w:rPr>
                <w:rFonts w:hint="default" w:ascii="Times New Roman" w:hAnsi="Times New Roman" w:eastAsia="宋体" w:cs="Times New Roman"/>
                <w:color w:val="000000"/>
                <w:spacing w:val="0"/>
                <w:kern w:val="0"/>
                <w:sz w:val="24"/>
                <w:szCs w:val="24"/>
                <w:lang w:val="en-US" w:eastAsia="zh-CN"/>
              </w:rPr>
              <w:t>等一系列措施，确保全面实现空气质量约束性目标。</w:t>
            </w:r>
            <w:r>
              <w:rPr>
                <w:rFonts w:hint="default" w:ascii="Times New Roman" w:hAnsi="Times New Roman" w:eastAsia="宋体" w:cs="Times New Roman"/>
                <w:b w:val="0"/>
                <w:bCs w:val="0"/>
                <w:color w:val="000000" w:themeColor="text1"/>
                <w:sz w:val="24"/>
                <w:szCs w:val="21"/>
                <w:highlight w:val="none"/>
                <w:u w:val="none"/>
                <w14:textFill>
                  <w14:solidFill>
                    <w14:schemeClr w14:val="tx1"/>
                  </w14:solidFill>
                </w14:textFill>
              </w:rPr>
              <w:t>项目运行过程中</w:t>
            </w:r>
            <w:r>
              <w:rPr>
                <w:rFonts w:hint="eastAsia" w:cs="Times New Roman"/>
                <w:b w:val="0"/>
                <w:bCs w:val="0"/>
                <w:color w:val="000000" w:themeColor="text1"/>
                <w:sz w:val="24"/>
                <w:highlight w:val="none"/>
                <w:u w:val="none"/>
                <w:lang w:val="en-US" w:eastAsia="zh-CN"/>
                <w14:textFill>
                  <w14:solidFill>
                    <w14:schemeClr w14:val="tx1"/>
                  </w14:solidFill>
                </w14:textFill>
              </w:rPr>
              <w:t>不产生废气</w:t>
            </w:r>
            <w:r>
              <w:rPr>
                <w:rFonts w:hint="default" w:ascii="Times New Roman" w:hAnsi="Times New Roman" w:eastAsia="宋体" w:cs="Times New Roman"/>
                <w:b w:val="0"/>
                <w:bCs w:val="0"/>
                <w:color w:val="000000" w:themeColor="text1"/>
                <w:sz w:val="24"/>
                <w:highlight w:val="none"/>
                <w:u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szCs w:val="21"/>
                <w:highlight w:val="none"/>
                <w:u w:val="none"/>
                <w14:textFill>
                  <w14:solidFill>
                    <w14:schemeClr w14:val="tx1"/>
                  </w14:solidFill>
                </w14:textFill>
              </w:rPr>
              <w:t>因此，项目的投产运行对区域</w:t>
            </w:r>
            <w:r>
              <w:rPr>
                <w:rFonts w:hint="default" w:ascii="Times New Roman" w:hAnsi="Times New Roman" w:eastAsia="宋体" w:cs="Times New Roman"/>
                <w:b w:val="0"/>
                <w:bCs w:val="0"/>
                <w:color w:val="000000" w:themeColor="text1"/>
                <w:sz w:val="24"/>
                <w:szCs w:val="21"/>
                <w:highlight w:val="none"/>
                <w:u w:val="none"/>
                <w:lang w:eastAsia="zh-CN"/>
                <w14:textFill>
                  <w14:solidFill>
                    <w14:schemeClr w14:val="tx1"/>
                  </w14:solidFill>
                </w14:textFill>
              </w:rPr>
              <w:t>大气</w:t>
            </w:r>
            <w:r>
              <w:rPr>
                <w:rFonts w:hint="default" w:ascii="Times New Roman" w:hAnsi="Times New Roman" w:eastAsia="宋体" w:cs="Times New Roman"/>
                <w:b w:val="0"/>
                <w:bCs w:val="0"/>
                <w:color w:val="000000" w:themeColor="text1"/>
                <w:sz w:val="24"/>
                <w:szCs w:val="21"/>
                <w:highlight w:val="none"/>
                <w:u w:val="none"/>
                <w14:textFill>
                  <w14:solidFill>
                    <w14:schemeClr w14:val="tx1"/>
                  </w14:solidFill>
                </w14:textFill>
              </w:rPr>
              <w:t>环境质量</w:t>
            </w:r>
            <w:r>
              <w:rPr>
                <w:rFonts w:hint="default" w:ascii="Times New Roman" w:hAnsi="Times New Roman" w:eastAsia="宋体" w:cs="Times New Roman"/>
                <w:b w:val="0"/>
                <w:bCs w:val="0"/>
                <w:color w:val="000000" w:themeColor="text1"/>
                <w:sz w:val="24"/>
                <w:szCs w:val="21"/>
                <w:highlight w:val="none"/>
                <w:u w:val="none"/>
                <w:lang w:eastAsia="zh-CN"/>
                <w14:textFill>
                  <w14:solidFill>
                    <w14:schemeClr w14:val="tx1"/>
                  </w14:solidFill>
                </w14:textFill>
              </w:rPr>
              <w:t>影响</w:t>
            </w:r>
            <w:r>
              <w:rPr>
                <w:rFonts w:hint="eastAsia" w:cs="Times New Roman"/>
                <w:b w:val="0"/>
                <w:bCs w:val="0"/>
                <w:color w:val="000000" w:themeColor="text1"/>
                <w:sz w:val="24"/>
                <w:szCs w:val="21"/>
                <w:highlight w:val="none"/>
                <w:u w:val="none"/>
                <w:lang w:eastAsia="zh-CN"/>
                <w14:textFill>
                  <w14:solidFill>
                    <w14:schemeClr w14:val="tx1"/>
                  </w14:solidFill>
                </w14:textFill>
              </w:rPr>
              <w:t>可接受</w:t>
            </w:r>
            <w:r>
              <w:rPr>
                <w:rFonts w:hint="default" w:ascii="Times New Roman" w:hAnsi="Times New Roman" w:eastAsia="宋体" w:cs="Times New Roman"/>
                <w:b w:val="0"/>
                <w:bCs w:val="0"/>
                <w:color w:val="000000" w:themeColor="text1"/>
                <w:sz w:val="24"/>
                <w:szCs w:val="21"/>
                <w:highlight w:val="none"/>
                <w:u w:val="none"/>
                <w14:textFill>
                  <w14:solidFill>
                    <w14:schemeClr w14:val="tx1"/>
                  </w14:solidFill>
                </w14:textFill>
              </w:rPr>
              <w:t>。</w:t>
            </w:r>
          </w:p>
          <w:p w14:paraId="39A756A6">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both"/>
              <w:textAlignment w:val="auto"/>
              <w:rPr>
                <w:rFonts w:hint="default" w:ascii="Times New Roman" w:hAnsi="Times New Roman" w:eastAsia="宋体" w:cs="Times New Roman"/>
                <w:b w:val="0"/>
                <w:bCs w:val="0"/>
                <w:color w:val="000000" w:themeColor="text1"/>
                <w:sz w:val="24"/>
                <w:highlight w:val="none"/>
                <w:u w:val="none"/>
                <w14:textFill>
                  <w14:solidFill>
                    <w14:schemeClr w14:val="tx1"/>
                  </w14:solidFill>
                </w14:textFill>
              </w:rPr>
            </w:pPr>
            <w:r>
              <w:rPr>
                <w:rFonts w:hint="default" w:ascii="Times New Roman" w:hAnsi="Times New Roman" w:eastAsia="宋体" w:cs="Times New Roman"/>
                <w:bCs/>
                <w:iCs/>
                <w:color w:val="000000" w:themeColor="text1"/>
                <w:sz w:val="24"/>
                <w:lang w:eastAsia="zh-CN"/>
                <w14:textFill>
                  <w14:solidFill>
                    <w14:schemeClr w14:val="tx1"/>
                  </w14:solidFill>
                </w14:textFill>
              </w:rPr>
              <w:t>根据</w:t>
            </w:r>
            <w:r>
              <w:rPr>
                <w:rFonts w:hint="default" w:ascii="Times New Roman" w:hAnsi="Times New Roman" w:eastAsia="宋体" w:cs="Times New Roman"/>
                <w:bCs/>
                <w:iCs/>
                <w:color w:val="000000" w:themeColor="text1"/>
                <w:sz w:val="24"/>
                <w14:textFill>
                  <w14:solidFill>
                    <w14:schemeClr w14:val="tx1"/>
                  </w14:solidFill>
                </w14:textFill>
              </w:rPr>
              <w:t>新乡市环境监测站对</w:t>
            </w:r>
            <w:r>
              <w:rPr>
                <w:rFonts w:hint="eastAsia" w:cs="Times New Roman"/>
                <w:bCs/>
                <w:iCs/>
                <w:color w:val="000000" w:themeColor="text1"/>
                <w:sz w:val="24"/>
                <w:lang w:eastAsia="zh-CN"/>
                <w14:textFill>
                  <w14:solidFill>
                    <w14:schemeClr w14:val="tx1"/>
                  </w14:solidFill>
                </w14:textFill>
              </w:rPr>
              <w:t>东孟姜女河高新区入口</w:t>
            </w:r>
            <w:r>
              <w:rPr>
                <w:rFonts w:hint="default" w:ascii="Times New Roman" w:hAnsi="Times New Roman" w:eastAsia="宋体" w:cs="Times New Roman"/>
                <w:color w:val="000000" w:themeColor="text1"/>
                <w:sz w:val="24"/>
                <w14:textFill>
                  <w14:solidFill>
                    <w14:schemeClr w14:val="tx1"/>
                  </w14:solidFill>
                </w14:textFill>
              </w:rPr>
              <w:t>断面监测数据，</w:t>
            </w:r>
            <w:r>
              <w:rPr>
                <w:rFonts w:hint="default" w:ascii="Times New Roman" w:hAnsi="Times New Roman" w:eastAsia="宋体" w:cs="Times New Roman"/>
                <w:color w:val="000000" w:themeColor="text1"/>
                <w:sz w:val="24"/>
                <w:lang w:val="en-US" w:eastAsia="zh-CN"/>
                <w14:textFill>
                  <w14:solidFill>
                    <w14:schemeClr w14:val="tx1"/>
                  </w14:solidFill>
                </w14:textFill>
              </w:rPr>
              <w:t>202</w:t>
            </w:r>
            <w:r>
              <w:rPr>
                <w:rFonts w:hint="eastAsia" w:cs="Times New Roman"/>
                <w:color w:val="000000" w:themeColor="text1"/>
                <w:sz w:val="24"/>
                <w:lang w:val="en-US" w:eastAsia="zh-CN"/>
                <w14:textFill>
                  <w14:solidFill>
                    <w14:schemeClr w14:val="tx1"/>
                  </w14:solidFill>
                </w14:textFill>
              </w:rPr>
              <w:t>5</w:t>
            </w:r>
            <w:r>
              <w:rPr>
                <w:rFonts w:hint="default" w:ascii="Times New Roman" w:hAnsi="Times New Roman" w:eastAsia="宋体" w:cs="Times New Roman"/>
                <w:color w:val="000000" w:themeColor="text1"/>
                <w:sz w:val="24"/>
                <w:lang w:val="en-US" w:eastAsia="zh-CN"/>
                <w14:textFill>
                  <w14:solidFill>
                    <w14:schemeClr w14:val="tx1"/>
                  </w14:solidFill>
                </w14:textFill>
              </w:rPr>
              <w:t>年</w:t>
            </w:r>
            <w:r>
              <w:rPr>
                <w:rFonts w:hint="eastAsia" w:cs="Times New Roman"/>
                <w:bCs/>
                <w:iCs/>
                <w:color w:val="000000" w:themeColor="text1"/>
                <w:sz w:val="24"/>
                <w:lang w:eastAsia="zh-CN"/>
                <w14:textFill>
                  <w14:solidFill>
                    <w14:schemeClr w14:val="tx1"/>
                  </w14:solidFill>
                </w14:textFill>
              </w:rPr>
              <w:t>东孟姜女河高新区入口</w:t>
            </w:r>
            <w:r>
              <w:rPr>
                <w:rFonts w:hint="default" w:ascii="Times New Roman" w:hAnsi="Times New Roman" w:eastAsia="宋体" w:cs="Times New Roman"/>
                <w:color w:val="000000" w:themeColor="text1"/>
                <w:sz w:val="24"/>
                <w14:textFill>
                  <w14:solidFill>
                    <w14:schemeClr w14:val="tx1"/>
                  </w14:solidFill>
                </w14:textFill>
              </w:rPr>
              <w:t>断面</w:t>
            </w:r>
            <w:r>
              <w:rPr>
                <w:rFonts w:hint="default" w:ascii="Times New Roman" w:hAnsi="Times New Roman" w:eastAsia="宋体" w:cs="Times New Roman"/>
                <w:color w:val="000000" w:themeColor="text1"/>
                <w:sz w:val="24"/>
                <w:lang w:eastAsia="zh-CN"/>
                <w14:textFill>
                  <w14:solidFill>
                    <w14:schemeClr w14:val="tx1"/>
                  </w14:solidFill>
                </w14:textFill>
              </w:rPr>
              <w:t>年均值</w:t>
            </w:r>
            <w:r>
              <w:rPr>
                <w:rFonts w:hint="default" w:ascii="Times New Roman" w:hAnsi="Times New Roman" w:eastAsia="宋体" w:cs="Times New Roman"/>
                <w:b w:val="0"/>
                <w:bCs/>
                <w:color w:val="000000" w:themeColor="text1"/>
                <w:sz w:val="24"/>
                <w:lang w:val="en-US" w:eastAsia="zh-CN"/>
                <w14:textFill>
                  <w14:solidFill>
                    <w14:schemeClr w14:val="tx1"/>
                  </w14:solidFill>
                </w14:textFill>
              </w:rPr>
              <w:t>COD</w:t>
            </w:r>
            <w:r>
              <w:rPr>
                <w:rFonts w:hint="eastAsia" w:cs="Times New Roman"/>
                <w:b w:val="0"/>
                <w:bCs/>
                <w:color w:val="000000" w:themeColor="text1"/>
                <w:sz w:val="24"/>
                <w:lang w:val="en-US" w:eastAsia="zh-CN"/>
                <w14:textFill>
                  <w14:solidFill>
                    <w14:schemeClr w14:val="tx1"/>
                  </w14:solidFill>
                </w14:textFill>
              </w:rPr>
              <w:t>不</w:t>
            </w:r>
            <w:r>
              <w:rPr>
                <w:rFonts w:hint="default" w:ascii="Times New Roman" w:hAnsi="Times New Roman" w:cs="Times New Roman"/>
                <w:b w:val="0"/>
                <w:bCs/>
                <w:color w:val="000000" w:themeColor="text1"/>
                <w:sz w:val="24"/>
                <w:lang w:val="en-US" w:eastAsia="zh-CN"/>
                <w14:textFill>
                  <w14:solidFill>
                    <w14:schemeClr w14:val="tx1"/>
                  </w14:solidFill>
                </w14:textFill>
              </w:rPr>
              <w:t>满足《地表环境质量标准》</w:t>
            </w:r>
            <w:r>
              <w:rPr>
                <w:rFonts w:hint="default" w:ascii="Times New Roman" w:hAnsi="Times New Roman" w:eastAsia="宋体" w:cs="Times New Roman"/>
                <w:color w:val="000000" w:themeColor="text1"/>
                <w:sz w:val="24"/>
                <w:szCs w:val="20"/>
                <w14:textFill>
                  <w14:solidFill>
                    <w14:schemeClr w14:val="tx1"/>
                  </w14:solidFill>
                </w14:textFill>
              </w:rPr>
              <w:t>（GB3838-20</w:t>
            </w:r>
            <w:r>
              <w:rPr>
                <w:rFonts w:hint="default" w:ascii="Times New Roman" w:hAnsi="Times New Roman" w:cs="Times New Roman"/>
                <w:color w:val="000000" w:themeColor="text1"/>
                <w:sz w:val="24"/>
                <w:szCs w:val="20"/>
                <w:lang w:val="en-US" w:eastAsia="zh-CN"/>
                <w14:textFill>
                  <w14:solidFill>
                    <w14:schemeClr w14:val="tx1"/>
                  </w14:solidFill>
                </w14:textFill>
              </w:rPr>
              <w:t>02</w:t>
            </w:r>
            <w:r>
              <w:rPr>
                <w:rFonts w:hint="default" w:ascii="Times New Roman" w:hAnsi="Times New Roman" w:eastAsia="宋体" w:cs="Times New Roman"/>
                <w:color w:val="000000" w:themeColor="text1"/>
                <w:sz w:val="24"/>
                <w:szCs w:val="20"/>
                <w14:textFill>
                  <w14:solidFill>
                    <w14:schemeClr w14:val="tx1"/>
                  </w14:solidFill>
                </w14:textFill>
              </w:rPr>
              <w:t>）</w:t>
            </w:r>
            <w:r>
              <w:rPr>
                <w:rFonts w:hint="eastAsia" w:ascii="Times New Roman" w:hAnsi="Times New Roman" w:eastAsia="宋体" w:cs="Times New Roman"/>
                <w:b w:val="0"/>
                <w:bCs/>
                <w:color w:val="000000" w:themeColor="text1"/>
                <w:sz w:val="24"/>
                <w:lang w:val="en-US" w:eastAsia="zh-CN"/>
                <w14:textFill>
                  <w14:solidFill>
                    <w14:schemeClr w14:val="tx1"/>
                  </w14:solidFill>
                </w14:textFill>
              </w:rPr>
              <w:t>Ⅲ</w:t>
            </w:r>
            <w:r>
              <w:rPr>
                <w:rFonts w:hint="default" w:ascii="Times New Roman" w:hAnsi="Times New Roman" w:eastAsia="宋体" w:cs="Times New Roman"/>
                <w:color w:val="000000" w:themeColor="text1"/>
                <w:sz w:val="24"/>
                <w14:textFill>
                  <w14:solidFill>
                    <w14:schemeClr w14:val="tx1"/>
                  </w14:solidFill>
                </w14:textFill>
              </w:rPr>
              <w:t>类</w:t>
            </w:r>
            <w:r>
              <w:rPr>
                <w:rFonts w:hint="default" w:ascii="Times New Roman" w:hAnsi="Times New Roman" w:eastAsia="宋体" w:cs="Times New Roman"/>
                <w:color w:val="000000" w:themeColor="text1"/>
                <w:sz w:val="24"/>
                <w:szCs w:val="20"/>
                <w14:textFill>
                  <w14:solidFill>
                    <w14:schemeClr w14:val="tx1"/>
                  </w14:solidFill>
                </w14:textFill>
              </w:rPr>
              <w:t>标准</w:t>
            </w:r>
            <w:r>
              <w:rPr>
                <w:rFonts w:hint="default" w:ascii="Times New Roman" w:hAnsi="Times New Roman" w:eastAsia="宋体" w:cs="Times New Roman"/>
                <w:b w:val="0"/>
                <w:bCs w:val="0"/>
                <w:color w:val="000000" w:themeColor="text1"/>
                <w:sz w:val="24"/>
                <w:highlight w:val="none"/>
                <w:u w:val="none"/>
                <w14:textFill>
                  <w14:solidFill>
                    <w14:schemeClr w14:val="tx1"/>
                  </w14:solidFill>
                </w14:textFill>
              </w:rPr>
              <w:t>。目前新乡市正在推进实施</w:t>
            </w:r>
            <w:r>
              <w:rPr>
                <w:rFonts w:hint="default" w:ascii="Times New Roman" w:hAnsi="Times New Roman" w:eastAsia="宋体" w:cs="Times New Roman"/>
                <w:b w:val="0"/>
                <w:bCs w:val="0"/>
                <w:color w:val="000000" w:themeColor="text1"/>
                <w:sz w:val="24"/>
                <w:highlight w:val="none"/>
                <w:u w:val="none"/>
                <w:lang w:val="en-US" w:eastAsia="zh-CN"/>
                <w14:textFill>
                  <w14:solidFill>
                    <w14:schemeClr w14:val="tx1"/>
                  </w14:solidFill>
                </w14:textFill>
              </w:rPr>
              <w:t>《河南省2026年碧水保卫战实施方案》（豫环委办〔2026〕4号）、《新乡市2026年碧水保卫战实施方案》（新环委办〔2026〕17号）</w:t>
            </w:r>
            <w:r>
              <w:rPr>
                <w:rFonts w:hint="default" w:ascii="Times New Roman" w:hAnsi="Times New Roman" w:eastAsia="宋体" w:cs="Times New Roman"/>
                <w:b w:val="0"/>
                <w:bCs w:val="0"/>
                <w:color w:val="000000" w:themeColor="text1"/>
                <w:sz w:val="24"/>
                <w:highlight w:val="none"/>
                <w:u w:val="none"/>
                <w14:textFill>
                  <w14:solidFill>
                    <w14:schemeClr w14:val="tx1"/>
                  </w14:solidFill>
                </w14:textFill>
              </w:rPr>
              <w:t>，将继续改善新乡市水环境质量。</w:t>
            </w:r>
          </w:p>
          <w:p w14:paraId="7D32F1BF">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both"/>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本项目废水</w:t>
            </w:r>
            <w:r>
              <w:rPr>
                <w:rFonts w:hint="eastAsia" w:ascii="Times New Roman" w:hAnsi="Times New Roman" w:eastAsia="宋体" w:cs="Times New Roman"/>
                <w:color w:val="auto"/>
                <w:spacing w:val="0"/>
                <w:sz w:val="24"/>
                <w:szCs w:val="24"/>
                <w:lang w:val="en-US" w:eastAsia="zh-CN"/>
              </w:rPr>
              <w:t>和噪声</w:t>
            </w:r>
            <w:r>
              <w:rPr>
                <w:rFonts w:hint="default" w:ascii="Times New Roman" w:hAnsi="Times New Roman" w:eastAsia="宋体" w:cs="Times New Roman"/>
                <w:color w:val="auto"/>
                <w:spacing w:val="0"/>
                <w:sz w:val="24"/>
                <w:szCs w:val="24"/>
                <w:lang w:val="en-US" w:eastAsia="zh-CN"/>
              </w:rPr>
              <w:t>在采取报告中提出的治理措施后，能够达到相应的排放标准，固废均得到合理处置，对周边影响</w:t>
            </w:r>
            <w:r>
              <w:rPr>
                <w:rFonts w:hint="eastAsia" w:ascii="Times New Roman" w:hAnsi="Times New Roman" w:eastAsia="宋体" w:cs="Times New Roman"/>
                <w:color w:val="auto"/>
                <w:spacing w:val="0"/>
                <w:sz w:val="24"/>
                <w:szCs w:val="24"/>
                <w:lang w:val="en-US" w:eastAsia="zh-CN"/>
              </w:rPr>
              <w:t>可以接受</w:t>
            </w:r>
            <w:r>
              <w:rPr>
                <w:rFonts w:hint="default" w:ascii="Times New Roman" w:hAnsi="Times New Roman" w:eastAsia="宋体" w:cs="Times New Roman"/>
                <w:color w:val="auto"/>
                <w:spacing w:val="0"/>
                <w:sz w:val="24"/>
                <w:szCs w:val="24"/>
                <w:lang w:val="en-US" w:eastAsia="zh-CN"/>
              </w:rPr>
              <w:t>。综上，本项目的建设运行不会突破项目所在地的环境质量底线，因此项目符合环境质量底线标准。</w:t>
            </w:r>
          </w:p>
          <w:p w14:paraId="0483AEAC">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both"/>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（3）资源利用上</w:t>
            </w:r>
            <w:r>
              <w:rPr>
                <w:rFonts w:hint="eastAsia" w:ascii="Times New Roman" w:hAnsi="Times New Roman" w:eastAsia="宋体" w:cs="Times New Roman"/>
                <w:color w:val="auto"/>
                <w:spacing w:val="0"/>
                <w:sz w:val="24"/>
                <w:szCs w:val="24"/>
                <w:lang w:val="en-US" w:eastAsia="zh-CN"/>
              </w:rPr>
              <w:t>线</w:t>
            </w:r>
            <w:r>
              <w:rPr>
                <w:rFonts w:hint="default" w:ascii="Times New Roman" w:hAnsi="Times New Roman" w:eastAsia="宋体" w:cs="Times New Roman"/>
                <w:color w:val="auto"/>
                <w:spacing w:val="0"/>
                <w:sz w:val="24"/>
                <w:szCs w:val="24"/>
                <w:lang w:val="en-US" w:eastAsia="zh-CN"/>
              </w:rPr>
              <w:t>相符性</w:t>
            </w:r>
          </w:p>
          <w:p w14:paraId="3033A81B">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both"/>
              <w:textAlignment w:val="auto"/>
              <w:rPr>
                <w:rFonts w:hint="default" w:ascii="Times New Roman" w:hAnsi="Times New Roman" w:eastAsia="宋体" w:cs="Times New Roman"/>
                <w:color w:val="auto"/>
                <w:spacing w:val="0"/>
                <w:sz w:val="24"/>
                <w:szCs w:val="24"/>
                <w:lang w:val="en-US" w:eastAsia="zh-CN"/>
              </w:rPr>
            </w:pPr>
            <w:r>
              <w:rPr>
                <w:rFonts w:hint="default" w:ascii="Times New Roman" w:hAnsi="Times New Roman" w:eastAsia="宋体" w:cs="Times New Roman"/>
                <w:color w:val="auto"/>
                <w:spacing w:val="0"/>
                <w:sz w:val="24"/>
                <w:szCs w:val="24"/>
                <w:lang w:val="en-US" w:eastAsia="zh-CN"/>
              </w:rPr>
              <w:t>项目主要能源为电能，类比同行业，</w:t>
            </w:r>
            <w:r>
              <w:rPr>
                <w:rFonts w:hint="eastAsia" w:ascii="Times New Roman" w:hAnsi="Times New Roman" w:eastAsia="宋体" w:cs="Times New Roman"/>
                <w:color w:val="auto"/>
                <w:spacing w:val="0"/>
                <w:sz w:val="24"/>
                <w:szCs w:val="24"/>
                <w:lang w:val="en-US" w:eastAsia="zh-CN"/>
              </w:rPr>
              <w:t>能源</w:t>
            </w:r>
            <w:r>
              <w:rPr>
                <w:rFonts w:hint="default" w:ascii="Times New Roman" w:hAnsi="Times New Roman" w:eastAsia="宋体" w:cs="Times New Roman"/>
                <w:color w:val="auto"/>
                <w:spacing w:val="0"/>
                <w:sz w:val="24"/>
                <w:szCs w:val="24"/>
                <w:lang w:val="en-US" w:eastAsia="zh-CN"/>
              </w:rPr>
              <w:t>消耗量不大，不属于高耗能资源消耗型企业。同时，项目建成运行后通过内部管理、设备选择、原辅材料的选用和管理、污染治理等多方面采取合理、可行、有效的防治措施，以</w:t>
            </w:r>
            <w:r>
              <w:rPr>
                <w:rFonts w:hint="eastAsia"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节能、降耗、减污</w:t>
            </w:r>
            <w:r>
              <w:rPr>
                <w:rFonts w:hint="eastAsia" w:cs="Times New Roman"/>
                <w:color w:val="auto"/>
                <w:spacing w:val="0"/>
                <w:sz w:val="24"/>
                <w:szCs w:val="24"/>
                <w:lang w:val="en-US" w:eastAsia="zh-CN"/>
              </w:rPr>
              <w:t>”</w:t>
            </w:r>
            <w:r>
              <w:rPr>
                <w:rFonts w:hint="default" w:ascii="Times New Roman" w:hAnsi="Times New Roman" w:eastAsia="宋体" w:cs="Times New Roman"/>
                <w:color w:val="auto"/>
                <w:spacing w:val="0"/>
                <w:sz w:val="24"/>
                <w:szCs w:val="24"/>
                <w:lang w:val="en-US" w:eastAsia="zh-CN"/>
              </w:rPr>
              <w:t>为目标，有效</w:t>
            </w:r>
            <w:r>
              <w:rPr>
                <w:rFonts w:hint="eastAsia" w:ascii="Times New Roman" w:hAnsi="Times New Roman" w:eastAsia="宋体" w:cs="Times New Roman"/>
                <w:color w:val="auto"/>
                <w:spacing w:val="0"/>
                <w:sz w:val="24"/>
                <w:szCs w:val="24"/>
                <w:lang w:val="en-US" w:eastAsia="zh-CN"/>
              </w:rPr>
              <w:t>地</w:t>
            </w:r>
            <w:r>
              <w:rPr>
                <w:rFonts w:hint="default" w:ascii="Times New Roman" w:hAnsi="Times New Roman" w:eastAsia="宋体" w:cs="Times New Roman"/>
                <w:color w:val="auto"/>
                <w:spacing w:val="0"/>
                <w:sz w:val="24"/>
                <w:szCs w:val="24"/>
                <w:lang w:val="en-US" w:eastAsia="zh-CN"/>
              </w:rPr>
              <w:t>控制污染及资源利用水平。项目的水等资源利用不会突破区域的资源利用</w:t>
            </w:r>
            <w:r>
              <w:rPr>
                <w:rFonts w:hint="eastAsia" w:cs="Times New Roman"/>
                <w:color w:val="auto"/>
                <w:spacing w:val="0"/>
                <w:sz w:val="24"/>
                <w:szCs w:val="24"/>
                <w:lang w:val="en-US" w:eastAsia="zh-CN"/>
              </w:rPr>
              <w:t>上限</w:t>
            </w:r>
            <w:r>
              <w:rPr>
                <w:rFonts w:hint="default" w:ascii="Times New Roman" w:hAnsi="Times New Roman" w:eastAsia="宋体" w:cs="Times New Roman"/>
                <w:color w:val="auto"/>
                <w:spacing w:val="0"/>
                <w:sz w:val="24"/>
                <w:szCs w:val="24"/>
                <w:lang w:val="en-US" w:eastAsia="zh-CN"/>
              </w:rPr>
              <w:t>。</w:t>
            </w:r>
          </w:p>
          <w:p w14:paraId="396E0B98">
            <w:pPr>
              <w:keepNext w:val="0"/>
              <w:keepLines w:val="0"/>
              <w:pageBreakBefore w:val="0"/>
              <w:numPr>
                <w:ilvl w:val="0"/>
                <w:numId w:val="0"/>
              </w:numPr>
              <w:shd w:val="clear"/>
              <w:kinsoku/>
              <w:wordWrap/>
              <w:overflowPunct/>
              <w:topLinePunct w:val="0"/>
              <w:bidi w:val="0"/>
              <w:adjustRightInd w:val="0"/>
              <w:snapToGrid w:val="0"/>
              <w:spacing w:line="520" w:lineRule="exact"/>
              <w:ind w:firstLine="480" w:firstLineChars="200"/>
              <w:rPr>
                <w:rFonts w:hint="default" w:ascii="Times New Roman" w:hAnsi="Times New Roman" w:eastAsia="宋体" w:cs="Times New Roman"/>
                <w:color w:val="auto"/>
                <w:spacing w:val="0"/>
                <w:sz w:val="24"/>
                <w:szCs w:val="24"/>
                <w:highlight w:val="none"/>
                <w:lang w:val="en-US" w:eastAsia="zh-CN"/>
              </w:rPr>
            </w:pPr>
            <w:r>
              <w:rPr>
                <w:rFonts w:hint="default" w:ascii="Times New Roman" w:hAnsi="Times New Roman" w:eastAsia="宋体" w:cs="Times New Roman"/>
                <w:color w:val="auto"/>
                <w:spacing w:val="0"/>
                <w:kern w:val="2"/>
                <w:sz w:val="24"/>
                <w:szCs w:val="24"/>
                <w:highlight w:val="none"/>
                <w:lang w:val="en-US" w:eastAsia="zh-CN" w:bidi="ar-SA"/>
              </w:rPr>
              <w:t>（4）</w:t>
            </w:r>
            <w:r>
              <w:rPr>
                <w:rFonts w:hint="default" w:ascii="Times New Roman" w:hAnsi="Times New Roman" w:eastAsia="宋体" w:cs="Times New Roman"/>
                <w:color w:val="auto"/>
                <w:spacing w:val="0"/>
                <w:sz w:val="24"/>
                <w:szCs w:val="24"/>
                <w:highlight w:val="none"/>
                <w:lang w:val="en-US" w:eastAsia="zh-CN"/>
              </w:rPr>
              <w:t>生态环境准入清单</w:t>
            </w:r>
          </w:p>
          <w:p w14:paraId="139FD7C4">
            <w:pPr>
              <w:pStyle w:val="5"/>
              <w:keepNext w:val="0"/>
              <w:keepLines w:val="0"/>
              <w:pageBreakBefore w:val="0"/>
              <w:kinsoku/>
              <w:wordWrap/>
              <w:overflowPunct/>
              <w:topLinePunct w:val="0"/>
              <w:bidi w:val="0"/>
              <w:snapToGrid w:val="0"/>
              <w:spacing w:line="520" w:lineRule="atLeast"/>
              <w:ind w:firstLine="480" w:firstLineChars="200"/>
              <w:rPr>
                <w:rFonts w:hint="default" w:ascii="Times New Roman" w:hAnsi="Times New Roman" w:eastAsia="宋体" w:cs="Times New Roman"/>
                <w:color w:val="auto"/>
                <w:spacing w:val="0"/>
                <w:sz w:val="24"/>
              </w:rPr>
            </w:pPr>
            <w:r>
              <w:rPr>
                <w:rFonts w:hint="eastAsia" w:ascii="Times New Roman" w:hAnsi="Times New Roman" w:eastAsia="宋体" w:cs="Times New Roman"/>
                <w:color w:val="auto"/>
                <w:spacing w:val="0"/>
                <w:sz w:val="24"/>
                <w:lang w:eastAsia="zh-CN"/>
              </w:rPr>
              <w:t>本项目位于</w:t>
            </w:r>
            <w:r>
              <w:rPr>
                <w:rFonts w:hint="eastAsia" w:cs="Times New Roman"/>
                <w:color w:val="auto"/>
                <w:sz w:val="24"/>
                <w:szCs w:val="24"/>
                <w:lang w:eastAsia="zh-CN"/>
              </w:rPr>
              <w:t>新乡市新乡县翟坡镇东大阳堤村村西中央大道东侧</w:t>
            </w:r>
            <w:r>
              <w:rPr>
                <w:rFonts w:hint="eastAsia" w:ascii="Times New Roman" w:hAnsi="宋体" w:eastAsia="宋体"/>
                <w:b w:val="0"/>
                <w:bCs/>
                <w:color w:val="auto"/>
                <w:spacing w:val="0"/>
                <w:sz w:val="24"/>
                <w:u w:val="none"/>
                <w:lang w:eastAsia="zh-CN"/>
              </w:rPr>
              <w:t>，</w:t>
            </w:r>
            <w:r>
              <w:rPr>
                <w:rFonts w:hint="eastAsia" w:ascii="Times New Roman" w:hAnsi="Times New Roman" w:eastAsia="宋体" w:cs="Times New Roman"/>
                <w:color w:val="auto"/>
                <w:spacing w:val="0"/>
                <w:sz w:val="24"/>
                <w:lang w:eastAsia="zh-CN"/>
              </w:rPr>
              <w:t>经</w:t>
            </w:r>
            <w:r>
              <w:rPr>
                <w:rFonts w:hint="default" w:ascii="Times New Roman" w:hAnsi="Times New Roman" w:eastAsia="宋体" w:cs="Times New Roman"/>
                <w:color w:val="auto"/>
                <w:spacing w:val="0"/>
                <w:sz w:val="24"/>
              </w:rPr>
              <w:t>查阅《河南省</w:t>
            </w:r>
            <w:r>
              <w:rPr>
                <w:rFonts w:hint="eastAsia" w:cs="Times New Roman"/>
                <w:color w:val="auto"/>
                <w:spacing w:val="0"/>
                <w:sz w:val="24"/>
                <w:lang w:eastAsia="zh-CN"/>
              </w:rPr>
              <w:t>“</w:t>
            </w:r>
            <w:r>
              <w:rPr>
                <w:rFonts w:hint="default" w:ascii="Times New Roman" w:hAnsi="Times New Roman" w:eastAsia="宋体" w:cs="Times New Roman"/>
                <w:color w:val="auto"/>
                <w:spacing w:val="0"/>
                <w:sz w:val="24"/>
              </w:rPr>
              <w:t>三线一单</w:t>
            </w:r>
            <w:r>
              <w:rPr>
                <w:rFonts w:hint="eastAsia" w:cs="Times New Roman"/>
                <w:color w:val="auto"/>
                <w:spacing w:val="0"/>
                <w:sz w:val="24"/>
                <w:lang w:eastAsia="zh-CN"/>
              </w:rPr>
              <w:t>”</w:t>
            </w:r>
            <w:r>
              <w:rPr>
                <w:rFonts w:hint="default" w:ascii="Times New Roman" w:hAnsi="Times New Roman" w:eastAsia="宋体" w:cs="Times New Roman"/>
                <w:color w:val="auto"/>
                <w:spacing w:val="0"/>
                <w:sz w:val="24"/>
              </w:rPr>
              <w:t>成果查询系统》可知，本项目位于</w:t>
            </w:r>
            <w:r>
              <w:rPr>
                <w:rFonts w:hint="eastAsia" w:cs="Times New Roman"/>
                <w:color w:val="auto"/>
                <w:spacing w:val="0"/>
                <w:sz w:val="24"/>
                <w:lang w:eastAsia="zh-CN"/>
              </w:rPr>
              <w:t>新乡县城镇重点单元</w:t>
            </w:r>
            <w:r>
              <w:rPr>
                <w:rFonts w:hint="default" w:ascii="Times New Roman" w:hAnsi="Times New Roman" w:eastAsia="宋体" w:cs="Times New Roman"/>
                <w:color w:val="auto"/>
                <w:spacing w:val="0"/>
                <w:sz w:val="24"/>
              </w:rPr>
              <w:t>，环境管控单元编码ZH4107</w:t>
            </w:r>
            <w:r>
              <w:rPr>
                <w:rFonts w:hint="eastAsia" w:cs="Times New Roman"/>
                <w:color w:val="auto"/>
                <w:spacing w:val="0"/>
                <w:sz w:val="24"/>
                <w:lang w:val="en-US" w:eastAsia="zh-CN"/>
              </w:rPr>
              <w:t>210003</w:t>
            </w:r>
            <w:r>
              <w:rPr>
                <w:rFonts w:hint="default" w:ascii="Times New Roman" w:hAnsi="Times New Roman" w:eastAsia="宋体" w:cs="Times New Roman"/>
                <w:color w:val="auto"/>
                <w:spacing w:val="0"/>
                <w:sz w:val="24"/>
              </w:rPr>
              <w:t>。</w:t>
            </w:r>
          </w:p>
          <w:p w14:paraId="36E787B2">
            <w:pPr>
              <w:pStyle w:val="5"/>
              <w:keepNext w:val="0"/>
              <w:keepLines w:val="0"/>
              <w:pageBreakBefore w:val="0"/>
              <w:kinsoku/>
              <w:wordWrap/>
              <w:overflowPunct/>
              <w:topLinePunct w:val="0"/>
              <w:bidi w:val="0"/>
              <w:snapToGrid w:val="0"/>
              <w:spacing w:line="520" w:lineRule="atLeast"/>
              <w:ind w:firstLine="480" w:firstLineChars="200"/>
              <w:rPr>
                <w:rFonts w:hint="default" w:ascii="Times New Roman" w:hAnsi="Times New Roman" w:eastAsia="黑体" w:cs="Times New Roman"/>
                <w:color w:val="auto"/>
                <w:spacing w:val="0"/>
                <w:sz w:val="24"/>
                <w:szCs w:val="24"/>
              </w:rPr>
            </w:pPr>
            <w:r>
              <w:rPr>
                <w:rFonts w:hint="eastAsia" w:ascii="Times New Roman" w:hAnsi="Times New Roman" w:eastAsia="宋体" w:cs="Times New Roman"/>
                <w:bCs/>
                <w:color w:val="auto"/>
                <w:spacing w:val="0"/>
                <w:sz w:val="24"/>
                <w:shd w:val="clear" w:color="auto" w:fill="FFFFFF"/>
              </w:rPr>
              <w:t>本项目与《河南省生态环境分区管控总体要求</w:t>
            </w:r>
            <w:r>
              <w:rPr>
                <w:rFonts w:hint="eastAsia" w:ascii="Times New Roman" w:hAnsi="Times New Roman" w:eastAsia="宋体" w:cs="Times New Roman"/>
                <w:bCs/>
                <w:color w:val="auto"/>
                <w:spacing w:val="0"/>
                <w:sz w:val="24"/>
                <w:shd w:val="clear" w:color="auto" w:fill="FFFFFF"/>
                <w:lang w:eastAsia="zh-CN"/>
              </w:rPr>
              <w:t>（</w:t>
            </w:r>
            <w:r>
              <w:rPr>
                <w:rFonts w:hint="eastAsia" w:ascii="Times New Roman" w:hAnsi="Times New Roman" w:eastAsia="宋体" w:cs="Times New Roman"/>
                <w:bCs/>
                <w:color w:val="auto"/>
                <w:spacing w:val="0"/>
                <w:sz w:val="24"/>
                <w:shd w:val="clear" w:color="auto" w:fill="FFFFFF"/>
                <w:lang w:val="en-US" w:eastAsia="zh-CN"/>
              </w:rPr>
              <w:t>2023年版</w:t>
            </w:r>
            <w:r>
              <w:rPr>
                <w:rFonts w:hint="eastAsia" w:ascii="Times New Roman" w:hAnsi="Times New Roman" w:eastAsia="宋体" w:cs="Times New Roman"/>
                <w:bCs/>
                <w:color w:val="auto"/>
                <w:spacing w:val="0"/>
                <w:sz w:val="24"/>
                <w:shd w:val="clear" w:color="auto" w:fill="FFFFFF"/>
                <w:lang w:eastAsia="zh-CN"/>
              </w:rPr>
              <w:t>）</w:t>
            </w:r>
            <w:r>
              <w:rPr>
                <w:rFonts w:hint="eastAsia" w:ascii="Times New Roman" w:hAnsi="Times New Roman" w:eastAsia="宋体" w:cs="Times New Roman"/>
                <w:bCs/>
                <w:color w:val="auto"/>
                <w:spacing w:val="0"/>
                <w:sz w:val="24"/>
                <w:shd w:val="clear" w:color="auto" w:fill="FFFFFF"/>
              </w:rPr>
              <w:t>》及《新乡市“三线一单”生态环境准入清单》（2023年</w:t>
            </w:r>
            <w:r>
              <w:rPr>
                <w:rFonts w:hint="eastAsia" w:ascii="Times New Roman" w:hAnsi="Times New Roman" w:eastAsia="宋体" w:cs="Times New Roman"/>
                <w:bCs/>
                <w:color w:val="auto"/>
                <w:spacing w:val="0"/>
                <w:sz w:val="24"/>
                <w:shd w:val="clear" w:color="auto" w:fill="FFFFFF"/>
                <w:lang w:eastAsia="zh-CN"/>
              </w:rPr>
              <w:t>版</w:t>
            </w:r>
            <w:r>
              <w:rPr>
                <w:rFonts w:hint="eastAsia" w:ascii="Times New Roman" w:hAnsi="Times New Roman" w:eastAsia="宋体" w:cs="Times New Roman"/>
                <w:bCs/>
                <w:color w:val="auto"/>
                <w:spacing w:val="0"/>
                <w:sz w:val="24"/>
                <w:shd w:val="clear" w:color="auto" w:fill="FFFFFF"/>
              </w:rPr>
              <w:t>）相符性分析见下表。</w:t>
            </w:r>
          </w:p>
          <w:p w14:paraId="638FAE25">
            <w:pPr>
              <w:pStyle w:val="5"/>
              <w:keepNext w:val="0"/>
              <w:keepLines w:val="0"/>
              <w:pageBreakBefore w:val="0"/>
              <w:widowControl w:val="0"/>
              <w:kinsoku/>
              <w:wordWrap/>
              <w:overflowPunct/>
              <w:topLinePunct w:val="0"/>
              <w:autoSpaceDE/>
              <w:autoSpaceDN/>
              <w:bidi w:val="0"/>
              <w:adjustRightInd/>
              <w:snapToGrid w:val="0"/>
              <w:spacing w:line="520" w:lineRule="exact"/>
              <w:ind w:firstLine="480" w:firstLineChars="200"/>
              <w:jc w:val="center"/>
              <w:textAlignment w:val="auto"/>
              <w:rPr>
                <w:rFonts w:hint="default" w:ascii="Times New Roman" w:hAnsi="Times New Roman" w:eastAsia="黑体" w:cs="Times New Roman"/>
                <w:bCs/>
                <w:color w:val="auto"/>
                <w:spacing w:val="0"/>
                <w:sz w:val="24"/>
                <w:szCs w:val="24"/>
                <w:shd w:val="clear" w:color="auto" w:fill="FFFFFF"/>
              </w:rPr>
            </w:pPr>
            <w:r>
              <w:rPr>
                <w:rFonts w:hint="default" w:ascii="Times New Roman" w:hAnsi="Times New Roman" w:eastAsia="黑体" w:cs="Times New Roman"/>
                <w:color w:val="auto"/>
                <w:spacing w:val="0"/>
                <w:sz w:val="24"/>
                <w:szCs w:val="24"/>
              </w:rPr>
              <w:t>表1</w:t>
            </w:r>
            <w:r>
              <w:rPr>
                <w:rFonts w:hint="default" w:ascii="Times New Roman" w:hAnsi="Times New Roman" w:eastAsia="黑体" w:cs="Times New Roman"/>
                <w:color w:val="auto"/>
                <w:spacing w:val="0"/>
                <w:sz w:val="24"/>
                <w:szCs w:val="24"/>
                <w:lang w:val="en-US" w:eastAsia="zh-CN"/>
              </w:rPr>
              <w:t>-</w:t>
            </w:r>
            <w:r>
              <w:rPr>
                <w:rFonts w:hint="eastAsia" w:eastAsia="黑体" w:cs="Times New Roman"/>
                <w:color w:val="auto"/>
                <w:spacing w:val="0"/>
                <w:sz w:val="24"/>
                <w:szCs w:val="24"/>
                <w:lang w:val="en-US" w:eastAsia="zh-CN"/>
              </w:rPr>
              <w:t>6</w:t>
            </w:r>
            <w:r>
              <w:rPr>
                <w:rFonts w:hint="eastAsia" w:ascii="Times New Roman" w:hAnsi="Times New Roman" w:eastAsia="黑体" w:cs="Times New Roman"/>
                <w:color w:val="auto"/>
                <w:spacing w:val="0"/>
                <w:sz w:val="24"/>
                <w:szCs w:val="24"/>
                <w:lang w:val="en-US" w:eastAsia="zh-CN"/>
              </w:rPr>
              <w:t xml:space="preserve"> 与</w:t>
            </w:r>
            <w:r>
              <w:rPr>
                <w:rFonts w:hint="default" w:ascii="Times New Roman" w:hAnsi="Times New Roman" w:eastAsia="黑体" w:cs="Times New Roman"/>
                <w:bCs/>
                <w:color w:val="auto"/>
                <w:spacing w:val="0"/>
                <w:sz w:val="24"/>
                <w:szCs w:val="24"/>
              </w:rPr>
              <w:t>《河南省生态环境分区管控总体要求（2023年版）》及《新乡市“三线一单”生态环境准入清单》（2023年</w:t>
            </w:r>
            <w:r>
              <w:rPr>
                <w:rFonts w:hint="eastAsia" w:ascii="Times New Roman" w:hAnsi="Times New Roman" w:eastAsia="黑体" w:cs="Times New Roman"/>
                <w:bCs/>
                <w:color w:val="auto"/>
                <w:spacing w:val="0"/>
                <w:sz w:val="24"/>
                <w:szCs w:val="24"/>
                <w:lang w:eastAsia="zh-CN"/>
              </w:rPr>
              <w:t>版</w:t>
            </w:r>
            <w:r>
              <w:rPr>
                <w:rFonts w:hint="default" w:ascii="Times New Roman" w:hAnsi="Times New Roman" w:eastAsia="黑体" w:cs="Times New Roman"/>
                <w:bCs/>
                <w:color w:val="auto"/>
                <w:spacing w:val="0"/>
                <w:sz w:val="24"/>
                <w:szCs w:val="24"/>
              </w:rPr>
              <w:t>）</w:t>
            </w:r>
            <w:r>
              <w:rPr>
                <w:rFonts w:hint="default" w:ascii="Times New Roman" w:hAnsi="Times New Roman" w:eastAsia="黑体" w:cs="Times New Roman"/>
                <w:color w:val="auto"/>
                <w:spacing w:val="0"/>
                <w:sz w:val="24"/>
                <w:szCs w:val="24"/>
              </w:rPr>
              <w:t>相符性分析</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57" w:type="dxa"/>
                <w:bottom w:w="85" w:type="dxa"/>
                <w:right w:w="57" w:type="dxa"/>
              </w:tblCellMar>
            </w:tblPr>
            <w:tblGrid>
              <w:gridCol w:w="294"/>
              <w:gridCol w:w="297"/>
              <w:gridCol w:w="4137"/>
              <w:gridCol w:w="2628"/>
              <w:gridCol w:w="339"/>
            </w:tblGrid>
            <w:tr w14:paraId="74B8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591" w:type="dxa"/>
                  <w:gridSpan w:val="2"/>
                  <w:noWrap w:val="0"/>
                  <w:tcMar>
                    <w:top w:w="28" w:type="dxa"/>
                    <w:bottom w:w="57" w:type="dxa"/>
                  </w:tcMar>
                  <w:vAlign w:val="center"/>
                </w:tcPr>
                <w:p w14:paraId="380A6975">
                  <w:pPr>
                    <w:pStyle w:val="20"/>
                    <w:keepNext w:val="0"/>
                    <w:keepLines w:val="0"/>
                    <w:pageBreakBefore w:val="0"/>
                    <w:kinsoku/>
                    <w:overflowPunct/>
                    <w:topLinePunct w:val="0"/>
                    <w:autoSpaceDE/>
                    <w:autoSpaceDN/>
                    <w:bidi w:val="0"/>
                    <w:snapToGrid w:val="0"/>
                    <w:spacing w:before="0" w:beforeAutospacing="0" w:after="0" w:afterAutospacing="0" w:line="240" w:lineRule="auto"/>
                    <w:ind w:firstLine="0" w:firstLineChars="0"/>
                    <w:jc w:val="both"/>
                    <w:outlineLvl w:val="0"/>
                    <w:rPr>
                      <w:rFonts w:ascii="Times New Roman" w:hAnsi="Times New Roman"/>
                      <w:bCs/>
                      <w:snapToGrid w:val="0"/>
                      <w:color w:val="auto"/>
                      <w:spacing w:val="0"/>
                      <w:sz w:val="21"/>
                      <w:szCs w:val="21"/>
                    </w:rPr>
                  </w:pPr>
                  <w:r>
                    <w:rPr>
                      <w:rFonts w:ascii="Times New Roman" w:hAnsi="Times New Roman"/>
                      <w:bCs/>
                      <w:snapToGrid w:val="0"/>
                      <w:color w:val="auto"/>
                      <w:spacing w:val="0"/>
                      <w:sz w:val="21"/>
                      <w:szCs w:val="21"/>
                    </w:rPr>
                    <w:t>环境管控单元名称</w:t>
                  </w:r>
                </w:p>
              </w:tc>
              <w:tc>
                <w:tcPr>
                  <w:tcW w:w="4137" w:type="dxa"/>
                  <w:noWrap w:val="0"/>
                  <w:tcMar>
                    <w:top w:w="28" w:type="dxa"/>
                    <w:bottom w:w="57" w:type="dxa"/>
                  </w:tcMar>
                  <w:vAlign w:val="center"/>
                </w:tcPr>
                <w:p w14:paraId="1ADE501A">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bCs/>
                      <w:color w:val="auto"/>
                      <w:spacing w:val="0"/>
                      <w:sz w:val="21"/>
                      <w:szCs w:val="21"/>
                    </w:rPr>
                  </w:pPr>
                  <w:r>
                    <w:rPr>
                      <w:bCs/>
                      <w:color w:val="auto"/>
                      <w:spacing w:val="0"/>
                      <w:sz w:val="21"/>
                      <w:szCs w:val="21"/>
                    </w:rPr>
                    <w:t>管控要求</w:t>
                  </w:r>
                </w:p>
              </w:tc>
              <w:tc>
                <w:tcPr>
                  <w:tcW w:w="2628" w:type="dxa"/>
                  <w:noWrap w:val="0"/>
                  <w:vAlign w:val="center"/>
                </w:tcPr>
                <w:p w14:paraId="16E0B594">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bCs/>
                      <w:color w:val="auto"/>
                      <w:spacing w:val="0"/>
                      <w:sz w:val="21"/>
                      <w:szCs w:val="21"/>
                    </w:rPr>
                  </w:pPr>
                  <w:r>
                    <w:rPr>
                      <w:bCs/>
                      <w:color w:val="auto"/>
                      <w:spacing w:val="0"/>
                      <w:sz w:val="21"/>
                      <w:szCs w:val="21"/>
                    </w:rPr>
                    <w:t>本项目情况</w:t>
                  </w:r>
                </w:p>
              </w:tc>
              <w:tc>
                <w:tcPr>
                  <w:tcW w:w="339" w:type="dxa"/>
                  <w:noWrap w:val="0"/>
                  <w:vAlign w:val="center"/>
                </w:tcPr>
                <w:p w14:paraId="425C7B36">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bCs/>
                      <w:color w:val="auto"/>
                      <w:spacing w:val="0"/>
                      <w:sz w:val="21"/>
                      <w:szCs w:val="21"/>
                    </w:rPr>
                  </w:pPr>
                  <w:r>
                    <w:rPr>
                      <w:bCs/>
                      <w:color w:val="auto"/>
                      <w:spacing w:val="0"/>
                      <w:sz w:val="21"/>
                      <w:szCs w:val="21"/>
                    </w:rPr>
                    <w:t>是否符合</w:t>
                  </w:r>
                </w:p>
              </w:tc>
            </w:tr>
            <w:tr w14:paraId="0E3E5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90" w:hRule="atLeast"/>
                <w:jc w:val="center"/>
              </w:trPr>
              <w:tc>
                <w:tcPr>
                  <w:tcW w:w="7695" w:type="dxa"/>
                  <w:gridSpan w:val="5"/>
                  <w:noWrap w:val="0"/>
                  <w:tcMar>
                    <w:top w:w="28" w:type="dxa"/>
                    <w:bottom w:w="57" w:type="dxa"/>
                  </w:tcMar>
                  <w:vAlign w:val="center"/>
                </w:tcPr>
                <w:p w14:paraId="314027A3">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bCs/>
                      <w:color w:val="auto"/>
                      <w:spacing w:val="0"/>
                      <w:sz w:val="21"/>
                      <w:szCs w:val="21"/>
                    </w:rPr>
                  </w:pPr>
                  <w:r>
                    <w:rPr>
                      <w:rFonts w:hint="eastAsia" w:ascii="Times New Roman" w:hAnsi="Times New Roman" w:eastAsia="宋体" w:cs="Times New Roman"/>
                      <w:color w:val="auto"/>
                      <w:spacing w:val="0"/>
                      <w:kern w:val="2"/>
                      <w:sz w:val="21"/>
                      <w:szCs w:val="21"/>
                      <w:lang w:val="en-US" w:eastAsia="zh-CN" w:bidi="ar-SA"/>
                    </w:rPr>
                    <w:t>河南省生态环境总体准入要求（重点管控单元）</w:t>
                  </w:r>
                </w:p>
              </w:tc>
            </w:tr>
            <w:tr w14:paraId="3875F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591" w:type="dxa"/>
                  <w:gridSpan w:val="2"/>
                  <w:noWrap w:val="0"/>
                  <w:tcMar>
                    <w:top w:w="28" w:type="dxa"/>
                    <w:bottom w:w="57" w:type="dxa"/>
                  </w:tcMar>
                  <w:vAlign w:val="center"/>
                </w:tcPr>
                <w:p w14:paraId="6EF13604">
                  <w:pPr>
                    <w:pStyle w:val="74"/>
                    <w:keepNext w:val="0"/>
                    <w:keepLines w:val="0"/>
                    <w:pageBreakBefore w:val="0"/>
                    <w:kinsoku/>
                    <w:overflowPunct/>
                    <w:topLinePunct w:val="0"/>
                    <w:autoSpaceDE/>
                    <w:autoSpaceDN/>
                    <w:bidi w:val="0"/>
                    <w:spacing w:line="240" w:lineRule="auto"/>
                    <w:ind w:firstLine="0" w:firstLineChars="0"/>
                    <w:rPr>
                      <w:rFonts w:ascii="Times New Roman" w:hAnsi="Times New Roman"/>
                      <w:bCs/>
                      <w:snapToGrid w:val="0"/>
                      <w:color w:val="auto"/>
                      <w:spacing w:val="0"/>
                      <w:sz w:val="21"/>
                      <w:szCs w:val="21"/>
                    </w:rPr>
                  </w:pPr>
                  <w:r>
                    <w:rPr>
                      <w:rFonts w:hint="default" w:ascii="Times New Roman" w:hAnsi="Times New Roman" w:cs="Times New Roman"/>
                      <w:b w:val="0"/>
                      <w:bCs/>
                      <w:color w:val="auto"/>
                      <w:spacing w:val="0"/>
                      <w:sz w:val="21"/>
                      <w:szCs w:val="21"/>
                    </w:rPr>
                    <w:t>空间布局约束</w:t>
                  </w:r>
                </w:p>
              </w:tc>
              <w:tc>
                <w:tcPr>
                  <w:tcW w:w="4137" w:type="dxa"/>
                  <w:noWrap w:val="0"/>
                  <w:tcMar>
                    <w:top w:w="28" w:type="dxa"/>
                    <w:bottom w:w="57" w:type="dxa"/>
                  </w:tcMar>
                  <w:vAlign w:val="center"/>
                </w:tcPr>
                <w:p w14:paraId="42CF66B5">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Cs/>
                      <w:color w:val="auto"/>
                      <w:spacing w:val="0"/>
                      <w:sz w:val="21"/>
                      <w:szCs w:val="21"/>
                    </w:rPr>
                  </w:pPr>
                  <w:r>
                    <w:rPr>
                      <w:rFonts w:hint="default" w:ascii="Times New Roman" w:hAnsi="Times New Roman" w:cs="Times New Roman"/>
                      <w:bCs/>
                      <w:color w:val="auto"/>
                      <w:spacing w:val="0"/>
                      <w:sz w:val="21"/>
                      <w:szCs w:val="21"/>
                    </w:rPr>
                    <w:t>1.根据国家产业政策、区域定位及环境特征等，建立差别化的产业准入要求，鼓励建设符合规划环评的项目。</w:t>
                  </w:r>
                </w:p>
                <w:p w14:paraId="082A666F">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Cs/>
                      <w:color w:val="auto"/>
                      <w:spacing w:val="0"/>
                      <w:sz w:val="21"/>
                      <w:szCs w:val="21"/>
                    </w:rPr>
                  </w:pPr>
                  <w:r>
                    <w:rPr>
                      <w:rFonts w:hint="default" w:ascii="Times New Roman" w:hAnsi="Times New Roman" w:cs="Times New Roman"/>
                      <w:bCs/>
                      <w:color w:val="auto"/>
                      <w:spacing w:val="0"/>
                      <w:sz w:val="21"/>
                      <w:szCs w:val="21"/>
                    </w:rPr>
                    <w:t>2.推行绿色制造，支持创建绿色工厂、绿色园区、绿色供应链。</w:t>
                  </w:r>
                </w:p>
                <w:p w14:paraId="3684ABC4">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Cs/>
                      <w:color w:val="auto"/>
                      <w:spacing w:val="0"/>
                      <w:sz w:val="21"/>
                      <w:szCs w:val="21"/>
                    </w:rPr>
                  </w:pPr>
                  <w:r>
                    <w:rPr>
                      <w:rFonts w:hint="default" w:ascii="Times New Roman" w:hAnsi="Times New Roman" w:cs="Times New Roman"/>
                      <w:bCs/>
                      <w:color w:val="auto"/>
                      <w:spacing w:val="0"/>
                      <w:sz w:val="21"/>
                      <w:szCs w:val="21"/>
                    </w:rPr>
                    <w:t>3.推进新建石化化工项目向资源环境优势基地集中，引导化工项目进区入园，促进高水平集聚发展。</w:t>
                  </w:r>
                </w:p>
                <w:p w14:paraId="06021A24">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Cs/>
                      <w:color w:val="auto"/>
                      <w:spacing w:val="0"/>
                      <w:sz w:val="21"/>
                      <w:szCs w:val="21"/>
                    </w:rPr>
                  </w:pPr>
                  <w:r>
                    <w:rPr>
                      <w:rFonts w:hint="default" w:ascii="Times New Roman" w:hAnsi="Times New Roman" w:cs="Times New Roman"/>
                      <w:bCs/>
                      <w:color w:val="auto"/>
                      <w:spacing w:val="0"/>
                      <w:sz w:val="21"/>
                      <w:szCs w:val="21"/>
                    </w:rPr>
                    <w:t>4.强化环境准入约束，坚决遏制“两高一低”项目盲目发展，对不符合规定的项目坚决停批停建。</w:t>
                  </w:r>
                </w:p>
                <w:p w14:paraId="7F360E77">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Cs/>
                      <w:color w:val="auto"/>
                      <w:spacing w:val="0"/>
                      <w:sz w:val="21"/>
                      <w:szCs w:val="21"/>
                    </w:rPr>
                  </w:pPr>
                  <w:r>
                    <w:rPr>
                      <w:rFonts w:hint="default" w:ascii="Times New Roman" w:hAnsi="Times New Roman" w:cs="Times New Roman"/>
                      <w:bCs/>
                      <w:color w:val="auto"/>
                      <w:spacing w:val="0"/>
                      <w:sz w:val="21"/>
                      <w:szCs w:val="21"/>
                    </w:rPr>
                    <w:t>5.涉及产能置换的项目，被置换产能及其配套设施关停后，新建项目方可投产。</w:t>
                  </w:r>
                </w:p>
                <w:p w14:paraId="1C4A4359">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Cs/>
                      <w:color w:val="auto"/>
                      <w:spacing w:val="0"/>
                      <w:sz w:val="21"/>
                      <w:szCs w:val="21"/>
                    </w:rPr>
                  </w:pPr>
                  <w:r>
                    <w:rPr>
                      <w:rFonts w:hint="default" w:ascii="Times New Roman" w:hAnsi="Times New Roman" w:cs="Times New Roman"/>
                      <w:bCs/>
                      <w:color w:val="auto"/>
                      <w:spacing w:val="0"/>
                      <w:sz w:val="21"/>
                      <w:szCs w:val="21"/>
                    </w:rPr>
                    <w:t>6.加快城市建成区内重污染企业就地改造、退城入园、转型转产或关闭退出。</w:t>
                  </w:r>
                </w:p>
                <w:p w14:paraId="560E64D9">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Cs/>
                      <w:color w:val="auto"/>
                      <w:spacing w:val="0"/>
                      <w:sz w:val="21"/>
                      <w:szCs w:val="21"/>
                    </w:rPr>
                  </w:pPr>
                  <w:r>
                    <w:rPr>
                      <w:rFonts w:hint="default" w:ascii="Times New Roman" w:hAnsi="Times New Roman" w:cs="Times New Roman"/>
                      <w:bCs/>
                      <w:color w:val="auto"/>
                      <w:spacing w:val="0"/>
                      <w:sz w:val="21"/>
                      <w:szCs w:val="21"/>
                    </w:rPr>
                    <w:t>7.将土壤环境要求纳入国土空间规划，根据土壤污染状况和风险合理规划土地用途。对列入建设用地土壤污染风险管控和修复名录的地块，不得作为住宅、公共管理与公共服务用地；不得办理土地征收、回购、收购、土地供应以及改变土地用途等手续。</w:t>
                  </w:r>
                </w:p>
                <w:p w14:paraId="409E99FA">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Cs/>
                      <w:color w:val="auto"/>
                      <w:spacing w:val="0"/>
                      <w:sz w:val="21"/>
                      <w:szCs w:val="21"/>
                    </w:rPr>
                  </w:pPr>
                  <w:r>
                    <w:rPr>
                      <w:rFonts w:hint="default" w:ascii="Times New Roman" w:hAnsi="Times New Roman" w:cs="Times New Roman"/>
                      <w:bCs/>
                      <w:color w:val="auto"/>
                      <w:spacing w:val="0"/>
                      <w:sz w:val="21"/>
                      <w:szCs w:val="21"/>
                    </w:rPr>
                    <w:t>8.在集中供热管网覆盖地区，禁止新建、扩建分散燃煤供热锅炉。</w:t>
                  </w:r>
                </w:p>
              </w:tc>
              <w:tc>
                <w:tcPr>
                  <w:tcW w:w="2628" w:type="dxa"/>
                  <w:noWrap w:val="0"/>
                  <w:vAlign w:val="center"/>
                </w:tcPr>
                <w:p w14:paraId="59CEB052">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val="en-US" w:eastAsia="zh-CN"/>
                    </w:rPr>
                  </w:pPr>
                  <w:r>
                    <w:rPr>
                      <w:rFonts w:hint="default" w:ascii="Times New Roman" w:hAnsi="Times New Roman" w:cs="Times New Roman"/>
                      <w:b w:val="0"/>
                      <w:bCs/>
                      <w:color w:val="auto"/>
                      <w:spacing w:val="0"/>
                      <w:sz w:val="21"/>
                      <w:szCs w:val="21"/>
                      <w:u w:val="none"/>
                      <w:lang w:val="en-US" w:eastAsia="zh-CN"/>
                    </w:rPr>
                    <w:t>1.本项目</w:t>
                  </w:r>
                  <w:r>
                    <w:rPr>
                      <w:rFonts w:hint="eastAsia" w:ascii="Times New Roman" w:hAnsi="Times New Roman" w:cs="Times New Roman"/>
                      <w:b w:val="0"/>
                      <w:bCs/>
                      <w:color w:val="auto"/>
                      <w:spacing w:val="0"/>
                      <w:sz w:val="21"/>
                      <w:szCs w:val="21"/>
                      <w:u w:val="none"/>
                      <w:lang w:val="en-US" w:eastAsia="zh-CN"/>
                    </w:rPr>
                    <w:t>位于新乡市新乡县翟坡镇东大阳堤村村西中央大道东侧，</w:t>
                  </w:r>
                  <w:r>
                    <w:rPr>
                      <w:rFonts w:hint="default" w:ascii="Times New Roman" w:hAnsi="Times New Roman" w:cs="Times New Roman"/>
                      <w:b w:val="0"/>
                      <w:bCs/>
                      <w:color w:val="auto"/>
                      <w:spacing w:val="0"/>
                      <w:sz w:val="21"/>
                      <w:szCs w:val="21"/>
                      <w:u w:val="none"/>
                      <w:lang w:val="en-US" w:eastAsia="zh-CN"/>
                    </w:rPr>
                    <w:t>符合国家产业政策。</w:t>
                  </w:r>
                </w:p>
                <w:p w14:paraId="01819473">
                  <w:pPr>
                    <w:pStyle w:val="74"/>
                    <w:keepNext w:val="0"/>
                    <w:keepLines w:val="0"/>
                    <w:pageBreakBefore w:val="0"/>
                    <w:suppressLineNumbers w:val="0"/>
                    <w:kinsoku/>
                    <w:overflowPunct/>
                    <w:topLinePunct w:val="0"/>
                    <w:autoSpaceDE/>
                    <w:autoSpaceDN/>
                    <w:bidi w:val="0"/>
                    <w:spacing w:before="0" w:beforeAutospacing="0" w:after="0" w:afterAutospacing="0" w:line="240" w:lineRule="auto"/>
                    <w:ind w:left="0" w:right="0" w:firstLine="0" w:firstLineChars="0"/>
                    <w:rPr>
                      <w:rFonts w:hint="default" w:ascii="Times New Roman" w:hAnsi="Times New Roman" w:cs="Times New Roman"/>
                      <w:b w:val="0"/>
                      <w:bCs/>
                      <w:color w:val="auto"/>
                      <w:spacing w:val="0"/>
                      <w:sz w:val="21"/>
                      <w:szCs w:val="21"/>
                      <w:u w:val="none"/>
                      <w:lang w:val="en-US" w:eastAsia="zh-CN"/>
                    </w:rPr>
                  </w:pPr>
                  <w:r>
                    <w:rPr>
                      <w:rFonts w:hint="default" w:ascii="Times New Roman" w:hAnsi="Times New Roman" w:cs="Times New Roman"/>
                      <w:b w:val="0"/>
                      <w:bCs/>
                      <w:color w:val="auto"/>
                      <w:spacing w:val="0"/>
                      <w:sz w:val="21"/>
                      <w:szCs w:val="21"/>
                      <w:u w:val="none"/>
                      <w:lang w:val="en-US" w:eastAsia="zh-CN"/>
                    </w:rPr>
                    <w:t>2.</w:t>
                  </w:r>
                  <w:r>
                    <w:rPr>
                      <w:rFonts w:hint="eastAsia"/>
                      <w:color w:val="auto"/>
                      <w:spacing w:val="0"/>
                      <w:sz w:val="21"/>
                      <w:szCs w:val="21"/>
                    </w:rPr>
                    <w:t>本项目积极推行绿色工厂建造。</w:t>
                  </w:r>
                </w:p>
                <w:p w14:paraId="402061AC">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val="en-US" w:eastAsia="zh-CN"/>
                    </w:rPr>
                  </w:pPr>
                  <w:r>
                    <w:rPr>
                      <w:rFonts w:hint="default" w:ascii="Times New Roman" w:hAnsi="Times New Roman" w:cs="Times New Roman"/>
                      <w:b w:val="0"/>
                      <w:bCs/>
                      <w:color w:val="auto"/>
                      <w:spacing w:val="0"/>
                      <w:sz w:val="21"/>
                      <w:szCs w:val="21"/>
                      <w:u w:val="none"/>
                      <w:lang w:val="en-US" w:eastAsia="zh-CN"/>
                    </w:rPr>
                    <w:t>3.</w:t>
                  </w:r>
                  <w:r>
                    <w:rPr>
                      <w:rFonts w:hint="eastAsia" w:ascii="Times New Roman" w:hAnsi="Times New Roman" w:cs="Times New Roman"/>
                      <w:b w:val="0"/>
                      <w:bCs/>
                      <w:color w:val="auto"/>
                      <w:spacing w:val="0"/>
                      <w:sz w:val="21"/>
                      <w:szCs w:val="21"/>
                      <w:u w:val="none"/>
                      <w:lang w:val="en-US" w:eastAsia="zh-CN"/>
                    </w:rPr>
                    <w:t>本</w:t>
                  </w:r>
                  <w:r>
                    <w:rPr>
                      <w:rFonts w:hint="default" w:ascii="Times New Roman" w:hAnsi="Times New Roman" w:cs="Times New Roman"/>
                      <w:b w:val="0"/>
                      <w:bCs/>
                      <w:color w:val="auto"/>
                      <w:spacing w:val="0"/>
                      <w:sz w:val="21"/>
                      <w:szCs w:val="21"/>
                      <w:u w:val="none"/>
                      <w:lang w:val="en-US" w:eastAsia="zh-CN"/>
                    </w:rPr>
                    <w:t>项目不涉及。</w:t>
                  </w:r>
                </w:p>
                <w:p w14:paraId="442FF204">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eastAsia="zh-CN"/>
                    </w:rPr>
                  </w:pPr>
                  <w:r>
                    <w:rPr>
                      <w:rFonts w:hint="default" w:ascii="Times New Roman" w:hAnsi="Times New Roman" w:cs="Times New Roman"/>
                      <w:b w:val="0"/>
                      <w:bCs/>
                      <w:color w:val="auto"/>
                      <w:spacing w:val="0"/>
                      <w:sz w:val="21"/>
                      <w:szCs w:val="21"/>
                      <w:u w:val="none"/>
                      <w:lang w:val="en-US" w:eastAsia="zh-CN"/>
                    </w:rPr>
                    <w:t>4.本项目</w:t>
                  </w:r>
                  <w:r>
                    <w:rPr>
                      <w:rFonts w:hint="eastAsia" w:ascii="Times New Roman" w:hAnsi="Times New Roman" w:cs="Times New Roman"/>
                      <w:b w:val="0"/>
                      <w:bCs/>
                      <w:color w:val="auto"/>
                      <w:spacing w:val="0"/>
                      <w:sz w:val="21"/>
                      <w:szCs w:val="21"/>
                      <w:u w:val="none"/>
                      <w:lang w:val="en-US" w:eastAsia="zh-CN"/>
                    </w:rPr>
                    <w:t>不属于“两高一低”项目</w:t>
                  </w:r>
                  <w:r>
                    <w:rPr>
                      <w:rFonts w:hint="default" w:ascii="Times New Roman" w:hAnsi="Times New Roman" w:cs="Times New Roman"/>
                      <w:b w:val="0"/>
                      <w:bCs/>
                      <w:color w:val="auto"/>
                      <w:spacing w:val="0"/>
                      <w:sz w:val="21"/>
                      <w:szCs w:val="21"/>
                      <w:u w:val="none"/>
                      <w:lang w:eastAsia="zh-CN"/>
                    </w:rPr>
                    <w:t>。</w:t>
                  </w:r>
                </w:p>
                <w:p w14:paraId="24E7C798">
                  <w:pPr>
                    <w:pStyle w:val="74"/>
                    <w:keepNext w:val="0"/>
                    <w:keepLines w:val="0"/>
                    <w:pageBreakBefore w:val="0"/>
                    <w:numPr>
                      <w:ilvl w:val="0"/>
                      <w:numId w:val="0"/>
                    </w:numPr>
                    <w:kinsoku/>
                    <w:overflowPunct/>
                    <w:topLinePunct w:val="0"/>
                    <w:autoSpaceDE/>
                    <w:autoSpaceDN/>
                    <w:bidi w:val="0"/>
                    <w:spacing w:line="240" w:lineRule="auto"/>
                    <w:ind w:firstLine="0" w:firstLineChars="0"/>
                    <w:rPr>
                      <w:rFonts w:hint="eastAsia" w:ascii="Times New Roman" w:hAnsi="Times New Roman" w:eastAsia="宋体" w:cs="Times New Roman"/>
                      <w:b w:val="0"/>
                      <w:bCs/>
                      <w:color w:val="auto"/>
                      <w:spacing w:val="0"/>
                      <w:sz w:val="21"/>
                      <w:szCs w:val="21"/>
                      <w:u w:val="none"/>
                      <w:lang w:val="en-US" w:eastAsia="zh-CN"/>
                    </w:rPr>
                  </w:pPr>
                  <w:r>
                    <w:rPr>
                      <w:rFonts w:hint="default" w:ascii="Times New Roman" w:hAnsi="Times New Roman" w:eastAsia="宋体" w:cs="Times New Roman"/>
                      <w:b w:val="0"/>
                      <w:bCs/>
                      <w:color w:val="auto"/>
                      <w:spacing w:val="0"/>
                      <w:sz w:val="21"/>
                      <w:szCs w:val="21"/>
                      <w:u w:val="none"/>
                      <w:lang w:val="en-US" w:eastAsia="zh-CN"/>
                    </w:rPr>
                    <w:t>5.</w:t>
                  </w:r>
                  <w:r>
                    <w:rPr>
                      <w:rFonts w:hint="eastAsia" w:ascii="Times New Roman" w:hAnsi="Times New Roman" w:eastAsia="宋体" w:cs="Times New Roman"/>
                      <w:b w:val="0"/>
                      <w:bCs/>
                      <w:color w:val="auto"/>
                      <w:spacing w:val="0"/>
                      <w:sz w:val="21"/>
                      <w:szCs w:val="21"/>
                      <w:u w:val="none"/>
                      <w:lang w:val="en-US" w:eastAsia="zh-CN"/>
                    </w:rPr>
                    <w:t>本项目不涉及。</w:t>
                  </w:r>
                </w:p>
                <w:p w14:paraId="51893F29">
                  <w:pPr>
                    <w:pStyle w:val="74"/>
                    <w:keepNext w:val="0"/>
                    <w:keepLines w:val="0"/>
                    <w:pageBreakBefore w:val="0"/>
                    <w:numPr>
                      <w:ilvl w:val="0"/>
                      <w:numId w:val="0"/>
                    </w:numPr>
                    <w:kinsoku/>
                    <w:overflowPunct/>
                    <w:topLinePunct w:val="0"/>
                    <w:autoSpaceDE/>
                    <w:autoSpaceDN/>
                    <w:bidi w:val="0"/>
                    <w:spacing w:line="240" w:lineRule="auto"/>
                    <w:ind w:firstLine="0" w:firstLineChars="0"/>
                    <w:rPr>
                      <w:rFonts w:hint="default" w:ascii="Times New Roman" w:hAnsi="Times New Roman" w:eastAsia="宋体" w:cs="Times New Roman"/>
                      <w:b w:val="0"/>
                      <w:bCs/>
                      <w:color w:val="auto"/>
                      <w:spacing w:val="0"/>
                      <w:sz w:val="21"/>
                      <w:szCs w:val="21"/>
                      <w:u w:val="none"/>
                      <w:lang w:val="en-US" w:eastAsia="zh-CN"/>
                    </w:rPr>
                  </w:pPr>
                  <w:r>
                    <w:rPr>
                      <w:rFonts w:hint="eastAsia" w:ascii="Times New Roman" w:hAnsi="Times New Roman" w:eastAsia="宋体" w:cs="Times New Roman"/>
                      <w:b w:val="0"/>
                      <w:bCs/>
                      <w:color w:val="auto"/>
                      <w:spacing w:val="0"/>
                      <w:sz w:val="21"/>
                      <w:szCs w:val="21"/>
                      <w:u w:val="none"/>
                      <w:lang w:val="en-US" w:eastAsia="zh-CN"/>
                    </w:rPr>
                    <w:t>6.本项目不涉及。</w:t>
                  </w:r>
                </w:p>
                <w:p w14:paraId="6FE7E628">
                  <w:pPr>
                    <w:pStyle w:val="74"/>
                    <w:keepNext w:val="0"/>
                    <w:keepLines w:val="0"/>
                    <w:pageBreakBefore w:val="0"/>
                    <w:numPr>
                      <w:ilvl w:val="0"/>
                      <w:numId w:val="0"/>
                    </w:numPr>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val="en-US" w:eastAsia="zh-CN"/>
                    </w:rPr>
                  </w:pPr>
                  <w:r>
                    <w:rPr>
                      <w:rFonts w:hint="eastAsia" w:ascii="Times New Roman" w:hAnsi="Times New Roman" w:eastAsia="宋体" w:cs="Times New Roman"/>
                      <w:b w:val="0"/>
                      <w:bCs/>
                      <w:color w:val="auto"/>
                      <w:spacing w:val="0"/>
                      <w:sz w:val="21"/>
                      <w:szCs w:val="21"/>
                      <w:u w:val="none"/>
                      <w:lang w:val="en-US" w:eastAsia="zh-CN"/>
                    </w:rPr>
                    <w:t>7.本</w:t>
                  </w:r>
                  <w:r>
                    <w:rPr>
                      <w:rFonts w:hint="default" w:ascii="Times New Roman" w:hAnsi="Times New Roman" w:eastAsia="宋体" w:cs="Times New Roman"/>
                      <w:b w:val="0"/>
                      <w:bCs/>
                      <w:color w:val="auto"/>
                      <w:spacing w:val="0"/>
                      <w:sz w:val="21"/>
                      <w:szCs w:val="21"/>
                      <w:u w:val="none"/>
                      <w:lang w:val="en-US" w:eastAsia="zh-CN"/>
                    </w:rPr>
                    <w:t>项目用地属于工业用地，不涉及改变土地用途</w:t>
                  </w:r>
                  <w:r>
                    <w:rPr>
                      <w:rFonts w:hint="default" w:ascii="Times New Roman" w:hAnsi="Times New Roman" w:cs="Times New Roman"/>
                      <w:b w:val="0"/>
                      <w:bCs/>
                      <w:color w:val="auto"/>
                      <w:spacing w:val="0"/>
                      <w:sz w:val="21"/>
                      <w:szCs w:val="21"/>
                      <w:u w:val="none"/>
                      <w:lang w:val="en-US" w:eastAsia="zh-CN"/>
                    </w:rPr>
                    <w:t>。</w:t>
                  </w:r>
                </w:p>
                <w:p w14:paraId="086D54E0">
                  <w:pPr>
                    <w:pStyle w:val="74"/>
                    <w:keepNext w:val="0"/>
                    <w:keepLines w:val="0"/>
                    <w:pageBreakBefore w:val="0"/>
                    <w:numPr>
                      <w:ilvl w:val="0"/>
                      <w:numId w:val="0"/>
                    </w:numPr>
                    <w:kinsoku/>
                    <w:overflowPunct/>
                    <w:topLinePunct w:val="0"/>
                    <w:autoSpaceDE/>
                    <w:autoSpaceDN/>
                    <w:bidi w:val="0"/>
                    <w:spacing w:line="240" w:lineRule="auto"/>
                    <w:ind w:firstLine="0" w:firstLineChars="0"/>
                    <w:rPr>
                      <w:rFonts w:hint="default" w:ascii="Times New Roman" w:hAnsi="Times New Roman" w:cs="Times New Roman"/>
                      <w:bCs/>
                      <w:color w:val="auto"/>
                      <w:spacing w:val="0"/>
                      <w:sz w:val="21"/>
                      <w:szCs w:val="21"/>
                    </w:rPr>
                  </w:pPr>
                  <w:r>
                    <w:rPr>
                      <w:rFonts w:hint="default" w:ascii="Times New Roman" w:hAnsi="Times New Roman" w:cs="Times New Roman"/>
                      <w:b w:val="0"/>
                      <w:bCs/>
                      <w:color w:val="auto"/>
                      <w:spacing w:val="0"/>
                      <w:sz w:val="21"/>
                      <w:szCs w:val="21"/>
                      <w:u w:val="none"/>
                      <w:lang w:val="en-US" w:eastAsia="zh-CN"/>
                    </w:rPr>
                    <w:t>8.</w:t>
                  </w:r>
                  <w:r>
                    <w:rPr>
                      <w:rFonts w:hint="eastAsia" w:ascii="Times New Roman" w:hAnsi="Times New Roman" w:cs="Times New Roman"/>
                      <w:color w:val="auto"/>
                      <w:spacing w:val="0"/>
                      <w:sz w:val="21"/>
                      <w:szCs w:val="21"/>
                      <w:lang w:eastAsia="zh-CN"/>
                    </w:rPr>
                    <w:t>本项目不涉及新建锅炉</w:t>
                  </w:r>
                  <w:r>
                    <w:rPr>
                      <w:rFonts w:hint="default" w:ascii="Times New Roman" w:hAnsi="Times New Roman" w:cs="Times New Roman"/>
                      <w:color w:val="auto"/>
                      <w:spacing w:val="0"/>
                      <w:sz w:val="21"/>
                      <w:szCs w:val="21"/>
                    </w:rPr>
                    <w:t>。</w:t>
                  </w:r>
                </w:p>
              </w:tc>
              <w:tc>
                <w:tcPr>
                  <w:tcW w:w="339" w:type="dxa"/>
                  <w:noWrap w:val="0"/>
                  <w:vAlign w:val="center"/>
                </w:tcPr>
                <w:p w14:paraId="5359941D">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bCs/>
                      <w:color w:val="auto"/>
                      <w:spacing w:val="0"/>
                      <w:sz w:val="21"/>
                      <w:szCs w:val="21"/>
                      <w:lang w:eastAsia="zh-CN"/>
                    </w:rPr>
                  </w:pPr>
                  <w:r>
                    <w:rPr>
                      <w:rFonts w:hint="eastAsia"/>
                      <w:bCs/>
                      <w:color w:val="auto"/>
                      <w:spacing w:val="0"/>
                      <w:sz w:val="21"/>
                      <w:szCs w:val="21"/>
                      <w:lang w:eastAsia="zh-CN"/>
                    </w:rPr>
                    <w:t>符合</w:t>
                  </w:r>
                </w:p>
              </w:tc>
            </w:tr>
            <w:tr w14:paraId="38AFB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591" w:type="dxa"/>
                  <w:gridSpan w:val="2"/>
                  <w:noWrap w:val="0"/>
                  <w:tcMar>
                    <w:top w:w="28" w:type="dxa"/>
                    <w:bottom w:w="57" w:type="dxa"/>
                  </w:tcMar>
                  <w:vAlign w:val="center"/>
                </w:tcPr>
                <w:p w14:paraId="40478C12">
                  <w:pPr>
                    <w:pStyle w:val="74"/>
                    <w:keepNext w:val="0"/>
                    <w:keepLines w:val="0"/>
                    <w:pageBreakBefore w:val="0"/>
                    <w:kinsoku/>
                    <w:overflowPunct/>
                    <w:topLinePunct w:val="0"/>
                    <w:autoSpaceDE/>
                    <w:autoSpaceDN/>
                    <w:bidi w:val="0"/>
                    <w:spacing w:line="240" w:lineRule="auto"/>
                    <w:ind w:firstLine="0" w:firstLineChars="0"/>
                    <w:rPr>
                      <w:rFonts w:ascii="Times New Roman" w:hAnsi="Times New Roman"/>
                      <w:bCs/>
                      <w:snapToGrid w:val="0"/>
                      <w:color w:val="auto"/>
                      <w:spacing w:val="0"/>
                      <w:sz w:val="21"/>
                      <w:szCs w:val="21"/>
                    </w:rPr>
                  </w:pPr>
                  <w:r>
                    <w:rPr>
                      <w:rFonts w:hint="default" w:ascii="Times New Roman" w:hAnsi="Times New Roman" w:cs="Times New Roman"/>
                      <w:b w:val="0"/>
                      <w:bCs/>
                      <w:color w:val="auto"/>
                      <w:spacing w:val="0"/>
                      <w:sz w:val="21"/>
                      <w:szCs w:val="21"/>
                    </w:rPr>
                    <w:t>污染物排放管控</w:t>
                  </w:r>
                </w:p>
              </w:tc>
              <w:tc>
                <w:tcPr>
                  <w:tcW w:w="4137" w:type="dxa"/>
                  <w:noWrap w:val="0"/>
                  <w:tcMar>
                    <w:top w:w="28" w:type="dxa"/>
                    <w:bottom w:w="57" w:type="dxa"/>
                  </w:tcMar>
                  <w:vAlign w:val="center"/>
                </w:tcPr>
                <w:p w14:paraId="1187E85B">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 w:val="0"/>
                      <w:bCs/>
                      <w:color w:val="auto"/>
                      <w:spacing w:val="0"/>
                      <w:sz w:val="21"/>
                      <w:szCs w:val="21"/>
                    </w:rPr>
                  </w:pPr>
                  <w:r>
                    <w:rPr>
                      <w:rFonts w:hint="default" w:ascii="Times New Roman" w:hAnsi="Times New Roman" w:cs="Times New Roman"/>
                      <w:b w:val="0"/>
                      <w:bCs/>
                      <w:color w:val="auto"/>
                      <w:spacing w:val="0"/>
                      <w:sz w:val="21"/>
                      <w:szCs w:val="21"/>
                    </w:rPr>
                    <w:t>1.重点行业建设项目应满足区域、流域控制单元环境质量改善目标管理要求。</w:t>
                  </w:r>
                </w:p>
                <w:p w14:paraId="21CCB304">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 w:val="0"/>
                      <w:bCs/>
                      <w:color w:val="auto"/>
                      <w:spacing w:val="0"/>
                      <w:sz w:val="21"/>
                      <w:szCs w:val="21"/>
                    </w:rPr>
                  </w:pPr>
                  <w:r>
                    <w:rPr>
                      <w:rFonts w:hint="default" w:ascii="Times New Roman" w:hAnsi="Times New Roman" w:cs="Times New Roman"/>
                      <w:b w:val="0"/>
                      <w:bCs/>
                      <w:color w:val="auto"/>
                      <w:spacing w:val="0"/>
                      <w:sz w:val="21"/>
                      <w:szCs w:val="21"/>
                    </w:rPr>
                    <w:t>2.强化项目环评及“三同时”管理。新建、扩建“两高”项目应采用先进的工艺技术和装备，单位产品污染物排放强度应达到清洁生产先进水平，其中，国家、省绩效分级重点行业新建、扩建项目达到 A 级水平，改建项目达到 B 级以上水平。</w:t>
                  </w:r>
                </w:p>
                <w:p w14:paraId="22E57A96">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 w:val="0"/>
                      <w:bCs/>
                      <w:color w:val="auto"/>
                      <w:spacing w:val="0"/>
                      <w:sz w:val="21"/>
                      <w:szCs w:val="21"/>
                    </w:rPr>
                  </w:pPr>
                  <w:r>
                    <w:rPr>
                      <w:rFonts w:hint="default" w:ascii="Times New Roman" w:hAnsi="Times New Roman" w:cs="Times New Roman"/>
                      <w:b w:val="0"/>
                      <w:bCs/>
                      <w:color w:val="auto"/>
                      <w:spacing w:val="0"/>
                      <w:sz w:val="21"/>
                      <w:szCs w:val="21"/>
                    </w:rPr>
                    <w:t>3.以钢铁、焦化、铸造、建材、有色、石化、化工、工业涂装、包装印刷、电镀、制革、石油开采、造纸、纺织印染、农副食品加工等行业为重点，开展全流程清洁化、循环化、低碳化改造；加快推进钢铁、水泥、焦化行业超低排放改造。</w:t>
                  </w:r>
                </w:p>
                <w:p w14:paraId="45CDD7A0">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 w:val="0"/>
                      <w:bCs/>
                      <w:color w:val="auto"/>
                      <w:spacing w:val="0"/>
                      <w:sz w:val="21"/>
                      <w:szCs w:val="21"/>
                    </w:rPr>
                  </w:pPr>
                  <w:r>
                    <w:rPr>
                      <w:rFonts w:hint="default" w:ascii="Times New Roman" w:hAnsi="Times New Roman" w:cs="Times New Roman"/>
                      <w:b w:val="0"/>
                      <w:bCs/>
                      <w:color w:val="auto"/>
                      <w:spacing w:val="0"/>
                      <w:sz w:val="21"/>
                      <w:szCs w:val="21"/>
                    </w:rPr>
                    <w:t>4.深入推进低挥发性有机物含量原辅材料源头替代，全面推广使用低挥发性有机物含量的涂料、油墨、胶粘剂、清洗剂等新兴原辅材料。</w:t>
                  </w:r>
                </w:p>
                <w:p w14:paraId="2008A5E0">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 w:val="0"/>
                      <w:bCs/>
                      <w:color w:val="auto"/>
                      <w:spacing w:val="0"/>
                      <w:sz w:val="21"/>
                      <w:szCs w:val="21"/>
                    </w:rPr>
                  </w:pPr>
                  <w:r>
                    <w:rPr>
                      <w:rFonts w:hint="default" w:ascii="Times New Roman" w:hAnsi="Times New Roman" w:cs="Times New Roman"/>
                      <w:b w:val="0"/>
                      <w:bCs/>
                      <w:color w:val="auto"/>
                      <w:spacing w:val="0"/>
                      <w:sz w:val="21"/>
                      <w:szCs w:val="21"/>
                    </w:rPr>
                    <w:t>5.采矿项目矿井涌水应尽可能回用生产或综合利用，外排矿井涌水应满足受纳水体水功能区划和控制断面水质要求；选厂的生产废水及初期雨水、矿石及废石场的淋溶水、尾矿库澄清水及渗滤水应收集回用，不外排。</w:t>
                  </w:r>
                </w:p>
                <w:p w14:paraId="3323981B">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 w:val="0"/>
                      <w:bCs/>
                      <w:color w:val="auto"/>
                      <w:spacing w:val="0"/>
                      <w:sz w:val="21"/>
                      <w:szCs w:val="21"/>
                    </w:rPr>
                  </w:pPr>
                  <w:r>
                    <w:rPr>
                      <w:rFonts w:hint="default" w:ascii="Times New Roman" w:hAnsi="Times New Roman" w:cs="Times New Roman"/>
                      <w:b w:val="0"/>
                      <w:bCs/>
                      <w:color w:val="auto"/>
                      <w:spacing w:val="0"/>
                      <w:sz w:val="21"/>
                      <w:szCs w:val="21"/>
                    </w:rPr>
                    <w:t>6.新建、扩建开发区、工业园区同步规划建设污水收集和集中处理设施，强化工业废水处理设施运行管理，确保稳定达标排放；按照“减量化、稳定化、无害化、资源化”要求，加快城镇污水处理厂污泥处理设施建设，新建污水处理厂必须有明确的污泥处置途径；依法查处取缔非法污泥堆放点，禁止重金属等污染物不达标的污泥进行土地利用。</w:t>
                  </w:r>
                </w:p>
                <w:p w14:paraId="405A1B9F">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Cs/>
                      <w:color w:val="auto"/>
                      <w:spacing w:val="0"/>
                      <w:sz w:val="21"/>
                      <w:szCs w:val="21"/>
                    </w:rPr>
                  </w:pPr>
                  <w:r>
                    <w:rPr>
                      <w:rFonts w:hint="default" w:ascii="Times New Roman" w:hAnsi="Times New Roman" w:cs="Times New Roman"/>
                      <w:b w:val="0"/>
                      <w:bCs/>
                      <w:color w:val="auto"/>
                      <w:spacing w:val="0"/>
                      <w:sz w:val="21"/>
                      <w:szCs w:val="21"/>
                    </w:rPr>
                    <w:t>7.鼓励企业采用先进治理技术，打造行业噪声污染治理示范典型。排放噪声的工业企业应切实采取减振降噪措施，加强厂区内固定设备、运输工具、货物装卸等噪声源管理，同时避免突发噪声扰民。</w:t>
                  </w:r>
                </w:p>
              </w:tc>
              <w:tc>
                <w:tcPr>
                  <w:tcW w:w="2628" w:type="dxa"/>
                  <w:noWrap w:val="0"/>
                  <w:vAlign w:val="center"/>
                </w:tcPr>
                <w:p w14:paraId="1FB0A25E">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val="en-US" w:eastAsia="zh-CN"/>
                    </w:rPr>
                  </w:pPr>
                  <w:r>
                    <w:rPr>
                      <w:rFonts w:hint="default" w:ascii="Times New Roman" w:hAnsi="Times New Roman" w:cs="Times New Roman"/>
                      <w:b w:val="0"/>
                      <w:bCs/>
                      <w:color w:val="auto"/>
                      <w:spacing w:val="0"/>
                      <w:sz w:val="21"/>
                      <w:szCs w:val="21"/>
                      <w:u w:val="none"/>
                      <w:lang w:val="en-US" w:eastAsia="zh-CN"/>
                    </w:rPr>
                    <w:t>1.本项目</w:t>
                  </w:r>
                  <w:r>
                    <w:rPr>
                      <w:rFonts w:hint="default" w:ascii="Times New Roman" w:hAnsi="Times New Roman" w:cs="Times New Roman"/>
                      <w:b w:val="0"/>
                      <w:bCs/>
                      <w:color w:val="auto"/>
                      <w:spacing w:val="0"/>
                      <w:sz w:val="21"/>
                      <w:szCs w:val="21"/>
                    </w:rPr>
                    <w:t>满足区域、流域控制单元环境质量改善目标管理要求</w:t>
                  </w:r>
                  <w:r>
                    <w:rPr>
                      <w:rFonts w:hint="default" w:ascii="Times New Roman" w:hAnsi="Times New Roman" w:cs="Times New Roman"/>
                      <w:b w:val="0"/>
                      <w:bCs/>
                      <w:color w:val="auto"/>
                      <w:spacing w:val="0"/>
                      <w:sz w:val="21"/>
                      <w:szCs w:val="21"/>
                      <w:u w:val="none"/>
                      <w:lang w:val="en-US" w:eastAsia="zh-CN"/>
                    </w:rPr>
                    <w:t>。</w:t>
                  </w:r>
                </w:p>
                <w:p w14:paraId="25F9BA2A">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eastAsia="zh-CN"/>
                    </w:rPr>
                  </w:pPr>
                  <w:r>
                    <w:rPr>
                      <w:rFonts w:hint="default" w:ascii="Times New Roman" w:hAnsi="Times New Roman" w:cs="Times New Roman"/>
                      <w:b w:val="0"/>
                      <w:bCs/>
                      <w:color w:val="auto"/>
                      <w:spacing w:val="0"/>
                      <w:sz w:val="21"/>
                      <w:szCs w:val="21"/>
                      <w:u w:val="none"/>
                      <w:lang w:val="en-US" w:eastAsia="zh-CN"/>
                    </w:rPr>
                    <w:t>2.本项目</w:t>
                  </w:r>
                  <w:r>
                    <w:rPr>
                      <w:rFonts w:hint="eastAsia" w:ascii="Times New Roman" w:hAnsi="Times New Roman" w:cs="Times New Roman"/>
                      <w:b w:val="0"/>
                      <w:bCs/>
                      <w:color w:val="auto"/>
                      <w:spacing w:val="0"/>
                      <w:sz w:val="21"/>
                      <w:szCs w:val="21"/>
                      <w:u w:val="none"/>
                      <w:lang w:val="en-US" w:eastAsia="zh-CN"/>
                    </w:rPr>
                    <w:t>建成后将严格执行</w:t>
                  </w:r>
                  <w:r>
                    <w:rPr>
                      <w:rFonts w:hint="default" w:ascii="Times New Roman" w:hAnsi="Times New Roman" w:cs="Times New Roman"/>
                      <w:b w:val="0"/>
                      <w:bCs/>
                      <w:color w:val="auto"/>
                      <w:spacing w:val="0"/>
                      <w:sz w:val="21"/>
                      <w:szCs w:val="21"/>
                      <w:u w:val="none"/>
                      <w:lang w:val="en-US" w:eastAsia="zh-CN"/>
                    </w:rPr>
                    <w:t>环评及“三同时”</w:t>
                  </w:r>
                  <w:r>
                    <w:rPr>
                      <w:rFonts w:hint="eastAsia" w:ascii="Times New Roman" w:hAnsi="Times New Roman" w:cs="Times New Roman"/>
                      <w:b w:val="0"/>
                      <w:bCs/>
                      <w:color w:val="auto"/>
                      <w:spacing w:val="0"/>
                      <w:sz w:val="21"/>
                      <w:szCs w:val="21"/>
                      <w:u w:val="none"/>
                      <w:lang w:val="en-US" w:eastAsia="zh-CN"/>
                    </w:rPr>
                    <w:t>管理</w:t>
                  </w:r>
                  <w:r>
                    <w:rPr>
                      <w:rFonts w:hint="default" w:ascii="Times New Roman" w:hAnsi="Times New Roman" w:cs="Times New Roman"/>
                      <w:b w:val="0"/>
                      <w:bCs/>
                      <w:color w:val="auto"/>
                      <w:spacing w:val="0"/>
                      <w:sz w:val="21"/>
                      <w:szCs w:val="21"/>
                      <w:u w:val="none"/>
                      <w:lang w:val="en-US" w:eastAsia="zh-CN"/>
                    </w:rPr>
                    <w:t>要求，</w:t>
                  </w:r>
                  <w:r>
                    <w:rPr>
                      <w:rFonts w:hint="eastAsia" w:ascii="Times New Roman" w:hAnsi="Times New Roman" w:cs="Times New Roman"/>
                      <w:b w:val="0"/>
                      <w:bCs/>
                      <w:color w:val="auto"/>
                      <w:spacing w:val="0"/>
                      <w:sz w:val="21"/>
                      <w:szCs w:val="21"/>
                      <w:u w:val="none"/>
                      <w:lang w:val="en-US" w:eastAsia="zh-CN"/>
                    </w:rPr>
                    <w:t>单位产品污染物排放强度</w:t>
                  </w:r>
                  <w:r>
                    <w:rPr>
                      <w:rFonts w:hint="default" w:ascii="Times New Roman" w:hAnsi="Times New Roman" w:cs="Times New Roman"/>
                      <w:b w:val="0"/>
                      <w:bCs/>
                      <w:color w:val="auto"/>
                      <w:spacing w:val="0"/>
                      <w:sz w:val="21"/>
                      <w:szCs w:val="21"/>
                      <w:u w:val="none"/>
                      <w:lang w:val="en-US" w:eastAsia="zh-CN"/>
                    </w:rPr>
                    <w:t>达到</w:t>
                  </w:r>
                  <w:r>
                    <w:rPr>
                      <w:rFonts w:hint="default" w:ascii="Times New Roman" w:hAnsi="Times New Roman" w:cs="Times New Roman"/>
                      <w:b w:val="0"/>
                      <w:bCs/>
                      <w:color w:val="auto"/>
                      <w:spacing w:val="0"/>
                      <w:sz w:val="21"/>
                      <w:szCs w:val="21"/>
                      <w:u w:val="none"/>
                    </w:rPr>
                    <w:t>清洁生产先进水平</w:t>
                  </w:r>
                  <w:r>
                    <w:rPr>
                      <w:rFonts w:hint="default" w:ascii="Times New Roman" w:hAnsi="Times New Roman" w:cs="Times New Roman"/>
                      <w:b w:val="0"/>
                      <w:bCs/>
                      <w:color w:val="auto"/>
                      <w:spacing w:val="0"/>
                      <w:sz w:val="21"/>
                      <w:szCs w:val="21"/>
                      <w:u w:val="none"/>
                      <w:lang w:eastAsia="zh-CN"/>
                    </w:rPr>
                    <w:t>，</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满足《河南省重污染天气通用行业应急减排措施制定技术指南》（2024年修订稿）</w:t>
                  </w:r>
                  <w:r>
                    <w:rPr>
                      <w:rFonts w:hint="eastAsia" w:ascii="Times New Roman" w:hAnsi="Times New Roman" w:cs="Times New Roman"/>
                      <w:b w:val="0"/>
                      <w:bCs w:val="0"/>
                      <w:color w:val="000000" w:themeColor="text1"/>
                      <w:spacing w:val="0"/>
                      <w:sz w:val="21"/>
                      <w:szCs w:val="21"/>
                      <w:lang w:val="en-US" w:eastAsia="zh-CN"/>
                      <w14:textFill>
                        <w14:solidFill>
                          <w14:schemeClr w14:val="tx1"/>
                        </w14:solidFill>
                      </w14:textFill>
                    </w:rPr>
                    <w:t>中</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涉锅炉/炉窑</w:t>
                  </w:r>
                  <w:r>
                    <w:rPr>
                      <w:rFonts w:hint="eastAsia" w:ascii="Times New Roman" w:hAnsi="Times New Roman" w:cs="Times New Roman"/>
                      <w:b w:val="0"/>
                      <w:bCs w:val="0"/>
                      <w:color w:val="000000" w:themeColor="text1"/>
                      <w:spacing w:val="0"/>
                      <w:sz w:val="21"/>
                      <w:szCs w:val="21"/>
                      <w:lang w:val="en-US" w:eastAsia="zh-CN"/>
                      <w14:textFill>
                        <w14:solidFill>
                          <w14:schemeClr w14:val="tx1"/>
                        </w14:solidFill>
                      </w14:textFill>
                    </w:rPr>
                    <w:t>A级</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企业绩效</w:t>
                  </w:r>
                  <w:r>
                    <w:rPr>
                      <w:rFonts w:hint="eastAsia" w:cs="Times New Roman"/>
                      <w:b w:val="0"/>
                      <w:bCs w:val="0"/>
                      <w:color w:val="000000" w:themeColor="text1"/>
                      <w:spacing w:val="0"/>
                      <w:sz w:val="21"/>
                      <w:szCs w:val="21"/>
                      <w:lang w:val="en-US" w:eastAsia="zh-CN"/>
                      <w14:textFill>
                        <w14:solidFill>
                          <w14:schemeClr w14:val="tx1"/>
                        </w14:solidFill>
                      </w14:textFill>
                    </w:rPr>
                    <w:t>分级</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指标基本要求</w:t>
                  </w:r>
                  <w:r>
                    <w:rPr>
                      <w:rFonts w:hint="eastAsia" w:ascii="Times New Roman" w:hAnsi="Times New Roman" w:cs="Times New Roman"/>
                      <w:b w:val="0"/>
                      <w:bCs w:val="0"/>
                      <w:color w:val="000000" w:themeColor="text1"/>
                      <w:spacing w:val="0"/>
                      <w:sz w:val="21"/>
                      <w:szCs w:val="21"/>
                      <w:lang w:val="en-US" w:eastAsia="zh-CN"/>
                      <w14:textFill>
                        <w14:solidFill>
                          <w14:schemeClr w14:val="tx1"/>
                        </w14:solidFill>
                      </w14:textFill>
                    </w:rPr>
                    <w:t>。</w:t>
                  </w:r>
                </w:p>
                <w:p w14:paraId="1B4E2552">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val="en-US" w:eastAsia="zh-CN"/>
                    </w:rPr>
                  </w:pPr>
                  <w:r>
                    <w:rPr>
                      <w:rFonts w:hint="default" w:ascii="Times New Roman" w:hAnsi="Times New Roman" w:cs="Times New Roman"/>
                      <w:b w:val="0"/>
                      <w:bCs/>
                      <w:color w:val="auto"/>
                      <w:spacing w:val="0"/>
                      <w:sz w:val="21"/>
                      <w:szCs w:val="21"/>
                      <w:u w:val="none"/>
                      <w:lang w:val="en-US" w:eastAsia="zh-CN"/>
                    </w:rPr>
                    <w:t>3.本项目</w:t>
                  </w:r>
                  <w:r>
                    <w:rPr>
                      <w:rFonts w:hint="eastAsia" w:ascii="Times New Roman" w:hAnsi="Times New Roman" w:cs="Times New Roman"/>
                      <w:b w:val="0"/>
                      <w:bCs/>
                      <w:color w:val="auto"/>
                      <w:spacing w:val="0"/>
                      <w:sz w:val="21"/>
                      <w:szCs w:val="21"/>
                      <w:u w:val="none"/>
                      <w:lang w:val="en-US" w:eastAsia="zh-CN"/>
                    </w:rPr>
                    <w:t>建成后按要求开展全流程清洁化、循环化、低碳化改造</w:t>
                  </w:r>
                  <w:r>
                    <w:rPr>
                      <w:rFonts w:hint="default" w:ascii="Times New Roman" w:hAnsi="Times New Roman" w:cs="Times New Roman"/>
                      <w:b w:val="0"/>
                      <w:bCs/>
                      <w:color w:val="auto"/>
                      <w:spacing w:val="0"/>
                      <w:sz w:val="21"/>
                      <w:szCs w:val="21"/>
                      <w:u w:val="none"/>
                      <w:lang w:val="en-US" w:eastAsia="zh-CN"/>
                    </w:rPr>
                    <w:t>。</w:t>
                  </w:r>
                </w:p>
                <w:p w14:paraId="3F460C25">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val="en-US" w:eastAsia="zh-CN"/>
                    </w:rPr>
                  </w:pPr>
                  <w:r>
                    <w:rPr>
                      <w:rFonts w:hint="default" w:ascii="Times New Roman" w:hAnsi="Times New Roman" w:cs="Times New Roman"/>
                      <w:b w:val="0"/>
                      <w:bCs/>
                      <w:color w:val="auto"/>
                      <w:spacing w:val="0"/>
                      <w:sz w:val="21"/>
                      <w:szCs w:val="21"/>
                      <w:u w:val="none"/>
                      <w:lang w:val="en-US" w:eastAsia="zh-CN"/>
                    </w:rPr>
                    <w:t>4.本项目</w:t>
                  </w:r>
                  <w:r>
                    <w:rPr>
                      <w:rFonts w:hint="eastAsia" w:ascii="Times New Roman" w:hAnsi="Times New Roman" w:cs="Times New Roman"/>
                      <w:b w:val="0"/>
                      <w:bCs/>
                      <w:color w:val="auto"/>
                      <w:spacing w:val="0"/>
                      <w:sz w:val="21"/>
                      <w:szCs w:val="21"/>
                      <w:u w:val="none"/>
                      <w:lang w:val="en-US" w:eastAsia="zh-CN"/>
                    </w:rPr>
                    <w:t>不涉及</w:t>
                  </w:r>
                  <w:r>
                    <w:rPr>
                      <w:rFonts w:hint="default" w:ascii="Times New Roman" w:hAnsi="Times New Roman" w:cs="Times New Roman"/>
                      <w:b w:val="0"/>
                      <w:bCs/>
                      <w:color w:val="auto"/>
                      <w:spacing w:val="0"/>
                      <w:sz w:val="21"/>
                      <w:szCs w:val="21"/>
                      <w:u w:val="none"/>
                      <w:lang w:val="en-US" w:eastAsia="zh-CN"/>
                    </w:rPr>
                    <w:t>。</w:t>
                  </w:r>
                </w:p>
                <w:p w14:paraId="7629A97B">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val="en-US" w:eastAsia="zh-CN"/>
                    </w:rPr>
                  </w:pPr>
                  <w:r>
                    <w:rPr>
                      <w:rFonts w:hint="default" w:ascii="Times New Roman" w:hAnsi="Times New Roman" w:cs="Times New Roman"/>
                      <w:b w:val="0"/>
                      <w:bCs/>
                      <w:color w:val="auto"/>
                      <w:spacing w:val="0"/>
                      <w:sz w:val="21"/>
                      <w:szCs w:val="21"/>
                      <w:u w:val="none"/>
                      <w:lang w:val="en-US" w:eastAsia="zh-CN"/>
                    </w:rPr>
                    <w:t>5.</w:t>
                  </w:r>
                  <w:r>
                    <w:rPr>
                      <w:rFonts w:hint="eastAsia" w:ascii="Times New Roman" w:hAnsi="Times New Roman" w:cs="Times New Roman"/>
                      <w:b w:val="0"/>
                      <w:bCs/>
                      <w:color w:val="auto"/>
                      <w:spacing w:val="0"/>
                      <w:sz w:val="21"/>
                      <w:szCs w:val="21"/>
                      <w:u w:val="none"/>
                      <w:lang w:val="en-US" w:eastAsia="zh-CN"/>
                    </w:rPr>
                    <w:t>本项目</w:t>
                  </w:r>
                  <w:r>
                    <w:rPr>
                      <w:rFonts w:hint="default" w:ascii="Times New Roman" w:hAnsi="Times New Roman" w:cs="Times New Roman"/>
                      <w:b w:val="0"/>
                      <w:bCs/>
                      <w:color w:val="auto"/>
                      <w:spacing w:val="0"/>
                      <w:sz w:val="21"/>
                      <w:szCs w:val="21"/>
                      <w:u w:val="none"/>
                      <w:lang w:val="en-US" w:eastAsia="zh-CN"/>
                    </w:rPr>
                    <w:t>不涉及。</w:t>
                  </w:r>
                </w:p>
                <w:p w14:paraId="770A074C">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val="en-US" w:eastAsia="zh-CN"/>
                    </w:rPr>
                  </w:pPr>
                  <w:r>
                    <w:rPr>
                      <w:rFonts w:hint="default" w:ascii="Times New Roman" w:hAnsi="Times New Roman" w:cs="Times New Roman"/>
                      <w:b w:val="0"/>
                      <w:bCs/>
                      <w:color w:val="auto"/>
                      <w:spacing w:val="0"/>
                      <w:sz w:val="21"/>
                      <w:szCs w:val="21"/>
                      <w:u w:val="none"/>
                      <w:lang w:val="en-US" w:eastAsia="zh-CN"/>
                    </w:rPr>
                    <w:t>6.本项目</w:t>
                  </w:r>
                  <w:r>
                    <w:rPr>
                      <w:rFonts w:hint="eastAsia" w:ascii="Times New Roman" w:hAnsi="Times New Roman" w:cs="Times New Roman"/>
                      <w:b w:val="0"/>
                      <w:bCs/>
                      <w:color w:val="auto"/>
                      <w:spacing w:val="0"/>
                      <w:sz w:val="21"/>
                      <w:szCs w:val="21"/>
                      <w:u w:val="none"/>
                      <w:lang w:val="en-US" w:eastAsia="zh-CN"/>
                    </w:rPr>
                    <w:t>生活污水经化粪池处理后排入污水管网</w:t>
                  </w:r>
                  <w:r>
                    <w:rPr>
                      <w:rFonts w:hint="default" w:ascii="Times New Roman" w:hAnsi="Times New Roman" w:cs="Times New Roman"/>
                      <w:b w:val="0"/>
                      <w:bCs/>
                      <w:color w:val="auto"/>
                      <w:spacing w:val="0"/>
                      <w:sz w:val="21"/>
                      <w:szCs w:val="21"/>
                      <w:u w:val="none"/>
                      <w:lang w:val="en-US" w:eastAsia="zh-CN"/>
                    </w:rPr>
                    <w:t>。</w:t>
                  </w:r>
                </w:p>
                <w:p w14:paraId="0BAF3348">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Cs/>
                      <w:color w:val="auto"/>
                      <w:spacing w:val="0"/>
                      <w:sz w:val="21"/>
                      <w:szCs w:val="21"/>
                    </w:rPr>
                  </w:pPr>
                  <w:r>
                    <w:rPr>
                      <w:rFonts w:hint="default" w:ascii="Times New Roman" w:hAnsi="Times New Roman" w:cs="Times New Roman"/>
                      <w:b w:val="0"/>
                      <w:bCs/>
                      <w:color w:val="auto"/>
                      <w:spacing w:val="0"/>
                      <w:sz w:val="21"/>
                      <w:szCs w:val="21"/>
                      <w:u w:val="none"/>
                      <w:lang w:val="en-US" w:eastAsia="zh-CN"/>
                    </w:rPr>
                    <w:t>7.本项目建设选用低噪声设备</w:t>
                  </w:r>
                  <w:r>
                    <w:rPr>
                      <w:rFonts w:hint="eastAsia" w:ascii="Times New Roman" w:hAnsi="Times New Roman" w:cs="Times New Roman"/>
                      <w:b w:val="0"/>
                      <w:bCs/>
                      <w:color w:val="auto"/>
                      <w:spacing w:val="0"/>
                      <w:sz w:val="21"/>
                      <w:szCs w:val="21"/>
                      <w:u w:val="none"/>
                      <w:lang w:val="en-US" w:eastAsia="zh-CN"/>
                    </w:rPr>
                    <w:t>，并采取基础减振、</w:t>
                  </w:r>
                  <w:r>
                    <w:rPr>
                      <w:rFonts w:hint="default" w:ascii="Times New Roman" w:hAnsi="Times New Roman" w:cs="Times New Roman"/>
                      <w:b w:val="0"/>
                      <w:bCs/>
                      <w:color w:val="auto"/>
                      <w:spacing w:val="0"/>
                      <w:sz w:val="21"/>
                      <w:szCs w:val="21"/>
                      <w:u w:val="none"/>
                      <w:lang w:val="en-US" w:eastAsia="zh-CN"/>
                    </w:rPr>
                    <w:t>合理布局</w:t>
                  </w:r>
                  <w:r>
                    <w:rPr>
                      <w:rFonts w:hint="eastAsia" w:ascii="Times New Roman" w:hAnsi="Times New Roman" w:cs="Times New Roman"/>
                      <w:b w:val="0"/>
                      <w:bCs/>
                      <w:color w:val="auto"/>
                      <w:spacing w:val="0"/>
                      <w:sz w:val="21"/>
                      <w:szCs w:val="21"/>
                      <w:u w:val="none"/>
                      <w:lang w:val="en-US" w:eastAsia="zh-CN"/>
                    </w:rPr>
                    <w:t>、</w:t>
                  </w:r>
                  <w:r>
                    <w:rPr>
                      <w:rFonts w:hint="default" w:ascii="Times New Roman" w:hAnsi="Times New Roman" w:cs="Times New Roman"/>
                      <w:b w:val="0"/>
                      <w:bCs/>
                      <w:color w:val="auto"/>
                      <w:spacing w:val="0"/>
                      <w:sz w:val="21"/>
                      <w:szCs w:val="21"/>
                      <w:u w:val="none"/>
                      <w:lang w:val="en-US" w:eastAsia="zh-CN"/>
                    </w:rPr>
                    <w:t>厂房隔声</w:t>
                  </w:r>
                  <w:r>
                    <w:rPr>
                      <w:rFonts w:hint="eastAsia" w:ascii="Times New Roman" w:hAnsi="Times New Roman" w:cs="Times New Roman"/>
                      <w:b w:val="0"/>
                      <w:bCs/>
                      <w:color w:val="auto"/>
                      <w:spacing w:val="0"/>
                      <w:sz w:val="21"/>
                      <w:szCs w:val="21"/>
                      <w:u w:val="none"/>
                      <w:lang w:val="en-US" w:eastAsia="zh-CN"/>
                    </w:rPr>
                    <w:t>等措施降噪</w:t>
                  </w:r>
                  <w:r>
                    <w:rPr>
                      <w:rFonts w:hint="default" w:ascii="Times New Roman" w:hAnsi="Times New Roman" w:cs="Times New Roman"/>
                      <w:b w:val="0"/>
                      <w:bCs/>
                      <w:color w:val="auto"/>
                      <w:spacing w:val="0"/>
                      <w:sz w:val="21"/>
                      <w:szCs w:val="21"/>
                      <w:u w:val="none"/>
                      <w:lang w:val="en-US" w:eastAsia="zh-CN"/>
                    </w:rPr>
                    <w:t>，避免对</w:t>
                  </w:r>
                  <w:r>
                    <w:rPr>
                      <w:rFonts w:hint="eastAsia" w:ascii="Times New Roman" w:hAnsi="Times New Roman" w:cs="Times New Roman"/>
                      <w:b w:val="0"/>
                      <w:bCs/>
                      <w:color w:val="auto"/>
                      <w:spacing w:val="0"/>
                      <w:sz w:val="21"/>
                      <w:szCs w:val="21"/>
                      <w:u w:val="none"/>
                      <w:lang w:val="en-US" w:eastAsia="zh-CN"/>
                    </w:rPr>
                    <w:t>周边</w:t>
                  </w:r>
                  <w:r>
                    <w:rPr>
                      <w:rFonts w:hint="default" w:ascii="Times New Roman" w:hAnsi="Times New Roman" w:cs="Times New Roman"/>
                      <w:b w:val="0"/>
                      <w:bCs/>
                      <w:color w:val="auto"/>
                      <w:spacing w:val="0"/>
                      <w:sz w:val="21"/>
                      <w:szCs w:val="21"/>
                      <w:u w:val="none"/>
                      <w:lang w:val="en-US" w:eastAsia="zh-CN"/>
                    </w:rPr>
                    <w:t>居民产生影响。</w:t>
                  </w:r>
                </w:p>
              </w:tc>
              <w:tc>
                <w:tcPr>
                  <w:tcW w:w="339" w:type="dxa"/>
                  <w:noWrap w:val="0"/>
                  <w:vAlign w:val="center"/>
                </w:tcPr>
                <w:p w14:paraId="3C54603A">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bCs/>
                      <w:color w:val="auto"/>
                      <w:spacing w:val="0"/>
                      <w:sz w:val="21"/>
                      <w:szCs w:val="21"/>
                      <w:lang w:eastAsia="zh-CN"/>
                    </w:rPr>
                  </w:pPr>
                  <w:r>
                    <w:rPr>
                      <w:rFonts w:hint="eastAsia"/>
                      <w:bCs/>
                      <w:color w:val="auto"/>
                      <w:spacing w:val="0"/>
                      <w:sz w:val="21"/>
                      <w:szCs w:val="21"/>
                      <w:lang w:eastAsia="zh-CN"/>
                    </w:rPr>
                    <w:t>符合</w:t>
                  </w:r>
                </w:p>
              </w:tc>
            </w:tr>
            <w:tr w14:paraId="6752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591" w:type="dxa"/>
                  <w:gridSpan w:val="2"/>
                  <w:noWrap w:val="0"/>
                  <w:tcMar>
                    <w:top w:w="28" w:type="dxa"/>
                    <w:bottom w:w="57" w:type="dxa"/>
                  </w:tcMar>
                  <w:vAlign w:val="center"/>
                </w:tcPr>
                <w:p w14:paraId="5628D1E7">
                  <w:pPr>
                    <w:pStyle w:val="74"/>
                    <w:keepNext w:val="0"/>
                    <w:keepLines w:val="0"/>
                    <w:pageBreakBefore w:val="0"/>
                    <w:kinsoku/>
                    <w:overflowPunct/>
                    <w:topLinePunct w:val="0"/>
                    <w:autoSpaceDE/>
                    <w:autoSpaceDN/>
                    <w:bidi w:val="0"/>
                    <w:spacing w:line="240" w:lineRule="auto"/>
                    <w:ind w:firstLine="0" w:firstLineChars="0"/>
                    <w:rPr>
                      <w:rFonts w:ascii="Times New Roman" w:hAnsi="Times New Roman"/>
                      <w:bCs/>
                      <w:snapToGrid w:val="0"/>
                      <w:color w:val="auto"/>
                      <w:spacing w:val="0"/>
                      <w:sz w:val="21"/>
                      <w:szCs w:val="21"/>
                    </w:rPr>
                  </w:pPr>
                  <w:r>
                    <w:rPr>
                      <w:rFonts w:hint="default" w:ascii="Times New Roman" w:hAnsi="Times New Roman" w:cs="Times New Roman"/>
                      <w:b w:val="0"/>
                      <w:bCs/>
                      <w:color w:val="auto"/>
                      <w:spacing w:val="0"/>
                      <w:sz w:val="21"/>
                      <w:szCs w:val="21"/>
                    </w:rPr>
                    <w:t>环境风险防控</w:t>
                  </w:r>
                </w:p>
              </w:tc>
              <w:tc>
                <w:tcPr>
                  <w:tcW w:w="4137" w:type="dxa"/>
                  <w:noWrap w:val="0"/>
                  <w:tcMar>
                    <w:top w:w="28" w:type="dxa"/>
                    <w:bottom w:w="57" w:type="dxa"/>
                  </w:tcMar>
                  <w:vAlign w:val="center"/>
                </w:tcPr>
                <w:p w14:paraId="2647BD8C">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 w:val="0"/>
                      <w:bCs/>
                      <w:color w:val="auto"/>
                      <w:spacing w:val="0"/>
                      <w:sz w:val="21"/>
                      <w:szCs w:val="21"/>
                    </w:rPr>
                  </w:pPr>
                  <w:r>
                    <w:rPr>
                      <w:rFonts w:hint="default" w:ascii="Times New Roman" w:hAnsi="Times New Roman" w:cs="Times New Roman"/>
                      <w:b w:val="0"/>
                      <w:bCs/>
                      <w:color w:val="auto"/>
                      <w:spacing w:val="0"/>
                      <w:sz w:val="21"/>
                      <w:szCs w:val="21"/>
                    </w:rPr>
                    <w:t>1.依法推行农用地分类管理制度，强化受污染耕地安全利用和风险管控；用途变更为住宅、公共管理与公共服务用地及有土壤污染风险的建设用地地块，应当依法开展土壤污染状况调查；污染地块经治理与修复，并符合相应规划用地土壤环境质量要求后，方可进入用地程序；合理规划污染地块土地用途，鼓励农药、化工等行业中重度污染地块优先规划用于拓展生态空间。</w:t>
                  </w:r>
                </w:p>
                <w:p w14:paraId="35BA9652">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 w:val="0"/>
                      <w:bCs/>
                      <w:color w:val="auto"/>
                      <w:spacing w:val="0"/>
                      <w:sz w:val="21"/>
                      <w:szCs w:val="21"/>
                    </w:rPr>
                  </w:pPr>
                  <w:r>
                    <w:rPr>
                      <w:rFonts w:hint="default" w:ascii="Times New Roman" w:hAnsi="Times New Roman" w:cs="Times New Roman"/>
                      <w:b w:val="0"/>
                      <w:bCs/>
                      <w:color w:val="auto"/>
                      <w:spacing w:val="0"/>
                      <w:sz w:val="21"/>
                      <w:szCs w:val="21"/>
                    </w:rPr>
                    <w:t>2.以涉重涉危及有毒有害等行业企业为重点，加强水环境风险日常监管；推进涉水企业的环境风险排查整治、风险预防设施设备建设；制定水环境污染事故处置应急预案，加强上下游联防联控，防范跨界水环境风险，提升环境应急处置能力。</w:t>
                  </w:r>
                </w:p>
                <w:p w14:paraId="23F5B147">
                  <w:pPr>
                    <w:pStyle w:val="74"/>
                    <w:keepNext w:val="0"/>
                    <w:keepLines w:val="0"/>
                    <w:pageBreakBefore w:val="0"/>
                    <w:kinsoku/>
                    <w:overflowPunct/>
                    <w:topLinePunct w:val="0"/>
                    <w:autoSpaceDE/>
                    <w:autoSpaceDN/>
                    <w:bidi w:val="0"/>
                    <w:spacing w:line="240" w:lineRule="auto"/>
                    <w:ind w:firstLine="0" w:firstLineChars="0"/>
                    <w:jc w:val="left"/>
                    <w:rPr>
                      <w:bCs/>
                      <w:color w:val="auto"/>
                      <w:spacing w:val="0"/>
                      <w:sz w:val="21"/>
                      <w:szCs w:val="21"/>
                    </w:rPr>
                  </w:pPr>
                  <w:r>
                    <w:rPr>
                      <w:rFonts w:hint="default" w:ascii="Times New Roman" w:hAnsi="Times New Roman" w:cs="Times New Roman"/>
                      <w:b w:val="0"/>
                      <w:bCs/>
                      <w:color w:val="auto"/>
                      <w:spacing w:val="0"/>
                      <w:sz w:val="21"/>
                      <w:szCs w:val="21"/>
                    </w:rPr>
                    <w:t>3.化工园区内涉及有毒有害物质的重点场所或者重点设施设备（特别是地下储罐、管网等）应进行防渗漏设计和建设，消除土壤和地下水污染隐患；建立完善的生态环境监测监控和风险预警体系，相关监测监控数据应接入地方监测预警系统；建立满足突发环境事件情形下应急处置需求的应急救援体系、预案、平台和专职应急救援队伍，配备符合相关国家标准、行业标准要求的人员和装备。</w:t>
                  </w:r>
                </w:p>
              </w:tc>
              <w:tc>
                <w:tcPr>
                  <w:tcW w:w="2628" w:type="dxa"/>
                  <w:noWrap w:val="0"/>
                  <w:vAlign w:val="center"/>
                </w:tcPr>
                <w:p w14:paraId="4C65A3FA">
                  <w:pPr>
                    <w:pStyle w:val="74"/>
                    <w:keepNext w:val="0"/>
                    <w:keepLines w:val="0"/>
                    <w:pageBreakBefore w:val="0"/>
                    <w:numPr>
                      <w:ilvl w:val="0"/>
                      <w:numId w:val="0"/>
                    </w:numPr>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val="en-US" w:eastAsia="zh-CN"/>
                    </w:rPr>
                  </w:pPr>
                  <w:r>
                    <w:rPr>
                      <w:rFonts w:hint="eastAsia" w:cs="Times New Roman"/>
                      <w:b w:val="0"/>
                      <w:bCs/>
                      <w:color w:val="auto"/>
                      <w:spacing w:val="0"/>
                      <w:sz w:val="21"/>
                      <w:szCs w:val="21"/>
                      <w:u w:val="none"/>
                      <w:lang w:val="en-US" w:eastAsia="zh-CN"/>
                    </w:rPr>
                    <w:t>1.本项目位于新乡市新乡县翟坡镇东大阳堤村村西中央大道东侧</w:t>
                  </w:r>
                  <w:r>
                    <w:rPr>
                      <w:rFonts w:hint="default" w:ascii="Times New Roman" w:hAnsi="Times New Roman" w:cs="Times New Roman"/>
                      <w:b w:val="0"/>
                      <w:bCs/>
                      <w:color w:val="auto"/>
                      <w:spacing w:val="0"/>
                      <w:sz w:val="21"/>
                      <w:szCs w:val="21"/>
                      <w:u w:val="none"/>
                      <w:lang w:eastAsia="zh-CN"/>
                    </w:rPr>
                    <w:t>，</w:t>
                  </w:r>
                  <w:r>
                    <w:rPr>
                      <w:rFonts w:hint="eastAsia" w:ascii="Times New Roman" w:hAnsi="Times New Roman" w:cs="Times New Roman"/>
                      <w:b w:val="0"/>
                      <w:bCs/>
                      <w:color w:val="auto"/>
                      <w:spacing w:val="0"/>
                      <w:sz w:val="21"/>
                      <w:szCs w:val="21"/>
                      <w:u w:val="none"/>
                      <w:lang w:eastAsia="zh-CN"/>
                    </w:rPr>
                    <w:t>用地性质</w:t>
                  </w:r>
                  <w:r>
                    <w:rPr>
                      <w:rFonts w:hint="default" w:ascii="Times New Roman" w:hAnsi="Times New Roman" w:cs="Times New Roman"/>
                      <w:b w:val="0"/>
                      <w:bCs/>
                      <w:color w:val="auto"/>
                      <w:spacing w:val="0"/>
                      <w:sz w:val="21"/>
                      <w:szCs w:val="21"/>
                      <w:u w:val="none"/>
                      <w:lang w:val="en-US" w:eastAsia="zh-CN"/>
                    </w:rPr>
                    <w:t>属于工业用地。</w:t>
                  </w:r>
                </w:p>
                <w:p w14:paraId="66ED25E0">
                  <w:pPr>
                    <w:pStyle w:val="74"/>
                    <w:keepNext w:val="0"/>
                    <w:keepLines w:val="0"/>
                    <w:pageBreakBefore w:val="0"/>
                    <w:numPr>
                      <w:ilvl w:val="0"/>
                      <w:numId w:val="0"/>
                    </w:numPr>
                    <w:kinsoku/>
                    <w:overflowPunct/>
                    <w:topLinePunct w:val="0"/>
                    <w:autoSpaceDE/>
                    <w:autoSpaceDN/>
                    <w:bidi w:val="0"/>
                    <w:spacing w:line="240" w:lineRule="auto"/>
                    <w:ind w:leftChars="0" w:firstLine="0" w:firstLineChars="0"/>
                    <w:jc w:val="both"/>
                    <w:rPr>
                      <w:rFonts w:hint="eastAsia" w:ascii="Times New Roman" w:hAnsi="Times New Roman"/>
                      <w:b w:val="0"/>
                      <w:bCs/>
                      <w:color w:val="auto"/>
                      <w:spacing w:val="0"/>
                      <w:sz w:val="21"/>
                      <w:szCs w:val="21"/>
                      <w:u w:val="none"/>
                      <w:lang w:val="en-US" w:eastAsia="zh-CN"/>
                    </w:rPr>
                  </w:pPr>
                  <w:r>
                    <w:rPr>
                      <w:rFonts w:hint="default" w:ascii="Times New Roman" w:hAnsi="Times New Roman" w:cs="Times New Roman"/>
                      <w:b w:val="0"/>
                      <w:bCs/>
                      <w:color w:val="auto"/>
                      <w:spacing w:val="0"/>
                      <w:sz w:val="21"/>
                      <w:szCs w:val="21"/>
                      <w:u w:val="none"/>
                      <w:lang w:val="en-US" w:eastAsia="zh-CN"/>
                    </w:rPr>
                    <w:t>2.本项目不属于</w:t>
                  </w:r>
                  <w:r>
                    <w:rPr>
                      <w:rFonts w:hint="default" w:ascii="Times New Roman" w:hAnsi="Times New Roman" w:cs="Times New Roman"/>
                      <w:b w:val="0"/>
                      <w:bCs/>
                      <w:color w:val="auto"/>
                      <w:spacing w:val="0"/>
                      <w:sz w:val="21"/>
                      <w:szCs w:val="21"/>
                    </w:rPr>
                    <w:t>涉重涉危及有毒有害等行业</w:t>
                  </w:r>
                  <w:r>
                    <w:rPr>
                      <w:rFonts w:hint="eastAsia" w:ascii="Times New Roman" w:hAnsi="Times New Roman"/>
                      <w:b w:val="0"/>
                      <w:bCs/>
                      <w:color w:val="auto"/>
                      <w:spacing w:val="0"/>
                      <w:sz w:val="21"/>
                      <w:szCs w:val="21"/>
                      <w:u w:val="none"/>
                      <w:lang w:val="en-US" w:eastAsia="zh-CN"/>
                    </w:rPr>
                    <w:t>。</w:t>
                  </w:r>
                </w:p>
                <w:p w14:paraId="4C3495DE">
                  <w:pPr>
                    <w:pStyle w:val="74"/>
                    <w:keepNext w:val="0"/>
                    <w:keepLines w:val="0"/>
                    <w:pageBreakBefore w:val="0"/>
                    <w:numPr>
                      <w:ilvl w:val="0"/>
                      <w:numId w:val="0"/>
                    </w:numPr>
                    <w:kinsoku/>
                    <w:overflowPunct/>
                    <w:topLinePunct w:val="0"/>
                    <w:autoSpaceDE/>
                    <w:autoSpaceDN/>
                    <w:bidi w:val="0"/>
                    <w:spacing w:line="240" w:lineRule="auto"/>
                    <w:ind w:leftChars="0" w:firstLine="0" w:firstLineChars="0"/>
                    <w:jc w:val="both"/>
                    <w:rPr>
                      <w:bCs/>
                      <w:color w:val="auto"/>
                      <w:spacing w:val="0"/>
                      <w:sz w:val="21"/>
                      <w:szCs w:val="21"/>
                    </w:rPr>
                  </w:pPr>
                  <w:r>
                    <w:rPr>
                      <w:rFonts w:hint="eastAsia" w:ascii="Times New Roman" w:hAnsi="Times New Roman"/>
                      <w:b w:val="0"/>
                      <w:bCs/>
                      <w:color w:val="auto"/>
                      <w:spacing w:val="0"/>
                      <w:sz w:val="21"/>
                      <w:szCs w:val="21"/>
                      <w:u w:val="none"/>
                      <w:lang w:val="en-US" w:eastAsia="zh-CN"/>
                    </w:rPr>
                    <w:t>3.本项目不在化工园区内，不涉及有毒有害物质，项目建成后将按要求建立环境应急救援体系、预案、平台和专职应急救援队伍。</w:t>
                  </w:r>
                </w:p>
              </w:tc>
              <w:tc>
                <w:tcPr>
                  <w:tcW w:w="339" w:type="dxa"/>
                  <w:noWrap w:val="0"/>
                  <w:vAlign w:val="center"/>
                </w:tcPr>
                <w:p w14:paraId="730F8F09">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bCs/>
                      <w:color w:val="auto"/>
                      <w:spacing w:val="0"/>
                      <w:sz w:val="21"/>
                      <w:szCs w:val="21"/>
                      <w:lang w:eastAsia="zh-CN"/>
                    </w:rPr>
                  </w:pPr>
                  <w:r>
                    <w:rPr>
                      <w:rFonts w:hint="eastAsia"/>
                      <w:bCs/>
                      <w:color w:val="auto"/>
                      <w:spacing w:val="0"/>
                      <w:sz w:val="21"/>
                      <w:szCs w:val="21"/>
                      <w:lang w:eastAsia="zh-CN"/>
                    </w:rPr>
                    <w:t>符合</w:t>
                  </w:r>
                </w:p>
              </w:tc>
            </w:tr>
            <w:tr w14:paraId="23EE0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591" w:type="dxa"/>
                  <w:gridSpan w:val="2"/>
                  <w:noWrap w:val="0"/>
                  <w:tcMar>
                    <w:top w:w="28" w:type="dxa"/>
                    <w:bottom w:w="57" w:type="dxa"/>
                  </w:tcMar>
                  <w:vAlign w:val="center"/>
                </w:tcPr>
                <w:p w14:paraId="08BF3BE2">
                  <w:pPr>
                    <w:pStyle w:val="74"/>
                    <w:keepNext w:val="0"/>
                    <w:keepLines w:val="0"/>
                    <w:pageBreakBefore w:val="0"/>
                    <w:kinsoku/>
                    <w:overflowPunct/>
                    <w:topLinePunct w:val="0"/>
                    <w:autoSpaceDE/>
                    <w:autoSpaceDN/>
                    <w:bidi w:val="0"/>
                    <w:spacing w:line="240" w:lineRule="auto"/>
                    <w:ind w:firstLine="0" w:firstLineChars="0"/>
                    <w:rPr>
                      <w:rFonts w:ascii="Times New Roman" w:hAnsi="Times New Roman"/>
                      <w:bCs/>
                      <w:snapToGrid w:val="0"/>
                      <w:color w:val="auto"/>
                      <w:spacing w:val="0"/>
                      <w:sz w:val="21"/>
                      <w:szCs w:val="21"/>
                    </w:rPr>
                  </w:pPr>
                  <w:r>
                    <w:rPr>
                      <w:rFonts w:hint="default" w:ascii="Times New Roman" w:hAnsi="Times New Roman" w:cs="Times New Roman"/>
                      <w:b w:val="0"/>
                      <w:bCs/>
                      <w:color w:val="auto"/>
                      <w:spacing w:val="0"/>
                      <w:sz w:val="21"/>
                      <w:szCs w:val="21"/>
                    </w:rPr>
                    <w:t>资源利用效率</w:t>
                  </w:r>
                </w:p>
              </w:tc>
              <w:tc>
                <w:tcPr>
                  <w:tcW w:w="4137" w:type="dxa"/>
                  <w:noWrap w:val="0"/>
                  <w:tcMar>
                    <w:top w:w="28" w:type="dxa"/>
                    <w:bottom w:w="57" w:type="dxa"/>
                  </w:tcMar>
                  <w:vAlign w:val="center"/>
                </w:tcPr>
                <w:p w14:paraId="58402518">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 w:val="0"/>
                      <w:bCs/>
                      <w:color w:val="auto"/>
                      <w:spacing w:val="0"/>
                      <w:sz w:val="21"/>
                      <w:szCs w:val="21"/>
                      <w:u w:val="none"/>
                    </w:rPr>
                  </w:pPr>
                  <w:r>
                    <w:rPr>
                      <w:rFonts w:hint="default" w:ascii="Times New Roman" w:hAnsi="Times New Roman" w:cs="Times New Roman"/>
                      <w:b w:val="0"/>
                      <w:bCs/>
                      <w:color w:val="auto"/>
                      <w:spacing w:val="0"/>
                      <w:sz w:val="21"/>
                      <w:szCs w:val="21"/>
                      <w:u w:val="none"/>
                    </w:rPr>
                    <w:t>1.“十四五”时期，规模以上工业单位增加值能耗下降18%，万元工业增加值用水量下降10%。</w:t>
                  </w:r>
                </w:p>
                <w:p w14:paraId="11C17DAD">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 w:val="0"/>
                      <w:bCs/>
                      <w:color w:val="auto"/>
                      <w:spacing w:val="0"/>
                      <w:sz w:val="21"/>
                      <w:szCs w:val="21"/>
                      <w:u w:val="none"/>
                    </w:rPr>
                  </w:pPr>
                  <w:r>
                    <w:rPr>
                      <w:rFonts w:hint="default" w:ascii="Times New Roman" w:hAnsi="Times New Roman" w:cs="Times New Roman"/>
                      <w:b w:val="0"/>
                      <w:bCs/>
                      <w:color w:val="auto"/>
                      <w:spacing w:val="0"/>
                      <w:sz w:val="21"/>
                      <w:szCs w:val="21"/>
                      <w:u w:val="none"/>
                    </w:rPr>
                    <w:t>2.新建、扩建“两高”项目单位产品物耗、能耗、水耗等达到清洁生产先进水平。</w:t>
                  </w:r>
                </w:p>
                <w:p w14:paraId="49CF4722">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 w:val="0"/>
                      <w:bCs/>
                      <w:color w:val="auto"/>
                      <w:spacing w:val="0"/>
                      <w:sz w:val="21"/>
                      <w:szCs w:val="21"/>
                      <w:u w:val="none"/>
                    </w:rPr>
                  </w:pPr>
                  <w:r>
                    <w:rPr>
                      <w:rFonts w:hint="default" w:ascii="Times New Roman" w:hAnsi="Times New Roman" w:cs="Times New Roman"/>
                      <w:b w:val="0"/>
                      <w:bCs/>
                      <w:color w:val="auto"/>
                      <w:spacing w:val="0"/>
                      <w:sz w:val="21"/>
                      <w:szCs w:val="21"/>
                      <w:u w:val="none"/>
                    </w:rPr>
                    <w:t>3.实施重点领域节能降碳改造，到2025年钢铁、电解铝、水泥、炼油、乙烯、焦化等重点行业产能达到能效标杆水平的比例超过30%，行业整体能效水平明显提升，碳排放强度明显下降，绿色低碳发展能力显著增强。</w:t>
                  </w:r>
                </w:p>
                <w:p w14:paraId="5E7ABAC6">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 w:val="0"/>
                      <w:bCs/>
                      <w:color w:val="auto"/>
                      <w:spacing w:val="0"/>
                      <w:sz w:val="21"/>
                      <w:szCs w:val="21"/>
                      <w:u w:val="none"/>
                    </w:rPr>
                  </w:pPr>
                  <w:r>
                    <w:rPr>
                      <w:rFonts w:hint="default" w:ascii="Times New Roman" w:hAnsi="Times New Roman" w:cs="Times New Roman"/>
                      <w:b w:val="0"/>
                      <w:bCs/>
                      <w:color w:val="auto"/>
                      <w:spacing w:val="0"/>
                      <w:sz w:val="21"/>
                      <w:szCs w:val="21"/>
                      <w:u w:val="none"/>
                    </w:rPr>
                    <w:t>4.对以煤、石油焦、渣油、重油等为燃料的锅炉和工业炉窑，加快使用工业余热、电厂热力、清洁能源等进行替代。</w:t>
                  </w:r>
                </w:p>
                <w:p w14:paraId="415A2BC2">
                  <w:pPr>
                    <w:pStyle w:val="74"/>
                    <w:keepNext w:val="0"/>
                    <w:keepLines w:val="0"/>
                    <w:pageBreakBefore w:val="0"/>
                    <w:kinsoku/>
                    <w:overflowPunct/>
                    <w:topLinePunct w:val="0"/>
                    <w:autoSpaceDE/>
                    <w:autoSpaceDN/>
                    <w:bidi w:val="0"/>
                    <w:spacing w:line="240" w:lineRule="auto"/>
                    <w:ind w:firstLine="0" w:firstLineChars="0"/>
                    <w:jc w:val="left"/>
                    <w:rPr>
                      <w:rFonts w:hint="default" w:ascii="Times New Roman" w:hAnsi="Times New Roman" w:cs="Times New Roman"/>
                      <w:b w:val="0"/>
                      <w:bCs/>
                      <w:color w:val="auto"/>
                      <w:spacing w:val="0"/>
                      <w:sz w:val="21"/>
                      <w:szCs w:val="21"/>
                      <w:u w:val="none"/>
                    </w:rPr>
                  </w:pPr>
                  <w:r>
                    <w:rPr>
                      <w:rFonts w:hint="default" w:ascii="Times New Roman" w:hAnsi="Times New Roman" w:cs="Times New Roman"/>
                      <w:b w:val="0"/>
                      <w:bCs/>
                      <w:color w:val="auto"/>
                      <w:spacing w:val="0"/>
                      <w:sz w:val="21"/>
                      <w:szCs w:val="21"/>
                      <w:u w:val="none"/>
                    </w:rPr>
                    <w:t>5.除应急取（排）水、地下水监测外，在地下水禁采区内，禁止取用地下水；在地下水限采区内，禁止开凿新的取水井或者增加地下水取水量。</w:t>
                  </w:r>
                </w:p>
              </w:tc>
              <w:tc>
                <w:tcPr>
                  <w:tcW w:w="2628" w:type="dxa"/>
                  <w:noWrap w:val="0"/>
                  <w:vAlign w:val="center"/>
                </w:tcPr>
                <w:p w14:paraId="403A3CB1">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val="en-US" w:eastAsia="zh-CN"/>
                    </w:rPr>
                  </w:pPr>
                  <w:r>
                    <w:rPr>
                      <w:rFonts w:hint="default" w:ascii="Times New Roman" w:hAnsi="Times New Roman" w:cs="Times New Roman"/>
                      <w:b w:val="0"/>
                      <w:bCs/>
                      <w:color w:val="auto"/>
                      <w:spacing w:val="0"/>
                      <w:sz w:val="21"/>
                      <w:szCs w:val="21"/>
                      <w:u w:val="none"/>
                      <w:lang w:val="en-US" w:eastAsia="zh-CN"/>
                    </w:rPr>
                    <w:t>1.本项目</w:t>
                  </w:r>
                  <w:r>
                    <w:rPr>
                      <w:rFonts w:hint="eastAsia" w:ascii="Times New Roman" w:hAnsi="Times New Roman" w:cs="Times New Roman"/>
                      <w:b w:val="0"/>
                      <w:bCs/>
                      <w:color w:val="auto"/>
                      <w:spacing w:val="0"/>
                      <w:sz w:val="21"/>
                      <w:szCs w:val="21"/>
                      <w:u w:val="none"/>
                      <w:lang w:val="en-US" w:eastAsia="zh-CN"/>
                    </w:rPr>
                    <w:t>能源为电能，较同类项目使用量均不大</w:t>
                  </w:r>
                  <w:r>
                    <w:rPr>
                      <w:rFonts w:hint="default" w:ascii="Times New Roman" w:hAnsi="Times New Roman" w:cs="Times New Roman"/>
                      <w:b w:val="0"/>
                      <w:bCs/>
                      <w:color w:val="auto"/>
                      <w:spacing w:val="0"/>
                      <w:sz w:val="21"/>
                      <w:szCs w:val="21"/>
                      <w:u w:val="none"/>
                      <w:lang w:val="en-US" w:eastAsia="zh-CN"/>
                    </w:rPr>
                    <w:t>。</w:t>
                  </w:r>
                </w:p>
                <w:p w14:paraId="155C731B">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val="en-US" w:eastAsia="zh-CN"/>
                    </w:rPr>
                  </w:pPr>
                  <w:r>
                    <w:rPr>
                      <w:rFonts w:hint="default" w:ascii="Times New Roman" w:hAnsi="Times New Roman" w:cs="Times New Roman"/>
                      <w:b w:val="0"/>
                      <w:bCs/>
                      <w:color w:val="auto"/>
                      <w:spacing w:val="0"/>
                      <w:sz w:val="21"/>
                      <w:szCs w:val="21"/>
                      <w:u w:val="none"/>
                      <w:lang w:val="en-US" w:eastAsia="zh-CN"/>
                    </w:rPr>
                    <w:t>2.本项目不属于“两高”项目。</w:t>
                  </w:r>
                </w:p>
                <w:p w14:paraId="1034ED38">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val="en-US" w:eastAsia="zh-CN"/>
                    </w:rPr>
                  </w:pPr>
                  <w:r>
                    <w:rPr>
                      <w:rFonts w:hint="default" w:ascii="Times New Roman" w:hAnsi="Times New Roman" w:cs="Times New Roman"/>
                      <w:b w:val="0"/>
                      <w:bCs/>
                      <w:color w:val="auto"/>
                      <w:spacing w:val="0"/>
                      <w:sz w:val="21"/>
                      <w:szCs w:val="21"/>
                      <w:u w:val="none"/>
                      <w:lang w:val="en-US" w:eastAsia="zh-CN"/>
                    </w:rPr>
                    <w:t>3.本项目</w:t>
                  </w:r>
                  <w:r>
                    <w:rPr>
                      <w:rFonts w:hint="eastAsia" w:ascii="Times New Roman" w:hAnsi="Times New Roman" w:cs="Times New Roman"/>
                      <w:b w:val="0"/>
                      <w:bCs/>
                      <w:color w:val="auto"/>
                      <w:spacing w:val="0"/>
                      <w:sz w:val="21"/>
                      <w:szCs w:val="21"/>
                      <w:u w:val="none"/>
                      <w:lang w:val="en-US" w:eastAsia="zh-CN"/>
                    </w:rPr>
                    <w:t>能源为电，使用量不大，</w:t>
                  </w:r>
                  <w:r>
                    <w:rPr>
                      <w:rFonts w:hint="default" w:ascii="Times New Roman" w:hAnsi="Times New Roman" w:cs="Times New Roman"/>
                      <w:b w:val="0"/>
                      <w:bCs/>
                      <w:color w:val="auto"/>
                      <w:spacing w:val="0"/>
                      <w:sz w:val="21"/>
                      <w:szCs w:val="21"/>
                      <w:u w:val="none"/>
                      <w:lang w:val="en-US" w:eastAsia="zh-CN"/>
                    </w:rPr>
                    <w:t>建成后将按要求</w:t>
                  </w:r>
                  <w:r>
                    <w:rPr>
                      <w:rFonts w:hint="eastAsia" w:ascii="Times New Roman" w:hAnsi="Times New Roman" w:cs="Times New Roman"/>
                      <w:b w:val="0"/>
                      <w:bCs/>
                      <w:color w:val="auto"/>
                      <w:spacing w:val="0"/>
                      <w:sz w:val="21"/>
                      <w:szCs w:val="21"/>
                      <w:u w:val="none"/>
                      <w:lang w:val="en-US" w:eastAsia="zh-CN"/>
                    </w:rPr>
                    <w:t>节能降碳</w:t>
                  </w:r>
                  <w:r>
                    <w:rPr>
                      <w:rFonts w:hint="default" w:ascii="Times New Roman" w:hAnsi="Times New Roman" w:cs="Times New Roman"/>
                      <w:b w:val="0"/>
                      <w:bCs/>
                      <w:color w:val="auto"/>
                      <w:spacing w:val="0"/>
                      <w:sz w:val="21"/>
                      <w:szCs w:val="21"/>
                      <w:u w:val="none"/>
                      <w:lang w:val="en-US" w:eastAsia="zh-CN"/>
                    </w:rPr>
                    <w:t>。</w:t>
                  </w:r>
                </w:p>
                <w:p w14:paraId="6AA25787">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lang w:val="en-US" w:eastAsia="zh-CN"/>
                    </w:rPr>
                  </w:pPr>
                  <w:r>
                    <w:rPr>
                      <w:rFonts w:hint="default" w:ascii="Times New Roman" w:hAnsi="Times New Roman" w:cs="Times New Roman"/>
                      <w:b w:val="0"/>
                      <w:bCs/>
                      <w:color w:val="auto"/>
                      <w:spacing w:val="0"/>
                      <w:sz w:val="21"/>
                      <w:szCs w:val="21"/>
                      <w:u w:val="none"/>
                      <w:lang w:val="en-US" w:eastAsia="zh-CN"/>
                    </w:rPr>
                    <w:t>4.本项目</w:t>
                  </w:r>
                  <w:r>
                    <w:rPr>
                      <w:rFonts w:hint="eastAsia" w:ascii="Times New Roman" w:hAnsi="Times New Roman" w:cs="Times New Roman"/>
                      <w:b w:val="0"/>
                      <w:bCs/>
                      <w:color w:val="auto"/>
                      <w:spacing w:val="0"/>
                      <w:sz w:val="21"/>
                      <w:szCs w:val="21"/>
                      <w:u w:val="none"/>
                      <w:lang w:val="en-US" w:eastAsia="zh-CN"/>
                    </w:rPr>
                    <w:t>能源为电能，均属于</w:t>
                  </w:r>
                  <w:r>
                    <w:rPr>
                      <w:rFonts w:hint="default" w:ascii="Times New Roman" w:hAnsi="Times New Roman" w:cs="Times New Roman"/>
                      <w:b w:val="0"/>
                      <w:bCs/>
                      <w:color w:val="auto"/>
                      <w:spacing w:val="0"/>
                      <w:sz w:val="21"/>
                      <w:szCs w:val="21"/>
                      <w:u w:val="none"/>
                      <w:lang w:val="en-US" w:eastAsia="zh-CN"/>
                    </w:rPr>
                    <w:t>清洁能源。</w:t>
                  </w:r>
                </w:p>
                <w:p w14:paraId="6EB6153F">
                  <w:pPr>
                    <w:pStyle w:val="74"/>
                    <w:keepNext w:val="0"/>
                    <w:keepLines w:val="0"/>
                    <w:pageBreakBefore w:val="0"/>
                    <w:kinsoku/>
                    <w:overflowPunct/>
                    <w:topLinePunct w:val="0"/>
                    <w:autoSpaceDE/>
                    <w:autoSpaceDN/>
                    <w:bidi w:val="0"/>
                    <w:spacing w:line="240" w:lineRule="auto"/>
                    <w:ind w:firstLine="0" w:firstLineChars="0"/>
                    <w:rPr>
                      <w:rFonts w:hint="default" w:ascii="Times New Roman" w:hAnsi="Times New Roman" w:cs="Times New Roman"/>
                      <w:b w:val="0"/>
                      <w:bCs/>
                      <w:color w:val="auto"/>
                      <w:spacing w:val="0"/>
                      <w:sz w:val="21"/>
                      <w:szCs w:val="21"/>
                      <w:u w:val="none"/>
                    </w:rPr>
                  </w:pPr>
                  <w:r>
                    <w:rPr>
                      <w:rFonts w:hint="default" w:ascii="Times New Roman" w:hAnsi="Times New Roman" w:cs="Times New Roman"/>
                      <w:b w:val="0"/>
                      <w:bCs/>
                      <w:color w:val="auto"/>
                      <w:spacing w:val="0"/>
                      <w:sz w:val="21"/>
                      <w:szCs w:val="21"/>
                      <w:u w:val="none"/>
                      <w:lang w:val="en-US" w:eastAsia="zh-CN"/>
                    </w:rPr>
                    <w:t>5.本项目用水</w:t>
                  </w:r>
                  <w:r>
                    <w:rPr>
                      <w:rFonts w:hint="eastAsia" w:ascii="Times New Roman" w:hAnsi="Times New Roman" w:cs="Times New Roman"/>
                      <w:b w:val="0"/>
                      <w:bCs/>
                      <w:color w:val="auto"/>
                      <w:spacing w:val="0"/>
                      <w:sz w:val="21"/>
                      <w:szCs w:val="21"/>
                      <w:u w:val="none"/>
                      <w:lang w:val="en-US" w:eastAsia="zh-CN"/>
                    </w:rPr>
                    <w:t>为自来水，不涉及地下水取水</w:t>
                  </w:r>
                  <w:r>
                    <w:rPr>
                      <w:rFonts w:hint="default" w:ascii="Times New Roman" w:hAnsi="Times New Roman" w:cs="Times New Roman"/>
                      <w:b w:val="0"/>
                      <w:bCs/>
                      <w:color w:val="auto"/>
                      <w:spacing w:val="0"/>
                      <w:sz w:val="21"/>
                      <w:szCs w:val="21"/>
                      <w:u w:val="none"/>
                      <w:lang w:val="en-US" w:eastAsia="zh-CN"/>
                    </w:rPr>
                    <w:t>。</w:t>
                  </w:r>
                </w:p>
              </w:tc>
              <w:tc>
                <w:tcPr>
                  <w:tcW w:w="339" w:type="dxa"/>
                  <w:noWrap w:val="0"/>
                  <w:vAlign w:val="center"/>
                </w:tcPr>
                <w:p w14:paraId="6B81AC72">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bCs/>
                      <w:color w:val="auto"/>
                      <w:spacing w:val="0"/>
                      <w:sz w:val="21"/>
                      <w:szCs w:val="21"/>
                      <w:lang w:eastAsia="zh-CN"/>
                    </w:rPr>
                  </w:pPr>
                  <w:r>
                    <w:rPr>
                      <w:rFonts w:hint="eastAsia"/>
                      <w:bCs/>
                      <w:color w:val="auto"/>
                      <w:spacing w:val="0"/>
                      <w:sz w:val="21"/>
                      <w:szCs w:val="21"/>
                      <w:lang w:eastAsia="zh-CN"/>
                    </w:rPr>
                    <w:t>符合</w:t>
                  </w:r>
                </w:p>
              </w:tc>
            </w:tr>
            <w:tr w14:paraId="59951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262" w:hRule="atLeast"/>
                <w:jc w:val="center"/>
              </w:trPr>
              <w:tc>
                <w:tcPr>
                  <w:tcW w:w="7695" w:type="dxa"/>
                  <w:gridSpan w:val="5"/>
                  <w:noWrap w:val="0"/>
                  <w:tcMar>
                    <w:top w:w="28" w:type="dxa"/>
                    <w:bottom w:w="57" w:type="dxa"/>
                  </w:tcMar>
                  <w:vAlign w:val="center"/>
                </w:tcPr>
                <w:p w14:paraId="6A97C0B7">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bCs/>
                      <w:color w:val="auto"/>
                      <w:spacing w:val="0"/>
                      <w:sz w:val="21"/>
                      <w:szCs w:val="21"/>
                      <w:lang w:eastAsia="zh-CN"/>
                    </w:rPr>
                  </w:pPr>
                  <w:r>
                    <w:rPr>
                      <w:rFonts w:hint="eastAsia"/>
                      <w:bCs/>
                      <w:color w:val="auto"/>
                      <w:spacing w:val="0"/>
                      <w:sz w:val="21"/>
                      <w:szCs w:val="21"/>
                      <w:lang w:eastAsia="zh-CN"/>
                    </w:rPr>
                    <w:t>重点区域生态环境管控要求</w:t>
                  </w:r>
                </w:p>
              </w:tc>
            </w:tr>
            <w:tr w14:paraId="5C790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591" w:type="dxa"/>
                  <w:gridSpan w:val="2"/>
                  <w:noWrap w:val="0"/>
                  <w:tcMar>
                    <w:top w:w="28" w:type="dxa"/>
                    <w:bottom w:w="57" w:type="dxa"/>
                  </w:tcMar>
                  <w:vAlign w:val="center"/>
                </w:tcPr>
                <w:p w14:paraId="7D8A3D4A">
                  <w:pPr>
                    <w:pStyle w:val="20"/>
                    <w:keepNext w:val="0"/>
                    <w:keepLines w:val="0"/>
                    <w:pageBreakBefore w:val="0"/>
                    <w:kinsoku/>
                    <w:overflowPunct/>
                    <w:topLinePunct w:val="0"/>
                    <w:autoSpaceDE/>
                    <w:autoSpaceDN/>
                    <w:bidi w:val="0"/>
                    <w:snapToGrid w:val="0"/>
                    <w:spacing w:before="0" w:beforeAutospacing="0" w:after="0" w:afterAutospacing="0" w:line="240" w:lineRule="auto"/>
                    <w:ind w:firstLine="0" w:firstLineChars="0"/>
                    <w:jc w:val="both"/>
                    <w:outlineLvl w:val="0"/>
                    <w:rPr>
                      <w:rFonts w:hint="default" w:ascii="Times New Roman" w:hAnsi="Times New Roman" w:eastAsia="宋体" w:cs="Times New Roman"/>
                      <w:bCs/>
                      <w:snapToGrid w:val="0"/>
                      <w:color w:val="auto"/>
                      <w:spacing w:val="0"/>
                      <w:sz w:val="21"/>
                      <w:szCs w:val="21"/>
                    </w:rPr>
                  </w:pPr>
                  <w:r>
                    <w:rPr>
                      <w:rFonts w:hint="default" w:ascii="Times New Roman" w:hAnsi="Times New Roman" w:eastAsia="宋体" w:cs="Times New Roman"/>
                      <w:b w:val="0"/>
                      <w:bCs/>
                      <w:color w:val="auto"/>
                      <w:spacing w:val="0"/>
                      <w:sz w:val="21"/>
                      <w:szCs w:val="21"/>
                    </w:rPr>
                    <w:t>空间布局约束</w:t>
                  </w:r>
                </w:p>
              </w:tc>
              <w:tc>
                <w:tcPr>
                  <w:tcW w:w="4137" w:type="dxa"/>
                  <w:noWrap w:val="0"/>
                  <w:tcMar>
                    <w:top w:w="28" w:type="dxa"/>
                    <w:bottom w:w="57" w:type="dxa"/>
                  </w:tcMar>
                  <w:vAlign w:val="center"/>
                </w:tcPr>
                <w:p w14:paraId="4001A25C">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1.坚决遏制“两高”项目盲目发展，落实《中共河南省委</w:t>
                  </w:r>
                  <w:r>
                    <w:rPr>
                      <w:rFonts w:hint="eastAsia" w:ascii="Times New Roman" w:hAnsi="Times New Roman" w:eastAsia="宋体" w:cs="Times New Roman"/>
                      <w:color w:val="auto"/>
                      <w:spacing w:val="0"/>
                      <w:kern w:val="0"/>
                      <w:sz w:val="21"/>
                      <w:szCs w:val="21"/>
                      <w:lang w:val="en-US" w:eastAsia="zh-CN" w:bidi="ar"/>
                    </w:rPr>
                    <w:t xml:space="preserve"> </w:t>
                  </w:r>
                  <w:r>
                    <w:rPr>
                      <w:rFonts w:hint="default" w:ascii="Times New Roman" w:hAnsi="Times New Roman" w:eastAsia="宋体" w:cs="Times New Roman"/>
                      <w:color w:val="auto"/>
                      <w:spacing w:val="0"/>
                      <w:kern w:val="0"/>
                      <w:sz w:val="21"/>
                      <w:szCs w:val="21"/>
                      <w:lang w:val="en-US" w:eastAsia="zh-CN" w:bidi="ar"/>
                    </w:rPr>
                    <w:t>河南省人民政府 关于深入打好污染防治攻坚战的实施意见》中关于空间布局约束的相关要求。</w:t>
                  </w:r>
                </w:p>
                <w:p w14:paraId="72A9543C">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2.严控磷铵、电石、黄磷等行业新增产能，禁止新建用汞的（聚）氯乙烯产能，加快低效落后产能退出。</w:t>
                  </w:r>
                </w:p>
                <w:p w14:paraId="19B828E7">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 xml:space="preserve">3.原则上禁止新建企业自备燃煤机组，有序关停整合30万千瓦以上热电联产机组供热合理半径范围内的落后燃煤小热电机组（含自备电厂）。 </w:t>
                  </w:r>
                </w:p>
                <w:p w14:paraId="26CC5E3C">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4.优化危险化学品生产布局，禁止在化工园区外新建、扩建危险化学品生产项目。新建危险化学品生产项目必须进入通过认定的一般或较低安全风险的化工园区（与其他行业生产装置配套建设的项目除外）。</w:t>
                  </w:r>
                </w:p>
                <w:p w14:paraId="028686D5">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5.新建、扩建石化项目不得位于黄河干支流岸线管控范围内等法律法规明令禁止的区域，尽可能远离居民集中区、医院、学校等环境敏感区。</w:t>
                  </w:r>
                </w:p>
                <w:p w14:paraId="6D581CBA">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bCs/>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6.严格采矿权准入管理，新建露天矿山项目原则上必须位于省级矿产资源规划划定的重点开采区内，鼓励集中连片规模化开发。</w:t>
                  </w:r>
                </w:p>
              </w:tc>
              <w:tc>
                <w:tcPr>
                  <w:tcW w:w="2628" w:type="dxa"/>
                  <w:noWrap w:val="0"/>
                  <w:vAlign w:val="center"/>
                </w:tcPr>
                <w:p w14:paraId="10E4181C">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val="en-US" w:eastAsia="zh-CN"/>
                    </w:rPr>
                  </w:pPr>
                  <w:r>
                    <w:rPr>
                      <w:rFonts w:hint="eastAsia"/>
                      <w:bCs/>
                      <w:color w:val="auto"/>
                      <w:spacing w:val="0"/>
                      <w:sz w:val="21"/>
                      <w:szCs w:val="21"/>
                      <w:lang w:val="en-US" w:eastAsia="zh-CN"/>
                    </w:rPr>
                    <w:t>1.本项目不属于</w:t>
                  </w:r>
                  <w:r>
                    <w:rPr>
                      <w:rFonts w:hint="default" w:ascii="Times New Roman" w:hAnsi="Times New Roman" w:cs="Times New Roman"/>
                      <w:bCs/>
                      <w:color w:val="auto"/>
                      <w:spacing w:val="0"/>
                      <w:sz w:val="21"/>
                      <w:szCs w:val="21"/>
                      <w:lang w:val="en-US" w:eastAsia="zh-CN"/>
                    </w:rPr>
                    <w:t>“</w:t>
                  </w:r>
                  <w:r>
                    <w:rPr>
                      <w:rFonts w:hint="eastAsia"/>
                      <w:bCs/>
                      <w:color w:val="auto"/>
                      <w:spacing w:val="0"/>
                      <w:sz w:val="21"/>
                      <w:szCs w:val="21"/>
                      <w:lang w:val="en-US" w:eastAsia="zh-CN"/>
                    </w:rPr>
                    <w:t>两高</w:t>
                  </w:r>
                  <w:r>
                    <w:rPr>
                      <w:rFonts w:hint="default" w:ascii="Times New Roman" w:hAnsi="Times New Roman" w:cs="Times New Roman"/>
                      <w:bCs/>
                      <w:color w:val="auto"/>
                      <w:spacing w:val="0"/>
                      <w:sz w:val="21"/>
                      <w:szCs w:val="21"/>
                      <w:lang w:val="en-US" w:eastAsia="zh-CN"/>
                    </w:rPr>
                    <w:t>”</w:t>
                  </w:r>
                  <w:r>
                    <w:rPr>
                      <w:rFonts w:hint="eastAsia"/>
                      <w:bCs/>
                      <w:color w:val="auto"/>
                      <w:spacing w:val="0"/>
                      <w:sz w:val="21"/>
                      <w:szCs w:val="21"/>
                      <w:lang w:val="en-US" w:eastAsia="zh-CN"/>
                    </w:rPr>
                    <w:t>项目；</w:t>
                  </w:r>
                </w:p>
                <w:p w14:paraId="7CDAEE5B">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val="en-US" w:eastAsia="zh-CN"/>
                    </w:rPr>
                  </w:pPr>
                  <w:r>
                    <w:rPr>
                      <w:rFonts w:hint="eastAsia"/>
                      <w:bCs/>
                      <w:color w:val="auto"/>
                      <w:spacing w:val="0"/>
                      <w:sz w:val="21"/>
                      <w:szCs w:val="21"/>
                      <w:lang w:val="en-US" w:eastAsia="zh-CN"/>
                    </w:rPr>
                    <w:t>2.本项目属于机械零部件加工行业，不属于磷铵、电石、黄磷等行业。</w:t>
                  </w:r>
                </w:p>
                <w:p w14:paraId="6A0D9454">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val="en-US" w:eastAsia="zh-CN"/>
                    </w:rPr>
                  </w:pPr>
                  <w:r>
                    <w:rPr>
                      <w:rFonts w:hint="eastAsia"/>
                      <w:bCs/>
                      <w:color w:val="auto"/>
                      <w:spacing w:val="0"/>
                      <w:sz w:val="21"/>
                      <w:szCs w:val="21"/>
                      <w:lang w:val="en-US" w:eastAsia="zh-CN"/>
                    </w:rPr>
                    <w:t>3.本项目不涉及燃煤机组；</w:t>
                  </w:r>
                </w:p>
                <w:p w14:paraId="02601887">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val="en-US" w:eastAsia="zh-CN"/>
                    </w:rPr>
                  </w:pPr>
                  <w:r>
                    <w:rPr>
                      <w:rFonts w:hint="eastAsia"/>
                      <w:bCs/>
                      <w:color w:val="auto"/>
                      <w:spacing w:val="0"/>
                      <w:sz w:val="21"/>
                      <w:szCs w:val="21"/>
                      <w:lang w:val="en-US" w:eastAsia="zh-CN"/>
                    </w:rPr>
                    <w:t>4.本项目不属于危险化学品生产项目；</w:t>
                  </w:r>
                </w:p>
                <w:p w14:paraId="43EE45FC">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val="en-US" w:eastAsia="zh-CN"/>
                    </w:rPr>
                  </w:pPr>
                  <w:r>
                    <w:rPr>
                      <w:rFonts w:hint="eastAsia"/>
                      <w:bCs/>
                      <w:color w:val="auto"/>
                      <w:spacing w:val="0"/>
                      <w:sz w:val="21"/>
                      <w:szCs w:val="21"/>
                      <w:lang w:val="en-US" w:eastAsia="zh-CN"/>
                    </w:rPr>
                    <w:t>5.本项目不属于石化项目；</w:t>
                  </w:r>
                </w:p>
                <w:p w14:paraId="75F96EAC">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default"/>
                      <w:color w:val="auto"/>
                      <w:spacing w:val="0"/>
                      <w:sz w:val="21"/>
                      <w:szCs w:val="21"/>
                      <w:lang w:val="en-US" w:eastAsia="zh-CN"/>
                    </w:rPr>
                  </w:pPr>
                  <w:r>
                    <w:rPr>
                      <w:rFonts w:hint="eastAsia"/>
                      <w:bCs/>
                      <w:color w:val="auto"/>
                      <w:spacing w:val="0"/>
                      <w:sz w:val="21"/>
                      <w:szCs w:val="21"/>
                      <w:lang w:val="en-US" w:eastAsia="zh-CN"/>
                    </w:rPr>
                    <w:t>6.本项目不涉及。</w:t>
                  </w:r>
                </w:p>
              </w:tc>
              <w:tc>
                <w:tcPr>
                  <w:tcW w:w="339" w:type="dxa"/>
                  <w:noWrap w:val="0"/>
                  <w:vAlign w:val="center"/>
                </w:tcPr>
                <w:p w14:paraId="040B46F5">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bCs/>
                      <w:color w:val="auto"/>
                      <w:spacing w:val="0"/>
                      <w:sz w:val="21"/>
                      <w:szCs w:val="21"/>
                      <w:lang w:eastAsia="zh-CN"/>
                    </w:rPr>
                  </w:pPr>
                  <w:r>
                    <w:rPr>
                      <w:rFonts w:hint="eastAsia"/>
                      <w:bCs/>
                      <w:color w:val="auto"/>
                      <w:spacing w:val="0"/>
                      <w:sz w:val="21"/>
                      <w:szCs w:val="21"/>
                      <w:lang w:eastAsia="zh-CN"/>
                    </w:rPr>
                    <w:t>符合</w:t>
                  </w:r>
                </w:p>
              </w:tc>
            </w:tr>
            <w:tr w14:paraId="1F10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591" w:type="dxa"/>
                  <w:gridSpan w:val="2"/>
                  <w:noWrap w:val="0"/>
                  <w:tcMar>
                    <w:top w:w="28" w:type="dxa"/>
                    <w:bottom w:w="57" w:type="dxa"/>
                  </w:tcMar>
                  <w:vAlign w:val="center"/>
                </w:tcPr>
                <w:p w14:paraId="051529E0">
                  <w:pPr>
                    <w:pStyle w:val="20"/>
                    <w:keepNext w:val="0"/>
                    <w:keepLines w:val="0"/>
                    <w:pageBreakBefore w:val="0"/>
                    <w:kinsoku/>
                    <w:overflowPunct/>
                    <w:topLinePunct w:val="0"/>
                    <w:autoSpaceDE/>
                    <w:autoSpaceDN/>
                    <w:bidi w:val="0"/>
                    <w:snapToGrid w:val="0"/>
                    <w:spacing w:before="0" w:beforeAutospacing="0" w:after="0" w:afterAutospacing="0" w:line="240" w:lineRule="auto"/>
                    <w:ind w:firstLine="0" w:firstLineChars="0"/>
                    <w:jc w:val="both"/>
                    <w:outlineLvl w:val="0"/>
                    <w:rPr>
                      <w:rFonts w:hint="default" w:ascii="Times New Roman" w:hAnsi="Times New Roman" w:eastAsia="宋体" w:cs="Times New Roman"/>
                      <w:bCs/>
                      <w:snapToGrid w:val="0"/>
                      <w:color w:val="auto"/>
                      <w:spacing w:val="0"/>
                      <w:sz w:val="21"/>
                      <w:szCs w:val="21"/>
                    </w:rPr>
                  </w:pPr>
                  <w:r>
                    <w:rPr>
                      <w:rFonts w:hint="default" w:ascii="Times New Roman" w:hAnsi="Times New Roman" w:eastAsia="宋体" w:cs="Times New Roman"/>
                      <w:b w:val="0"/>
                      <w:bCs/>
                      <w:color w:val="auto"/>
                      <w:spacing w:val="0"/>
                      <w:sz w:val="21"/>
                      <w:szCs w:val="21"/>
                    </w:rPr>
                    <w:t>污染物排放管控</w:t>
                  </w:r>
                </w:p>
              </w:tc>
              <w:tc>
                <w:tcPr>
                  <w:tcW w:w="4137" w:type="dxa"/>
                  <w:noWrap w:val="0"/>
                  <w:tcMar>
                    <w:top w:w="28" w:type="dxa"/>
                    <w:bottom w:w="57" w:type="dxa"/>
                  </w:tcMar>
                  <w:vAlign w:val="center"/>
                </w:tcPr>
                <w:p w14:paraId="55A7FB1C">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 xml:space="preserve">1.落实超低排放要求、无组织排放特别控制要求。 </w:t>
                  </w:r>
                </w:p>
                <w:p w14:paraId="4A069A81">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2.聚焦夏秋季臭氧污染，推进挥发性有机物和氮氧化物协同减排。以石化、化工、涂装、医药、包装印刷、油品储运销等行业领域为重点，推进挥发性有机物综合治理，实施原辅材料和产品源头替代工程。</w:t>
                  </w:r>
                </w:p>
                <w:p w14:paraId="23A13E1D">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3.全面淘汰国三及以下排放标准营运中重型柴油货车；推进大宗货物“公转铁”“公转水”。</w:t>
                  </w:r>
                </w:p>
                <w:p w14:paraId="2FA1B73E">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4.全面推广绿色化工制造技术，实现化工原料和反应介质、生产工艺和制造过程绿色化，从源头上控制和减少污染。</w:t>
                  </w:r>
                </w:p>
                <w:p w14:paraId="72F891D0">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bCs/>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5.推行农业绿色生产方式，协同推进种植业、养殖业节能减排与污染治理；推广生物质能、太阳能等绿色用能模式，加快农业及农产品加工设施等可再生能源替代。</w:t>
                  </w:r>
                </w:p>
              </w:tc>
              <w:tc>
                <w:tcPr>
                  <w:tcW w:w="2628" w:type="dxa"/>
                  <w:noWrap w:val="0"/>
                  <w:vAlign w:val="center"/>
                </w:tcPr>
                <w:p w14:paraId="2B0C3B26">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val="en-US" w:eastAsia="zh-CN"/>
                    </w:rPr>
                  </w:pPr>
                  <w:r>
                    <w:rPr>
                      <w:rFonts w:hint="eastAsia"/>
                      <w:bCs/>
                      <w:color w:val="auto"/>
                      <w:spacing w:val="0"/>
                      <w:sz w:val="21"/>
                      <w:szCs w:val="21"/>
                      <w:lang w:val="en-US" w:eastAsia="zh-CN"/>
                    </w:rPr>
                    <w:t>1.本项目不涉及废气；</w:t>
                  </w:r>
                </w:p>
                <w:p w14:paraId="1AF82907">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val="en-US" w:eastAsia="zh-CN"/>
                    </w:rPr>
                  </w:pPr>
                  <w:r>
                    <w:rPr>
                      <w:rFonts w:hint="eastAsia"/>
                      <w:bCs/>
                      <w:color w:val="auto"/>
                      <w:spacing w:val="0"/>
                      <w:sz w:val="21"/>
                      <w:szCs w:val="21"/>
                      <w:lang w:val="en-US" w:eastAsia="zh-CN"/>
                    </w:rPr>
                    <w:t>2.本项目不涉及；</w:t>
                  </w:r>
                </w:p>
                <w:p w14:paraId="3CA2C7DB">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ascii="Times New Roman" w:hAnsi="Times New Roman" w:eastAsia="宋体" w:cs="Times New Roman"/>
                      <w:color w:val="auto"/>
                      <w:spacing w:val="0"/>
                      <w:sz w:val="21"/>
                      <w:szCs w:val="21"/>
                      <w:lang w:val="en-US" w:eastAsia="zh-CN"/>
                    </w:rPr>
                  </w:pPr>
                  <w:r>
                    <w:rPr>
                      <w:rFonts w:hint="eastAsia"/>
                      <w:bCs/>
                      <w:color w:val="auto"/>
                      <w:spacing w:val="0"/>
                      <w:sz w:val="21"/>
                      <w:szCs w:val="21"/>
                      <w:lang w:val="en-US" w:eastAsia="zh-CN"/>
                    </w:rPr>
                    <w:t>3.</w:t>
                  </w:r>
                  <w:r>
                    <w:rPr>
                      <w:rFonts w:hint="default" w:ascii="Times New Roman" w:hAnsi="Times New Roman" w:eastAsia="宋体" w:cs="Times New Roman"/>
                      <w:color w:val="auto"/>
                      <w:spacing w:val="0"/>
                      <w:sz w:val="21"/>
                      <w:szCs w:val="21"/>
                      <w:lang w:val="en-US" w:eastAsia="zh-CN"/>
                    </w:rPr>
                    <w:t>本</w:t>
                  </w:r>
                  <w:r>
                    <w:rPr>
                      <w:rFonts w:hint="eastAsia" w:ascii="Times New Roman" w:hAnsi="Times New Roman" w:eastAsia="宋体" w:cs="Times New Roman"/>
                      <w:color w:val="auto"/>
                      <w:spacing w:val="0"/>
                      <w:sz w:val="21"/>
                      <w:szCs w:val="21"/>
                      <w:lang w:val="en-US" w:eastAsia="zh-CN"/>
                    </w:rPr>
                    <w:t>项目</w:t>
                  </w:r>
                  <w:r>
                    <w:rPr>
                      <w:rFonts w:hint="default" w:ascii="Times New Roman" w:hAnsi="Times New Roman" w:eastAsia="宋体" w:cs="Times New Roman"/>
                      <w:color w:val="auto"/>
                      <w:spacing w:val="0"/>
                      <w:sz w:val="21"/>
                      <w:szCs w:val="21"/>
                      <w:lang w:val="en-US" w:eastAsia="zh-CN"/>
                    </w:rPr>
                    <w:t>物料运输、场内运输</w:t>
                  </w:r>
                  <w:r>
                    <w:rPr>
                      <w:rFonts w:hint="eastAsia" w:ascii="Times New Roman" w:hAnsi="Times New Roman" w:eastAsia="宋体" w:cs="Times New Roman"/>
                      <w:color w:val="auto"/>
                      <w:spacing w:val="0"/>
                      <w:sz w:val="21"/>
                      <w:szCs w:val="21"/>
                      <w:lang w:val="en-US" w:eastAsia="zh-CN"/>
                    </w:rPr>
                    <w:t>均</w:t>
                  </w:r>
                  <w:r>
                    <w:rPr>
                      <w:rFonts w:hint="default" w:ascii="Times New Roman" w:hAnsi="Times New Roman" w:eastAsia="宋体" w:cs="Times New Roman"/>
                      <w:color w:val="auto"/>
                      <w:spacing w:val="0"/>
                      <w:sz w:val="21"/>
                      <w:szCs w:val="21"/>
                      <w:lang w:val="en-US" w:eastAsia="zh-CN"/>
                    </w:rPr>
                    <w:t>采用国五</w:t>
                  </w:r>
                  <w:r>
                    <w:rPr>
                      <w:rFonts w:hint="eastAsia" w:ascii="Times New Roman" w:hAnsi="Times New Roman" w:eastAsia="宋体" w:cs="Times New Roman"/>
                      <w:color w:val="auto"/>
                      <w:spacing w:val="0"/>
                      <w:sz w:val="21"/>
                      <w:szCs w:val="21"/>
                      <w:lang w:val="en-US" w:eastAsia="zh-CN"/>
                    </w:rPr>
                    <w:t>及</w:t>
                  </w:r>
                  <w:r>
                    <w:rPr>
                      <w:rFonts w:hint="default" w:ascii="Times New Roman" w:hAnsi="Times New Roman" w:eastAsia="宋体" w:cs="Times New Roman"/>
                      <w:color w:val="auto"/>
                      <w:spacing w:val="0"/>
                      <w:sz w:val="21"/>
                      <w:szCs w:val="21"/>
                      <w:lang w:val="en-US" w:eastAsia="zh-CN"/>
                    </w:rPr>
                    <w:t>以</w:t>
                  </w:r>
                  <w:r>
                    <w:rPr>
                      <w:rFonts w:hint="eastAsia" w:ascii="Times New Roman" w:hAnsi="Times New Roman" w:eastAsia="宋体" w:cs="Times New Roman"/>
                      <w:color w:val="auto"/>
                      <w:spacing w:val="0"/>
                      <w:sz w:val="21"/>
                      <w:szCs w:val="21"/>
                      <w:lang w:val="en-US" w:eastAsia="zh-CN"/>
                    </w:rPr>
                    <w:t>上排放标准的车辆；</w:t>
                  </w:r>
                </w:p>
                <w:p w14:paraId="580FBCB7">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ascii="Times New Roman" w:hAnsi="Times New Roman" w:eastAsia="宋体" w:cs="Times New Roman"/>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4.本项目不涉及；</w:t>
                  </w:r>
                </w:p>
                <w:p w14:paraId="08FA5FB5">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default" w:eastAsia="宋体"/>
                      <w:bCs/>
                      <w:color w:val="auto"/>
                      <w:spacing w:val="0"/>
                      <w:sz w:val="21"/>
                      <w:szCs w:val="21"/>
                      <w:lang w:val="en-US" w:eastAsia="zh-CN"/>
                    </w:rPr>
                  </w:pPr>
                  <w:r>
                    <w:rPr>
                      <w:rFonts w:hint="eastAsia" w:ascii="Times New Roman" w:hAnsi="Times New Roman" w:eastAsia="宋体" w:cs="Times New Roman"/>
                      <w:color w:val="auto"/>
                      <w:spacing w:val="0"/>
                      <w:sz w:val="21"/>
                      <w:szCs w:val="21"/>
                      <w:lang w:val="en-US" w:eastAsia="zh-CN"/>
                    </w:rPr>
                    <w:t>5.本项目不涉及。</w:t>
                  </w:r>
                </w:p>
              </w:tc>
              <w:tc>
                <w:tcPr>
                  <w:tcW w:w="339" w:type="dxa"/>
                  <w:noWrap w:val="0"/>
                  <w:vAlign w:val="center"/>
                </w:tcPr>
                <w:p w14:paraId="1D052AC2">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bCs/>
                      <w:color w:val="auto"/>
                      <w:spacing w:val="0"/>
                      <w:sz w:val="21"/>
                      <w:szCs w:val="21"/>
                      <w:lang w:eastAsia="zh-CN"/>
                    </w:rPr>
                  </w:pPr>
                  <w:r>
                    <w:rPr>
                      <w:rFonts w:hint="eastAsia"/>
                      <w:bCs/>
                      <w:color w:val="auto"/>
                      <w:spacing w:val="0"/>
                      <w:sz w:val="21"/>
                      <w:szCs w:val="21"/>
                      <w:lang w:eastAsia="zh-CN"/>
                    </w:rPr>
                    <w:t>符合</w:t>
                  </w:r>
                </w:p>
              </w:tc>
            </w:tr>
            <w:tr w14:paraId="19B39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591" w:type="dxa"/>
                  <w:gridSpan w:val="2"/>
                  <w:noWrap w:val="0"/>
                  <w:tcMar>
                    <w:top w:w="28" w:type="dxa"/>
                    <w:bottom w:w="57" w:type="dxa"/>
                  </w:tcMar>
                  <w:vAlign w:val="center"/>
                </w:tcPr>
                <w:p w14:paraId="2591B1CE">
                  <w:pPr>
                    <w:pStyle w:val="20"/>
                    <w:keepNext w:val="0"/>
                    <w:keepLines w:val="0"/>
                    <w:pageBreakBefore w:val="0"/>
                    <w:kinsoku/>
                    <w:overflowPunct/>
                    <w:topLinePunct w:val="0"/>
                    <w:autoSpaceDE/>
                    <w:autoSpaceDN/>
                    <w:bidi w:val="0"/>
                    <w:snapToGrid w:val="0"/>
                    <w:spacing w:before="0" w:beforeAutospacing="0" w:after="0" w:afterAutospacing="0" w:line="240" w:lineRule="auto"/>
                    <w:ind w:firstLine="0" w:firstLineChars="0"/>
                    <w:jc w:val="both"/>
                    <w:outlineLvl w:val="0"/>
                    <w:rPr>
                      <w:rFonts w:hint="default" w:ascii="Times New Roman" w:hAnsi="Times New Roman" w:eastAsia="宋体" w:cs="Times New Roman"/>
                      <w:bCs/>
                      <w:snapToGrid w:val="0"/>
                      <w:color w:val="auto"/>
                      <w:spacing w:val="0"/>
                      <w:sz w:val="21"/>
                      <w:szCs w:val="21"/>
                    </w:rPr>
                  </w:pPr>
                  <w:r>
                    <w:rPr>
                      <w:rFonts w:hint="default" w:ascii="Times New Roman" w:hAnsi="Times New Roman" w:eastAsia="宋体" w:cs="Times New Roman"/>
                      <w:b w:val="0"/>
                      <w:bCs/>
                      <w:color w:val="auto"/>
                      <w:spacing w:val="0"/>
                      <w:sz w:val="21"/>
                      <w:szCs w:val="21"/>
                    </w:rPr>
                    <w:t>环境风险防控</w:t>
                  </w:r>
                </w:p>
              </w:tc>
              <w:tc>
                <w:tcPr>
                  <w:tcW w:w="4137" w:type="dxa"/>
                  <w:noWrap w:val="0"/>
                  <w:tcMar>
                    <w:top w:w="28" w:type="dxa"/>
                    <w:bottom w:w="57" w:type="dxa"/>
                  </w:tcMar>
                  <w:vAlign w:val="center"/>
                </w:tcPr>
                <w:p w14:paraId="2E0B7383">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1.对无法实现低VOCs原辅材料替代的工序，在保证安全情况下，应在密闭设备、密闭空间作业或安装二次密闭设施。</w:t>
                  </w:r>
                </w:p>
                <w:p w14:paraId="24EC79AF">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2.矿山开采、选矿、运输过程中，应采取相应的防尘措施，化学矿、有色金属矿石及产品堆场应采取“三防”措施。</w:t>
                  </w:r>
                </w:p>
                <w:p w14:paraId="029B9BA1">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bCs/>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3.加强空气质量预测预报能力，完善联动应急响应体系，强化区域联防联控。</w:t>
                  </w:r>
                </w:p>
              </w:tc>
              <w:tc>
                <w:tcPr>
                  <w:tcW w:w="2628" w:type="dxa"/>
                  <w:noWrap w:val="0"/>
                  <w:vAlign w:val="center"/>
                </w:tcPr>
                <w:p w14:paraId="0C000F8C">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val="en-US" w:eastAsia="zh-CN"/>
                    </w:rPr>
                  </w:pPr>
                  <w:r>
                    <w:rPr>
                      <w:rFonts w:hint="eastAsia"/>
                      <w:bCs/>
                      <w:color w:val="auto"/>
                      <w:spacing w:val="0"/>
                      <w:sz w:val="21"/>
                      <w:szCs w:val="21"/>
                      <w:lang w:val="en-US" w:eastAsia="zh-CN"/>
                    </w:rPr>
                    <w:t>1.本项目不涉及VOCs；</w:t>
                  </w:r>
                </w:p>
                <w:p w14:paraId="098DA80F">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val="en-US" w:eastAsia="zh-CN"/>
                    </w:rPr>
                  </w:pPr>
                  <w:r>
                    <w:rPr>
                      <w:rFonts w:hint="eastAsia"/>
                      <w:bCs/>
                      <w:color w:val="auto"/>
                      <w:spacing w:val="0"/>
                      <w:sz w:val="21"/>
                      <w:szCs w:val="21"/>
                      <w:lang w:val="en-US" w:eastAsia="zh-CN"/>
                    </w:rPr>
                    <w:t>2.本项目不涉及；</w:t>
                  </w:r>
                </w:p>
                <w:p w14:paraId="200A338E">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default" w:eastAsia="宋体"/>
                      <w:bCs/>
                      <w:color w:val="auto"/>
                      <w:spacing w:val="0"/>
                      <w:sz w:val="21"/>
                      <w:szCs w:val="21"/>
                      <w:lang w:val="en-US" w:eastAsia="zh-CN"/>
                    </w:rPr>
                  </w:pPr>
                  <w:r>
                    <w:rPr>
                      <w:rFonts w:hint="eastAsia"/>
                      <w:bCs/>
                      <w:color w:val="auto"/>
                      <w:spacing w:val="0"/>
                      <w:sz w:val="21"/>
                      <w:szCs w:val="21"/>
                      <w:lang w:val="en-US" w:eastAsia="zh-CN"/>
                    </w:rPr>
                    <w:t>3.本项目建成后将根据环保要求制定环境应急预案强化区域联防联控。</w:t>
                  </w:r>
                </w:p>
              </w:tc>
              <w:tc>
                <w:tcPr>
                  <w:tcW w:w="339" w:type="dxa"/>
                  <w:noWrap w:val="0"/>
                  <w:vAlign w:val="center"/>
                </w:tcPr>
                <w:p w14:paraId="1C7138F3">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bCs/>
                      <w:color w:val="auto"/>
                      <w:spacing w:val="0"/>
                      <w:sz w:val="21"/>
                      <w:szCs w:val="21"/>
                      <w:lang w:eastAsia="zh-CN"/>
                    </w:rPr>
                  </w:pPr>
                  <w:r>
                    <w:rPr>
                      <w:rFonts w:hint="eastAsia"/>
                      <w:bCs/>
                      <w:color w:val="auto"/>
                      <w:spacing w:val="0"/>
                      <w:sz w:val="21"/>
                      <w:szCs w:val="21"/>
                      <w:lang w:eastAsia="zh-CN"/>
                    </w:rPr>
                    <w:t>符合</w:t>
                  </w:r>
                </w:p>
              </w:tc>
            </w:tr>
            <w:tr w14:paraId="32818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591" w:type="dxa"/>
                  <w:gridSpan w:val="2"/>
                  <w:noWrap w:val="0"/>
                  <w:tcMar>
                    <w:top w:w="28" w:type="dxa"/>
                    <w:bottom w:w="57" w:type="dxa"/>
                  </w:tcMar>
                  <w:vAlign w:val="center"/>
                </w:tcPr>
                <w:p w14:paraId="3720E8D6">
                  <w:pPr>
                    <w:pStyle w:val="20"/>
                    <w:keepNext w:val="0"/>
                    <w:keepLines w:val="0"/>
                    <w:pageBreakBefore w:val="0"/>
                    <w:kinsoku/>
                    <w:overflowPunct/>
                    <w:topLinePunct w:val="0"/>
                    <w:autoSpaceDE/>
                    <w:autoSpaceDN/>
                    <w:bidi w:val="0"/>
                    <w:snapToGrid w:val="0"/>
                    <w:spacing w:before="0" w:beforeAutospacing="0" w:after="0" w:afterAutospacing="0" w:line="240" w:lineRule="auto"/>
                    <w:ind w:firstLine="0" w:firstLineChars="0"/>
                    <w:jc w:val="both"/>
                    <w:outlineLvl w:val="0"/>
                    <w:rPr>
                      <w:rFonts w:hint="default" w:ascii="Times New Roman" w:hAnsi="Times New Roman" w:eastAsia="宋体" w:cs="Times New Roman"/>
                      <w:bCs/>
                      <w:snapToGrid w:val="0"/>
                      <w:color w:val="auto"/>
                      <w:spacing w:val="0"/>
                      <w:sz w:val="21"/>
                      <w:szCs w:val="21"/>
                    </w:rPr>
                  </w:pPr>
                  <w:r>
                    <w:rPr>
                      <w:rFonts w:hint="default" w:ascii="Times New Roman" w:hAnsi="Times New Roman" w:eastAsia="宋体" w:cs="Times New Roman"/>
                      <w:b w:val="0"/>
                      <w:bCs/>
                      <w:color w:val="auto"/>
                      <w:spacing w:val="0"/>
                      <w:sz w:val="21"/>
                      <w:szCs w:val="21"/>
                    </w:rPr>
                    <w:t>资源利用效率</w:t>
                  </w:r>
                </w:p>
              </w:tc>
              <w:tc>
                <w:tcPr>
                  <w:tcW w:w="4137" w:type="dxa"/>
                  <w:noWrap w:val="0"/>
                  <w:tcMar>
                    <w:top w:w="28" w:type="dxa"/>
                    <w:bottom w:w="57" w:type="dxa"/>
                  </w:tcMar>
                  <w:vAlign w:val="center"/>
                </w:tcPr>
                <w:p w14:paraId="6634F6FA">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1.严格合理控制煤炭消费，“十四五”期间完成省定煤炭消费总量控制目标。</w:t>
                  </w:r>
                </w:p>
                <w:p w14:paraId="1E7A04A4">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 xml:space="preserve">2.到2025年，吨钢综合能耗达到国内先进水平。 </w:t>
                  </w:r>
                </w:p>
                <w:p w14:paraId="50669DAD">
                  <w:pPr>
                    <w:keepNext w:val="0"/>
                    <w:keepLines w:val="0"/>
                    <w:pageBreakBefore w:val="0"/>
                    <w:widowControl/>
                    <w:suppressLineNumbers w:val="0"/>
                    <w:kinsoku/>
                    <w:overflowPunct/>
                    <w:topLinePunct w:val="0"/>
                    <w:autoSpaceDE/>
                    <w:autoSpaceDN/>
                    <w:bidi w:val="0"/>
                    <w:spacing w:line="240" w:lineRule="auto"/>
                    <w:ind w:firstLine="0" w:firstLineChars="0"/>
                    <w:jc w:val="left"/>
                    <w:rPr>
                      <w:rFonts w:hint="default" w:ascii="Times New Roman" w:hAnsi="Times New Roman" w:eastAsia="宋体" w:cs="Times New Roman"/>
                      <w:bCs/>
                      <w:color w:val="auto"/>
                      <w:spacing w:val="0"/>
                      <w:sz w:val="21"/>
                      <w:szCs w:val="21"/>
                    </w:rPr>
                  </w:pPr>
                  <w:r>
                    <w:rPr>
                      <w:rFonts w:hint="default" w:ascii="Times New Roman" w:hAnsi="Times New Roman" w:eastAsia="宋体" w:cs="Times New Roman"/>
                      <w:color w:val="auto"/>
                      <w:spacing w:val="0"/>
                      <w:kern w:val="0"/>
                      <w:sz w:val="21"/>
                      <w:szCs w:val="21"/>
                      <w:lang w:val="en-US" w:eastAsia="zh-CN" w:bidi="ar"/>
                    </w:rPr>
                    <w:t>3.到2025年，钢铁、石化化工、有色金属、建材等行业重点产品能效达到国际先进水平，规模以上工业单位增加值能耗比2020年下降13.5%。</w:t>
                  </w:r>
                </w:p>
              </w:tc>
              <w:tc>
                <w:tcPr>
                  <w:tcW w:w="2628" w:type="dxa"/>
                  <w:noWrap w:val="0"/>
                  <w:vAlign w:val="center"/>
                </w:tcPr>
                <w:p w14:paraId="2E34448C">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eastAsia="宋体"/>
                      <w:bCs/>
                      <w:color w:val="auto"/>
                      <w:spacing w:val="0"/>
                      <w:sz w:val="21"/>
                      <w:szCs w:val="21"/>
                      <w:lang w:eastAsia="zh-CN"/>
                    </w:rPr>
                  </w:pPr>
                  <w:r>
                    <w:rPr>
                      <w:rFonts w:hint="eastAsia"/>
                      <w:bCs/>
                      <w:color w:val="auto"/>
                      <w:spacing w:val="0"/>
                      <w:sz w:val="21"/>
                      <w:szCs w:val="21"/>
                    </w:rPr>
                    <w:t>本项目不涉及煤炭消费，</w:t>
                  </w:r>
                  <w:r>
                    <w:rPr>
                      <w:rFonts w:hint="eastAsia"/>
                      <w:bCs/>
                      <w:color w:val="auto"/>
                      <w:spacing w:val="0"/>
                      <w:sz w:val="21"/>
                      <w:szCs w:val="21"/>
                      <w:lang w:eastAsia="zh-CN"/>
                    </w:rPr>
                    <w:t>不使用钢，</w:t>
                  </w:r>
                  <w:r>
                    <w:rPr>
                      <w:rFonts w:hint="eastAsia"/>
                      <w:bCs/>
                      <w:color w:val="auto"/>
                      <w:spacing w:val="0"/>
                      <w:sz w:val="21"/>
                      <w:szCs w:val="21"/>
                    </w:rPr>
                    <w:t>不属于钢铁、石化化工、有色金属、建材等行业</w:t>
                  </w:r>
                  <w:r>
                    <w:rPr>
                      <w:rFonts w:hint="eastAsia"/>
                      <w:bCs/>
                      <w:color w:val="auto"/>
                      <w:spacing w:val="0"/>
                      <w:sz w:val="21"/>
                      <w:szCs w:val="21"/>
                      <w:lang w:eastAsia="zh-CN"/>
                    </w:rPr>
                    <w:t>。</w:t>
                  </w:r>
                </w:p>
              </w:tc>
              <w:tc>
                <w:tcPr>
                  <w:tcW w:w="339" w:type="dxa"/>
                  <w:noWrap w:val="0"/>
                  <w:vAlign w:val="center"/>
                </w:tcPr>
                <w:p w14:paraId="429ED49F">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bCs/>
                      <w:color w:val="auto"/>
                      <w:spacing w:val="0"/>
                      <w:sz w:val="21"/>
                      <w:szCs w:val="21"/>
                      <w:lang w:eastAsia="zh-CN"/>
                    </w:rPr>
                  </w:pPr>
                  <w:r>
                    <w:rPr>
                      <w:rFonts w:hint="eastAsia"/>
                      <w:bCs/>
                      <w:color w:val="auto"/>
                      <w:spacing w:val="0"/>
                      <w:sz w:val="21"/>
                      <w:szCs w:val="21"/>
                      <w:lang w:eastAsia="zh-CN"/>
                    </w:rPr>
                    <w:t>符合</w:t>
                  </w:r>
                </w:p>
              </w:tc>
            </w:tr>
            <w:tr w14:paraId="15A72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172" w:hRule="atLeast"/>
                <w:jc w:val="center"/>
              </w:trPr>
              <w:tc>
                <w:tcPr>
                  <w:tcW w:w="7695" w:type="dxa"/>
                  <w:gridSpan w:val="5"/>
                  <w:noWrap w:val="0"/>
                  <w:tcMar>
                    <w:top w:w="28" w:type="dxa"/>
                    <w:bottom w:w="57" w:type="dxa"/>
                  </w:tcMar>
                  <w:vAlign w:val="center"/>
                </w:tcPr>
                <w:p w14:paraId="51B63411">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bCs/>
                      <w:color w:val="auto"/>
                      <w:spacing w:val="0"/>
                      <w:sz w:val="21"/>
                      <w:szCs w:val="21"/>
                      <w:lang w:eastAsia="zh-CN"/>
                    </w:rPr>
                  </w:pPr>
                  <w:r>
                    <w:rPr>
                      <w:rFonts w:hint="eastAsia"/>
                      <w:bCs/>
                      <w:color w:val="auto"/>
                      <w:spacing w:val="0"/>
                      <w:sz w:val="21"/>
                      <w:szCs w:val="21"/>
                    </w:rPr>
                    <w:t>重点流域生态环境管控要求</w:t>
                  </w:r>
                  <w:r>
                    <w:rPr>
                      <w:rFonts w:hint="eastAsia"/>
                      <w:bCs/>
                      <w:color w:val="auto"/>
                      <w:spacing w:val="0"/>
                      <w:sz w:val="21"/>
                      <w:szCs w:val="21"/>
                      <w:lang w:eastAsia="zh-CN"/>
                    </w:rPr>
                    <w:t>（省辖黄河流域）</w:t>
                  </w:r>
                </w:p>
              </w:tc>
            </w:tr>
            <w:tr w14:paraId="24E0E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591" w:type="dxa"/>
                  <w:gridSpan w:val="2"/>
                  <w:noWrap w:val="0"/>
                  <w:tcMar>
                    <w:top w:w="28" w:type="dxa"/>
                    <w:bottom w:w="57" w:type="dxa"/>
                  </w:tcMar>
                  <w:vAlign w:val="center"/>
                </w:tcPr>
                <w:p w14:paraId="67601E8C">
                  <w:pPr>
                    <w:pStyle w:val="20"/>
                    <w:keepNext w:val="0"/>
                    <w:keepLines w:val="0"/>
                    <w:pageBreakBefore w:val="0"/>
                    <w:kinsoku/>
                    <w:overflowPunct/>
                    <w:topLinePunct w:val="0"/>
                    <w:autoSpaceDE/>
                    <w:autoSpaceDN/>
                    <w:bidi w:val="0"/>
                    <w:snapToGrid w:val="0"/>
                    <w:spacing w:before="0" w:beforeAutospacing="0" w:after="0" w:afterAutospacing="0" w:line="240" w:lineRule="auto"/>
                    <w:ind w:firstLine="0" w:firstLineChars="0"/>
                    <w:jc w:val="both"/>
                    <w:outlineLvl w:val="0"/>
                    <w:rPr>
                      <w:rFonts w:ascii="Times New Roman" w:hAnsi="Times New Roman"/>
                      <w:bCs/>
                      <w:snapToGrid w:val="0"/>
                      <w:color w:val="auto"/>
                      <w:spacing w:val="0"/>
                      <w:sz w:val="21"/>
                      <w:szCs w:val="21"/>
                    </w:rPr>
                  </w:pPr>
                  <w:r>
                    <w:rPr>
                      <w:rFonts w:hint="default" w:ascii="Times New Roman" w:hAnsi="Times New Roman" w:eastAsia="宋体" w:cs="Times New Roman"/>
                      <w:b w:val="0"/>
                      <w:bCs/>
                      <w:color w:val="auto"/>
                      <w:spacing w:val="0"/>
                      <w:sz w:val="21"/>
                      <w:szCs w:val="21"/>
                    </w:rPr>
                    <w:t>空间布局约束</w:t>
                  </w:r>
                </w:p>
              </w:tc>
              <w:tc>
                <w:tcPr>
                  <w:tcW w:w="4137" w:type="dxa"/>
                  <w:noWrap w:val="0"/>
                  <w:tcMar>
                    <w:top w:w="28" w:type="dxa"/>
                    <w:bottom w:w="57" w:type="dxa"/>
                  </w:tcMar>
                  <w:vAlign w:val="center"/>
                </w:tcPr>
                <w:p w14:paraId="20DCF363">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rPr>
                  </w:pPr>
                  <w:r>
                    <w:rPr>
                      <w:rFonts w:hint="eastAsia"/>
                      <w:bCs/>
                      <w:color w:val="auto"/>
                      <w:spacing w:val="0"/>
                      <w:sz w:val="21"/>
                      <w:szCs w:val="21"/>
                    </w:rPr>
                    <w:t>1.牢牢把握共同抓好大保护、协同推进大治理的战略导向，对省域范围内需要重点保护的岸线、河段和区域实行严格管控，严控高污染、高耗能、高耗水项目，属于落后产能的项目坚决淘汰；不符合产业政策、生态环境分区管控方案、规划环评以及能耗、水耗等有关要求的工业项目一律不得批准或备案，推动黄河流域高质量发展。</w:t>
                  </w:r>
                </w:p>
                <w:p w14:paraId="5444DA35">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rPr>
                  </w:pPr>
                  <w:r>
                    <w:rPr>
                      <w:rFonts w:hint="eastAsia"/>
                      <w:bCs/>
                      <w:color w:val="auto"/>
                      <w:spacing w:val="0"/>
                      <w:sz w:val="21"/>
                      <w:szCs w:val="21"/>
                    </w:rPr>
                    <w:t>2.有序规范水电开发；加强水电站下泄生态水量监督，保障重要断面生态需水。</w:t>
                  </w:r>
                </w:p>
                <w:p w14:paraId="6E770FEF">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rPr>
                  </w:pPr>
                  <w:r>
                    <w:rPr>
                      <w:rFonts w:hint="eastAsia"/>
                      <w:bCs/>
                      <w:color w:val="auto"/>
                      <w:spacing w:val="0"/>
                      <w:sz w:val="21"/>
                      <w:szCs w:val="21"/>
                    </w:rPr>
                    <w:t>3.实施滩区国土空间差别化用途管制，严格限制自发修建生产堤等无序活动，依法打击非法采土、盗挖河砂、私搭乱建等行为。</w:t>
                  </w:r>
                </w:p>
                <w:p w14:paraId="59A6CD36">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rPr>
                  </w:pPr>
                  <w:r>
                    <w:rPr>
                      <w:rFonts w:hint="eastAsia"/>
                      <w:bCs/>
                      <w:color w:val="auto"/>
                      <w:spacing w:val="0"/>
                      <w:sz w:val="21"/>
                      <w:szCs w:val="21"/>
                    </w:rPr>
                    <w:t>4.推进沿黄重点地区拟建工业项目按要求进入合规工业园区。对不符合安全、环保、用地、取水等规定或手续不齐全的园区，要按相关规定限期整改，整改到位前不得再落地新的工业项目。</w:t>
                  </w:r>
                </w:p>
                <w:p w14:paraId="6913AAF4">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rPr>
                  </w:pPr>
                  <w:r>
                    <w:rPr>
                      <w:rFonts w:hint="eastAsia"/>
                      <w:bCs/>
                      <w:color w:val="auto"/>
                      <w:spacing w:val="0"/>
                      <w:sz w:val="21"/>
                      <w:szCs w:val="21"/>
                    </w:rPr>
                    <w:t>5.禁止将黄河湿地保护区域规划为城市建设用地、商业用地、基本农田；禁止在黄河湿地保护区域内建设居民点、厂房、仓库、餐饮娱乐等设施；禁止其他非防洪防汛和湿地保护的建设活动。</w:t>
                  </w:r>
                </w:p>
                <w:p w14:paraId="6AC1492B">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rPr>
                  </w:pPr>
                  <w:r>
                    <w:rPr>
                      <w:rFonts w:hint="eastAsia"/>
                      <w:bCs/>
                      <w:color w:val="auto"/>
                      <w:spacing w:val="0"/>
                      <w:sz w:val="21"/>
                      <w:szCs w:val="21"/>
                    </w:rPr>
                    <w:t>6.禁止在黄河干支流岸线管控范围内新建、扩建化工园区和化工项目；禁止在黄河干流岸线和重要支流岸线的管控范围内新建、改建、扩建尾矿库，但是以提升安全水平、生态环境保护水平为目的的改建除外。</w:t>
                  </w:r>
                </w:p>
                <w:p w14:paraId="37582063">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bCs/>
                      <w:color w:val="auto"/>
                      <w:spacing w:val="0"/>
                      <w:sz w:val="21"/>
                      <w:szCs w:val="21"/>
                    </w:rPr>
                  </w:pPr>
                  <w:r>
                    <w:rPr>
                      <w:rFonts w:hint="eastAsia"/>
                      <w:bCs/>
                      <w:color w:val="auto"/>
                      <w:spacing w:val="0"/>
                      <w:sz w:val="21"/>
                      <w:szCs w:val="21"/>
                    </w:rPr>
                    <w:t>7.严格落实南水北调干渠水源地保护的有关规定，避免水体受到污染。</w:t>
                  </w:r>
                </w:p>
              </w:tc>
              <w:tc>
                <w:tcPr>
                  <w:tcW w:w="2628" w:type="dxa"/>
                  <w:noWrap w:val="0"/>
                  <w:vAlign w:val="center"/>
                </w:tcPr>
                <w:p w14:paraId="3C918AAE">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eastAsia="zh-CN"/>
                    </w:rPr>
                  </w:pPr>
                  <w:r>
                    <w:rPr>
                      <w:rFonts w:hint="eastAsia"/>
                      <w:bCs/>
                      <w:color w:val="auto"/>
                      <w:spacing w:val="0"/>
                      <w:sz w:val="21"/>
                      <w:szCs w:val="21"/>
                      <w:lang w:val="en-US" w:eastAsia="zh-CN"/>
                    </w:rPr>
                    <w:t>1.本项目不属于</w:t>
                  </w:r>
                  <w:r>
                    <w:rPr>
                      <w:rFonts w:hint="eastAsia"/>
                      <w:bCs/>
                      <w:color w:val="auto"/>
                      <w:spacing w:val="0"/>
                      <w:sz w:val="21"/>
                      <w:szCs w:val="21"/>
                    </w:rPr>
                    <w:t>高污染、高耗能、高耗水项目，</w:t>
                  </w:r>
                  <w:r>
                    <w:rPr>
                      <w:rFonts w:hint="eastAsia"/>
                      <w:bCs/>
                      <w:color w:val="auto"/>
                      <w:spacing w:val="0"/>
                      <w:sz w:val="21"/>
                      <w:szCs w:val="21"/>
                      <w:lang w:eastAsia="zh-CN"/>
                    </w:rPr>
                    <w:t>不</w:t>
                  </w:r>
                  <w:r>
                    <w:rPr>
                      <w:rFonts w:hint="eastAsia"/>
                      <w:bCs/>
                      <w:color w:val="auto"/>
                      <w:spacing w:val="0"/>
                      <w:sz w:val="21"/>
                      <w:szCs w:val="21"/>
                    </w:rPr>
                    <w:t>属于落后产能</w:t>
                  </w:r>
                  <w:r>
                    <w:rPr>
                      <w:rFonts w:hint="eastAsia"/>
                      <w:bCs/>
                      <w:color w:val="auto"/>
                      <w:spacing w:val="0"/>
                      <w:sz w:val="21"/>
                      <w:szCs w:val="21"/>
                      <w:lang w:eastAsia="zh-CN"/>
                    </w:rPr>
                    <w:t>，</w:t>
                  </w:r>
                  <w:r>
                    <w:rPr>
                      <w:rFonts w:hint="eastAsia"/>
                      <w:bCs/>
                      <w:color w:val="auto"/>
                      <w:spacing w:val="0"/>
                      <w:sz w:val="21"/>
                      <w:szCs w:val="21"/>
                    </w:rPr>
                    <w:t>符合产业政策、生态环境分区管控方案、规划环评以及能耗、水耗等有关要求</w:t>
                  </w:r>
                  <w:r>
                    <w:rPr>
                      <w:rFonts w:hint="eastAsia"/>
                      <w:bCs/>
                      <w:color w:val="auto"/>
                      <w:spacing w:val="0"/>
                      <w:sz w:val="21"/>
                      <w:szCs w:val="21"/>
                      <w:lang w:eastAsia="zh-CN"/>
                    </w:rPr>
                    <w:t>；</w:t>
                  </w:r>
                </w:p>
                <w:p w14:paraId="35925DED">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val="en-US" w:eastAsia="zh-CN"/>
                    </w:rPr>
                  </w:pPr>
                  <w:r>
                    <w:rPr>
                      <w:rFonts w:hint="eastAsia"/>
                      <w:bCs/>
                      <w:color w:val="auto"/>
                      <w:spacing w:val="0"/>
                      <w:sz w:val="21"/>
                      <w:szCs w:val="21"/>
                      <w:lang w:val="en-US" w:eastAsia="zh-CN"/>
                    </w:rPr>
                    <w:t>2.本项目不涉及；</w:t>
                  </w:r>
                </w:p>
                <w:p w14:paraId="50248807">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val="en-US" w:eastAsia="zh-CN"/>
                    </w:rPr>
                  </w:pPr>
                  <w:r>
                    <w:rPr>
                      <w:rFonts w:hint="eastAsia"/>
                      <w:bCs/>
                      <w:color w:val="auto"/>
                      <w:spacing w:val="0"/>
                      <w:sz w:val="21"/>
                      <w:szCs w:val="21"/>
                      <w:lang w:val="en-US" w:eastAsia="zh-CN"/>
                    </w:rPr>
                    <w:t>3.本项目不涉及；</w:t>
                  </w:r>
                </w:p>
                <w:p w14:paraId="648CC615">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val="en-US" w:eastAsia="zh-CN"/>
                    </w:rPr>
                  </w:pPr>
                  <w:r>
                    <w:rPr>
                      <w:rFonts w:hint="eastAsia"/>
                      <w:bCs/>
                      <w:color w:val="auto"/>
                      <w:spacing w:val="0"/>
                      <w:sz w:val="21"/>
                      <w:szCs w:val="21"/>
                      <w:lang w:val="en-US" w:eastAsia="zh-CN"/>
                    </w:rPr>
                    <w:t>4.本项目属于机械零部件加工行业，选址位于新乡市新乡县翟坡镇东大阳堤村村西中央大道东侧，用地性质属于工业用地；</w:t>
                  </w:r>
                </w:p>
                <w:p w14:paraId="0F56CC3F">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val="en-US" w:eastAsia="zh-CN"/>
                    </w:rPr>
                  </w:pPr>
                  <w:r>
                    <w:rPr>
                      <w:rFonts w:hint="eastAsia"/>
                      <w:bCs/>
                      <w:color w:val="auto"/>
                      <w:spacing w:val="0"/>
                      <w:sz w:val="21"/>
                      <w:szCs w:val="21"/>
                      <w:lang w:val="en-US" w:eastAsia="zh-CN"/>
                    </w:rPr>
                    <w:t>5.本项目不涉及；</w:t>
                  </w:r>
                </w:p>
                <w:p w14:paraId="593B4B33">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bCs/>
                      <w:color w:val="auto"/>
                      <w:spacing w:val="0"/>
                      <w:sz w:val="21"/>
                      <w:szCs w:val="21"/>
                      <w:lang w:val="en-US" w:eastAsia="zh-CN"/>
                    </w:rPr>
                  </w:pPr>
                  <w:r>
                    <w:rPr>
                      <w:rFonts w:hint="eastAsia"/>
                      <w:bCs/>
                      <w:color w:val="auto"/>
                      <w:spacing w:val="0"/>
                      <w:sz w:val="21"/>
                      <w:szCs w:val="21"/>
                      <w:lang w:val="en-US" w:eastAsia="zh-CN"/>
                    </w:rPr>
                    <w:t>6.本项目不涉及；</w:t>
                  </w:r>
                </w:p>
                <w:p w14:paraId="32E0FD07">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default"/>
                      <w:color w:val="auto"/>
                      <w:spacing w:val="0"/>
                      <w:sz w:val="21"/>
                      <w:szCs w:val="21"/>
                      <w:lang w:val="en-US" w:eastAsia="zh-CN"/>
                    </w:rPr>
                  </w:pPr>
                  <w:r>
                    <w:rPr>
                      <w:rFonts w:hint="eastAsia"/>
                      <w:bCs/>
                      <w:color w:val="auto"/>
                      <w:spacing w:val="0"/>
                      <w:sz w:val="21"/>
                      <w:szCs w:val="21"/>
                      <w:lang w:val="en-US" w:eastAsia="zh-CN"/>
                    </w:rPr>
                    <w:t>7.本项目不涉及。</w:t>
                  </w:r>
                </w:p>
              </w:tc>
              <w:tc>
                <w:tcPr>
                  <w:tcW w:w="339" w:type="dxa"/>
                  <w:noWrap w:val="0"/>
                  <w:vAlign w:val="center"/>
                </w:tcPr>
                <w:p w14:paraId="4207ABEB">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bCs/>
                      <w:color w:val="auto"/>
                      <w:spacing w:val="0"/>
                      <w:sz w:val="21"/>
                      <w:szCs w:val="21"/>
                      <w:lang w:eastAsia="zh-CN"/>
                    </w:rPr>
                  </w:pPr>
                  <w:r>
                    <w:rPr>
                      <w:rFonts w:hint="eastAsia"/>
                      <w:bCs/>
                      <w:color w:val="auto"/>
                      <w:spacing w:val="0"/>
                      <w:sz w:val="21"/>
                      <w:szCs w:val="21"/>
                      <w:lang w:eastAsia="zh-CN"/>
                    </w:rPr>
                    <w:t>符合</w:t>
                  </w:r>
                </w:p>
              </w:tc>
            </w:tr>
            <w:tr w14:paraId="2DCFD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591" w:type="dxa"/>
                  <w:gridSpan w:val="2"/>
                  <w:noWrap w:val="0"/>
                  <w:tcMar>
                    <w:top w:w="28" w:type="dxa"/>
                    <w:bottom w:w="57" w:type="dxa"/>
                  </w:tcMar>
                  <w:vAlign w:val="center"/>
                </w:tcPr>
                <w:p w14:paraId="58B533E8">
                  <w:pPr>
                    <w:pStyle w:val="20"/>
                    <w:keepNext w:val="0"/>
                    <w:keepLines w:val="0"/>
                    <w:pageBreakBefore w:val="0"/>
                    <w:kinsoku/>
                    <w:overflowPunct/>
                    <w:topLinePunct w:val="0"/>
                    <w:autoSpaceDE/>
                    <w:autoSpaceDN/>
                    <w:bidi w:val="0"/>
                    <w:snapToGrid w:val="0"/>
                    <w:spacing w:before="0" w:beforeAutospacing="0" w:after="0" w:afterAutospacing="0" w:line="240" w:lineRule="auto"/>
                    <w:ind w:firstLine="0" w:firstLineChars="0"/>
                    <w:jc w:val="both"/>
                    <w:outlineLvl w:val="0"/>
                    <w:rPr>
                      <w:rFonts w:ascii="Times New Roman" w:hAnsi="Times New Roman"/>
                      <w:bCs/>
                      <w:snapToGrid w:val="0"/>
                      <w:color w:val="auto"/>
                      <w:spacing w:val="0"/>
                      <w:sz w:val="21"/>
                      <w:szCs w:val="21"/>
                    </w:rPr>
                  </w:pPr>
                  <w:r>
                    <w:rPr>
                      <w:rFonts w:hint="default" w:ascii="Times New Roman" w:hAnsi="Times New Roman" w:eastAsia="宋体" w:cs="Times New Roman"/>
                      <w:b w:val="0"/>
                      <w:bCs/>
                      <w:color w:val="auto"/>
                      <w:spacing w:val="0"/>
                      <w:sz w:val="21"/>
                      <w:szCs w:val="21"/>
                    </w:rPr>
                    <w:t>污染物排放管控</w:t>
                  </w:r>
                </w:p>
              </w:tc>
              <w:tc>
                <w:tcPr>
                  <w:tcW w:w="4137" w:type="dxa"/>
                  <w:noWrap w:val="0"/>
                  <w:tcMar>
                    <w:top w:w="28" w:type="dxa"/>
                    <w:bottom w:w="57" w:type="dxa"/>
                  </w:tcMar>
                  <w:vAlign w:val="center"/>
                </w:tcPr>
                <w:p w14:paraId="077BB91D">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eastAsia="宋体"/>
                      <w:bCs/>
                      <w:color w:val="auto"/>
                      <w:spacing w:val="0"/>
                      <w:sz w:val="21"/>
                      <w:szCs w:val="21"/>
                      <w:lang w:eastAsia="zh-CN"/>
                    </w:rPr>
                  </w:pPr>
                  <w:r>
                    <w:rPr>
                      <w:rFonts w:hint="eastAsia" w:ascii="Times New Roman" w:hAnsi="Times New Roman" w:eastAsia="宋体" w:cs="Times New Roman"/>
                      <w:b w:val="0"/>
                      <w:bCs w:val="0"/>
                      <w:color w:val="000000" w:themeColor="text1"/>
                      <w:kern w:val="0"/>
                      <w:sz w:val="21"/>
                      <w:szCs w:val="21"/>
                      <w:u w:val="none"/>
                      <w:lang w:val="en-US" w:eastAsia="zh-CN"/>
                      <w14:textFill>
                        <w14:solidFill>
                          <w14:schemeClr w14:val="tx1"/>
                        </w14:solidFill>
                      </w14:textFill>
                    </w:rPr>
                    <w:t>加快补齐城镇污水处理短板，推进污水处理设施及配套管网建设，实施雨污分流系统改造，尽快实现管网全覆盖。</w:t>
                  </w:r>
                </w:p>
              </w:tc>
              <w:tc>
                <w:tcPr>
                  <w:tcW w:w="2628" w:type="dxa"/>
                  <w:noWrap w:val="0"/>
                  <w:vAlign w:val="center"/>
                </w:tcPr>
                <w:p w14:paraId="22ADC804">
                  <w:pPr>
                    <w:pStyle w:val="5"/>
                    <w:keepNext w:val="0"/>
                    <w:keepLines w:val="0"/>
                    <w:pageBreakBefore w:val="0"/>
                    <w:widowControl w:val="0"/>
                    <w:kinsoku/>
                    <w:wordWrap w:val="0"/>
                    <w:overflowPunct/>
                    <w:topLinePunct w:val="0"/>
                    <w:autoSpaceDE/>
                    <w:autoSpaceDN/>
                    <w:bidi w:val="0"/>
                    <w:adjustRightInd w:val="0"/>
                    <w:snapToGrid w:val="0"/>
                    <w:spacing w:line="240" w:lineRule="auto"/>
                    <w:ind w:firstLine="0" w:firstLineChars="0"/>
                    <w:jc w:val="both"/>
                    <w:textAlignment w:val="auto"/>
                    <w:rPr>
                      <w:rFonts w:hint="eastAsia" w:eastAsia="宋体"/>
                      <w:bCs/>
                      <w:color w:val="auto"/>
                      <w:spacing w:val="0"/>
                      <w:sz w:val="21"/>
                      <w:szCs w:val="21"/>
                      <w:lang w:eastAsia="zh-CN"/>
                    </w:rPr>
                  </w:pPr>
                  <w:r>
                    <w:rPr>
                      <w:rFonts w:hint="eastAsia" w:ascii="Times New Roman" w:hAnsi="Times New Roman" w:eastAsia="宋体" w:cs="Times New Roman"/>
                      <w:b w:val="0"/>
                      <w:bCs w:val="0"/>
                      <w:color w:val="000000" w:themeColor="text1"/>
                      <w:kern w:val="0"/>
                      <w:sz w:val="21"/>
                      <w:szCs w:val="21"/>
                      <w:highlight w:val="none"/>
                      <w:u w:val="none"/>
                      <w:lang w:val="en-US" w:eastAsia="zh-CN" w:bidi="ar-SA"/>
                      <w14:textFill>
                        <w14:solidFill>
                          <w14:schemeClr w14:val="tx1"/>
                        </w14:solidFill>
                      </w14:textFill>
                    </w:rPr>
                    <w:t>本项目</w:t>
                  </w:r>
                  <w:r>
                    <w:rPr>
                      <w:rFonts w:hint="eastAsia" w:ascii="Times New Roman" w:hAnsi="Times New Roman" w:eastAsia="宋体" w:cs="Times New Roman"/>
                      <w:b w:val="0"/>
                      <w:bCs w:val="0"/>
                      <w:color w:val="000000" w:themeColor="text1"/>
                      <w:kern w:val="2"/>
                      <w:sz w:val="21"/>
                      <w:szCs w:val="21"/>
                      <w:u w:val="none"/>
                      <w:lang w:val="en-US" w:eastAsia="zh-CN" w:bidi="ar-SA"/>
                      <w14:textFill>
                        <w14:solidFill>
                          <w14:schemeClr w14:val="tx1"/>
                        </w14:solidFill>
                      </w14:textFill>
                    </w:rPr>
                    <w:t>生活污水经化粪池处理后</w:t>
                  </w:r>
                  <w:r>
                    <w:rPr>
                      <w:rFonts w:hint="eastAsia" w:cs="Times New Roman"/>
                      <w:b w:val="0"/>
                      <w:bCs w:val="0"/>
                      <w:color w:val="000000" w:themeColor="text1"/>
                      <w:kern w:val="2"/>
                      <w:sz w:val="21"/>
                      <w:szCs w:val="21"/>
                      <w:u w:val="none"/>
                      <w:lang w:val="en-US" w:eastAsia="zh-CN" w:bidi="ar-SA"/>
                      <w14:textFill>
                        <w14:solidFill>
                          <w14:schemeClr w14:val="tx1"/>
                        </w14:solidFill>
                      </w14:textFill>
                    </w:rPr>
                    <w:t>排入污水管网。</w:t>
                  </w:r>
                </w:p>
              </w:tc>
              <w:tc>
                <w:tcPr>
                  <w:tcW w:w="339" w:type="dxa"/>
                  <w:noWrap w:val="0"/>
                  <w:vAlign w:val="center"/>
                </w:tcPr>
                <w:p w14:paraId="31D9026C">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bCs/>
                      <w:color w:val="auto"/>
                      <w:spacing w:val="0"/>
                      <w:sz w:val="21"/>
                      <w:szCs w:val="21"/>
                      <w:lang w:eastAsia="zh-CN"/>
                    </w:rPr>
                  </w:pPr>
                  <w:r>
                    <w:rPr>
                      <w:rFonts w:hint="eastAsia"/>
                      <w:bCs/>
                      <w:color w:val="auto"/>
                      <w:spacing w:val="0"/>
                      <w:sz w:val="21"/>
                      <w:szCs w:val="21"/>
                      <w:lang w:eastAsia="zh-CN"/>
                    </w:rPr>
                    <w:t>符合</w:t>
                  </w:r>
                </w:p>
              </w:tc>
            </w:tr>
            <w:tr w14:paraId="7B44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591" w:type="dxa"/>
                  <w:gridSpan w:val="2"/>
                  <w:noWrap w:val="0"/>
                  <w:tcMar>
                    <w:top w:w="28" w:type="dxa"/>
                    <w:bottom w:w="57" w:type="dxa"/>
                  </w:tcMar>
                  <w:vAlign w:val="center"/>
                </w:tcPr>
                <w:p w14:paraId="549194F9">
                  <w:pPr>
                    <w:pStyle w:val="20"/>
                    <w:keepNext w:val="0"/>
                    <w:keepLines w:val="0"/>
                    <w:pageBreakBefore w:val="0"/>
                    <w:kinsoku/>
                    <w:overflowPunct/>
                    <w:topLinePunct w:val="0"/>
                    <w:autoSpaceDE/>
                    <w:autoSpaceDN/>
                    <w:bidi w:val="0"/>
                    <w:snapToGrid w:val="0"/>
                    <w:spacing w:before="0" w:beforeAutospacing="0" w:after="0" w:afterAutospacing="0" w:line="240" w:lineRule="auto"/>
                    <w:ind w:firstLine="0" w:firstLineChars="0"/>
                    <w:jc w:val="both"/>
                    <w:outlineLvl w:val="0"/>
                    <w:rPr>
                      <w:rFonts w:ascii="Times New Roman" w:hAnsi="Times New Roman"/>
                      <w:bCs/>
                      <w:snapToGrid w:val="0"/>
                      <w:color w:val="auto"/>
                      <w:spacing w:val="0"/>
                      <w:sz w:val="21"/>
                      <w:szCs w:val="21"/>
                    </w:rPr>
                  </w:pPr>
                  <w:r>
                    <w:rPr>
                      <w:rFonts w:hint="default" w:ascii="Times New Roman" w:hAnsi="Times New Roman" w:eastAsia="宋体" w:cs="Times New Roman"/>
                      <w:b w:val="0"/>
                      <w:bCs/>
                      <w:color w:val="auto"/>
                      <w:spacing w:val="0"/>
                      <w:sz w:val="21"/>
                      <w:szCs w:val="21"/>
                    </w:rPr>
                    <w:t>环境风险防控</w:t>
                  </w:r>
                </w:p>
              </w:tc>
              <w:tc>
                <w:tcPr>
                  <w:tcW w:w="4137" w:type="dxa"/>
                  <w:noWrap w:val="0"/>
                  <w:tcMar>
                    <w:top w:w="28" w:type="dxa"/>
                    <w:bottom w:w="57" w:type="dxa"/>
                  </w:tcMar>
                  <w:vAlign w:val="center"/>
                </w:tcPr>
                <w:p w14:paraId="58DA9D9E">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bCs/>
                      <w:color w:val="auto"/>
                      <w:spacing w:val="0"/>
                      <w:sz w:val="21"/>
                      <w:szCs w:val="21"/>
                    </w:rPr>
                  </w:pPr>
                  <w:r>
                    <w:rPr>
                      <w:rFonts w:hint="eastAsia" w:ascii="Times New Roman" w:hAnsi="Times New Roman" w:eastAsia="宋体" w:cs="Times New Roman"/>
                      <w:bCs/>
                      <w:color w:val="auto"/>
                      <w:spacing w:val="0"/>
                      <w:sz w:val="21"/>
                      <w:szCs w:val="21"/>
                      <w:lang w:val="en-US" w:eastAsia="zh-CN"/>
                    </w:rPr>
                    <w:t>全面管控</w:t>
                  </w:r>
                  <w:r>
                    <w:rPr>
                      <w:rFonts w:hint="default" w:ascii="Times New Roman" w:hAnsi="Times New Roman" w:eastAsia="宋体" w:cs="Times New Roman"/>
                      <w:bCs/>
                      <w:color w:val="auto"/>
                      <w:spacing w:val="0"/>
                      <w:sz w:val="21"/>
                      <w:szCs w:val="21"/>
                      <w:lang w:val="en-US" w:eastAsia="zh-CN"/>
                    </w:rPr>
                    <w:t>“</w:t>
                  </w:r>
                  <w:r>
                    <w:rPr>
                      <w:rFonts w:hint="eastAsia" w:ascii="Times New Roman" w:hAnsi="Times New Roman" w:eastAsia="宋体" w:cs="Times New Roman"/>
                      <w:bCs/>
                      <w:color w:val="auto"/>
                      <w:spacing w:val="0"/>
                      <w:sz w:val="21"/>
                      <w:szCs w:val="21"/>
                      <w:lang w:val="en-US" w:eastAsia="zh-CN"/>
                    </w:rPr>
                    <w:t>一废一库一品一重</w:t>
                  </w:r>
                  <w:r>
                    <w:rPr>
                      <w:rFonts w:hint="default" w:ascii="Times New Roman" w:hAnsi="Times New Roman" w:eastAsia="宋体" w:cs="Times New Roman"/>
                      <w:bCs/>
                      <w:color w:val="auto"/>
                      <w:spacing w:val="0"/>
                      <w:sz w:val="21"/>
                      <w:szCs w:val="21"/>
                      <w:lang w:val="en-US" w:eastAsia="zh-CN"/>
                    </w:rPr>
                    <w:t>”</w:t>
                  </w:r>
                  <w:r>
                    <w:rPr>
                      <w:rFonts w:hint="eastAsia" w:ascii="Times New Roman" w:hAnsi="Times New Roman" w:eastAsia="宋体" w:cs="Times New Roman"/>
                      <w:bCs/>
                      <w:color w:val="auto"/>
                      <w:spacing w:val="0"/>
                      <w:sz w:val="21"/>
                      <w:szCs w:val="21"/>
                      <w:lang w:val="en-US" w:eastAsia="zh-CN"/>
                    </w:rPr>
                    <w:t>，强化环境风险源头防控、预警应急及固体废物处理处置，有效防范化解重大生态环境风险，保障生态环境安全。</w:t>
                  </w:r>
                </w:p>
              </w:tc>
              <w:tc>
                <w:tcPr>
                  <w:tcW w:w="2628" w:type="dxa"/>
                  <w:noWrap w:val="0"/>
                  <w:vAlign w:val="center"/>
                </w:tcPr>
                <w:p w14:paraId="32FE33B7">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eastAsia="宋体"/>
                      <w:bCs/>
                      <w:color w:val="auto"/>
                      <w:spacing w:val="0"/>
                      <w:sz w:val="21"/>
                      <w:szCs w:val="21"/>
                      <w:lang w:eastAsia="zh-CN"/>
                    </w:rPr>
                  </w:pPr>
                  <w:r>
                    <w:rPr>
                      <w:rFonts w:hint="eastAsia"/>
                      <w:bCs/>
                      <w:color w:val="auto"/>
                      <w:spacing w:val="0"/>
                      <w:sz w:val="21"/>
                      <w:szCs w:val="21"/>
                      <w:lang w:eastAsia="zh-CN"/>
                    </w:rPr>
                    <w:t>本项目不涉及重大生态环境风险。</w:t>
                  </w:r>
                </w:p>
              </w:tc>
              <w:tc>
                <w:tcPr>
                  <w:tcW w:w="339" w:type="dxa"/>
                  <w:noWrap w:val="0"/>
                  <w:vAlign w:val="center"/>
                </w:tcPr>
                <w:p w14:paraId="44B31BF0">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bCs/>
                      <w:color w:val="auto"/>
                      <w:spacing w:val="0"/>
                      <w:sz w:val="21"/>
                      <w:szCs w:val="21"/>
                      <w:lang w:eastAsia="zh-CN"/>
                    </w:rPr>
                  </w:pPr>
                  <w:r>
                    <w:rPr>
                      <w:rFonts w:hint="eastAsia"/>
                      <w:bCs/>
                      <w:color w:val="auto"/>
                      <w:spacing w:val="0"/>
                      <w:sz w:val="21"/>
                      <w:szCs w:val="21"/>
                      <w:lang w:eastAsia="zh-CN"/>
                    </w:rPr>
                    <w:t>符合</w:t>
                  </w:r>
                </w:p>
              </w:tc>
            </w:tr>
            <w:tr w14:paraId="166F4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591" w:type="dxa"/>
                  <w:gridSpan w:val="2"/>
                  <w:noWrap w:val="0"/>
                  <w:tcMar>
                    <w:top w:w="28" w:type="dxa"/>
                    <w:bottom w:w="57" w:type="dxa"/>
                  </w:tcMar>
                  <w:vAlign w:val="center"/>
                </w:tcPr>
                <w:p w14:paraId="16D43933">
                  <w:pPr>
                    <w:pStyle w:val="20"/>
                    <w:keepNext w:val="0"/>
                    <w:keepLines w:val="0"/>
                    <w:pageBreakBefore w:val="0"/>
                    <w:kinsoku/>
                    <w:overflowPunct/>
                    <w:topLinePunct w:val="0"/>
                    <w:autoSpaceDE/>
                    <w:autoSpaceDN/>
                    <w:bidi w:val="0"/>
                    <w:snapToGrid w:val="0"/>
                    <w:spacing w:before="0" w:beforeAutospacing="0" w:after="0" w:afterAutospacing="0" w:line="240" w:lineRule="auto"/>
                    <w:ind w:firstLine="0" w:firstLineChars="0"/>
                    <w:jc w:val="both"/>
                    <w:outlineLvl w:val="0"/>
                    <w:rPr>
                      <w:rFonts w:ascii="Times New Roman" w:hAnsi="Times New Roman"/>
                      <w:bCs/>
                      <w:snapToGrid w:val="0"/>
                      <w:color w:val="auto"/>
                      <w:spacing w:val="0"/>
                      <w:sz w:val="21"/>
                      <w:szCs w:val="21"/>
                    </w:rPr>
                  </w:pPr>
                  <w:r>
                    <w:rPr>
                      <w:rFonts w:hint="default" w:ascii="Times New Roman" w:hAnsi="Times New Roman" w:eastAsia="宋体" w:cs="Times New Roman"/>
                      <w:b w:val="0"/>
                      <w:bCs/>
                      <w:color w:val="auto"/>
                      <w:spacing w:val="0"/>
                      <w:sz w:val="21"/>
                      <w:szCs w:val="21"/>
                    </w:rPr>
                    <w:t>资源利用效率</w:t>
                  </w:r>
                </w:p>
              </w:tc>
              <w:tc>
                <w:tcPr>
                  <w:tcW w:w="4137" w:type="dxa"/>
                  <w:noWrap w:val="0"/>
                  <w:tcMar>
                    <w:top w:w="28" w:type="dxa"/>
                    <w:bottom w:w="57" w:type="dxa"/>
                  </w:tcMar>
                  <w:vAlign w:val="center"/>
                </w:tcPr>
                <w:p w14:paraId="49DE5C18">
                  <w:pPr>
                    <w:pStyle w:val="2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0"/>
                    <w:rPr>
                      <w:rFonts w:hint="eastAsia" w:ascii="Times New Roman" w:hAnsi="Times New Roman" w:eastAsia="宋体" w:cs="Times New Roman"/>
                      <w:b w:val="0"/>
                      <w:bCs w:val="0"/>
                      <w:color w:val="000000" w:themeColor="text1"/>
                      <w:kern w:val="0"/>
                      <w:sz w:val="21"/>
                      <w:szCs w:val="21"/>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u w:val="none"/>
                      <w:lang w:val="en-US" w:eastAsia="zh-CN"/>
                      <w14:textFill>
                        <w14:solidFill>
                          <w14:schemeClr w14:val="tx1"/>
                        </w14:solidFill>
                      </w14:textFill>
                    </w:rPr>
                    <w:t>1、按照合理有序使用地表水、控制使用地下水、积极利用非常规水的要求，做好区域水资源统筹调配工作，逐步降低部分过度开发河流和区域的水资源开发利用强度，退减被挤占的生态用水。</w:t>
                  </w:r>
                </w:p>
                <w:p w14:paraId="172A3586">
                  <w:pPr>
                    <w:pStyle w:val="20"/>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outlineLvl w:val="0"/>
                    <w:rPr>
                      <w:rFonts w:hint="eastAsia" w:ascii="Times New Roman" w:hAnsi="Times New Roman" w:eastAsia="宋体" w:cs="Times New Roman"/>
                      <w:b w:val="0"/>
                      <w:bCs w:val="0"/>
                      <w:color w:val="000000" w:themeColor="text1"/>
                      <w:kern w:val="0"/>
                      <w:sz w:val="21"/>
                      <w:szCs w:val="21"/>
                      <w:u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1"/>
                      <w:u w:val="none"/>
                      <w:lang w:val="en-US" w:eastAsia="zh-CN"/>
                      <w14:textFill>
                        <w14:solidFill>
                          <w14:schemeClr w14:val="tx1"/>
                        </w14:solidFill>
                      </w14:textFill>
                    </w:rPr>
                    <w:t>2、在粮食核心区规模化推行高效节水灌溉；实施工业节水减排行动，大力推进工业水循环利用，推进节水型企业、节水型工业园区建设。</w:t>
                  </w:r>
                </w:p>
                <w:p w14:paraId="730828FD">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bCs/>
                      <w:color w:val="auto"/>
                      <w:spacing w:val="0"/>
                      <w:sz w:val="21"/>
                      <w:szCs w:val="21"/>
                    </w:rPr>
                  </w:pPr>
                  <w:r>
                    <w:rPr>
                      <w:rFonts w:hint="eastAsia" w:ascii="Times New Roman" w:hAnsi="Times New Roman" w:eastAsia="宋体" w:cs="Times New Roman"/>
                      <w:b w:val="0"/>
                      <w:bCs w:val="0"/>
                      <w:color w:val="000000" w:themeColor="text1"/>
                      <w:kern w:val="0"/>
                      <w:sz w:val="21"/>
                      <w:szCs w:val="21"/>
                      <w:u w:val="none"/>
                      <w:lang w:val="en-US" w:eastAsia="zh-CN"/>
                      <w14:textFill>
                        <w14:solidFill>
                          <w14:schemeClr w14:val="tx1"/>
                        </w14:solidFill>
                      </w14:textFill>
                    </w:rPr>
                    <w:t>3、重点推进南水北调受水区地下水压采工作，加快公共供水管网建设，逐步关停自备井。</w:t>
                  </w:r>
                  <w:r>
                    <w:rPr>
                      <w:rFonts w:hint="eastAsia"/>
                      <w:bCs/>
                      <w:color w:val="auto"/>
                      <w:spacing w:val="0"/>
                      <w:sz w:val="21"/>
                      <w:szCs w:val="21"/>
                    </w:rPr>
                    <w:t>。</w:t>
                  </w:r>
                </w:p>
              </w:tc>
              <w:tc>
                <w:tcPr>
                  <w:tcW w:w="2628" w:type="dxa"/>
                  <w:noWrap w:val="0"/>
                  <w:vAlign w:val="center"/>
                </w:tcPr>
                <w:p w14:paraId="76A19163">
                  <w:pPr>
                    <w:pStyle w:val="5"/>
                    <w:keepNext w:val="0"/>
                    <w:keepLines w:val="0"/>
                    <w:pageBreakBefore w:val="0"/>
                    <w:kinsoku/>
                    <w:overflowPunct/>
                    <w:topLinePunct w:val="0"/>
                    <w:autoSpaceDE/>
                    <w:autoSpaceDN/>
                    <w:bidi w:val="0"/>
                    <w:adjustRightInd w:val="0"/>
                    <w:snapToGrid w:val="0"/>
                    <w:spacing w:line="240" w:lineRule="auto"/>
                    <w:ind w:firstLine="0" w:firstLineChars="0"/>
                    <w:jc w:val="both"/>
                    <w:rPr>
                      <w:rFonts w:hint="eastAsia" w:eastAsia="宋体"/>
                      <w:bCs/>
                      <w:color w:val="auto"/>
                      <w:spacing w:val="0"/>
                      <w:sz w:val="21"/>
                      <w:szCs w:val="21"/>
                      <w:lang w:eastAsia="zh-CN"/>
                    </w:rPr>
                  </w:pPr>
                  <w:r>
                    <w:rPr>
                      <w:rFonts w:hint="default" w:ascii="Times New Roman" w:hAnsi="Times New Roman" w:eastAsia="宋体" w:cs="Times New Roman"/>
                      <w:color w:val="000000" w:themeColor="text1"/>
                      <w:kern w:val="0"/>
                      <w:sz w:val="21"/>
                      <w:szCs w:val="21"/>
                      <w:lang w:bidi="ar"/>
                      <w14:textFill>
                        <w14:solidFill>
                          <w14:schemeClr w14:val="tx1"/>
                        </w14:solidFill>
                      </w14:textFill>
                    </w:rPr>
                    <w:t>本项目</w:t>
                  </w:r>
                  <w:r>
                    <w:rPr>
                      <w:rFonts w:hint="eastAsia" w:ascii="Times New Roman" w:hAnsi="Times New Roman" w:eastAsia="宋体" w:cs="Times New Roman"/>
                      <w:color w:val="000000" w:themeColor="text1"/>
                      <w:kern w:val="0"/>
                      <w:sz w:val="21"/>
                      <w:szCs w:val="21"/>
                      <w:lang w:eastAsia="zh-CN" w:bidi="ar"/>
                      <w14:textFill>
                        <w14:solidFill>
                          <w14:schemeClr w14:val="tx1"/>
                        </w14:solidFill>
                      </w14:textFill>
                    </w:rPr>
                    <w:t>所用新鲜水</w:t>
                  </w:r>
                  <w:r>
                    <w:rPr>
                      <w:rFonts w:hint="default" w:ascii="Times New Roman" w:hAnsi="Times New Roman" w:eastAsia="宋体" w:cs="Times New Roman"/>
                      <w:color w:val="000000" w:themeColor="text1"/>
                      <w:kern w:val="0"/>
                      <w:sz w:val="21"/>
                      <w:szCs w:val="21"/>
                      <w:lang w:bidi="ar"/>
                      <w14:textFill>
                        <w14:solidFill>
                          <w14:schemeClr w14:val="tx1"/>
                        </w14:solidFill>
                      </w14:textFill>
                    </w:rPr>
                    <w:t>来自</w:t>
                  </w:r>
                  <w:r>
                    <w:rPr>
                      <w:rFonts w:hint="default" w:ascii="Times New Roman" w:hAnsi="Times New Roman" w:eastAsia="宋体" w:cs="Times New Roman"/>
                      <w:color w:val="000000" w:themeColor="text1"/>
                      <w:sz w:val="21"/>
                      <w14:textFill>
                        <w14:solidFill>
                          <w14:schemeClr w14:val="tx1"/>
                        </w14:solidFill>
                      </w14:textFill>
                    </w:rPr>
                    <w:t>自来水管网</w:t>
                  </w:r>
                  <w:r>
                    <w:rPr>
                      <w:rFonts w:hint="eastAsia" w:ascii="Times New Roman" w:hAnsi="Times New Roman" w:eastAsia="宋体" w:cs="Times New Roman"/>
                      <w:b w:val="0"/>
                      <w:bCs w:val="0"/>
                      <w:color w:val="000000" w:themeColor="text1"/>
                      <w:kern w:val="0"/>
                      <w:sz w:val="21"/>
                      <w:szCs w:val="21"/>
                      <w:u w:val="none"/>
                      <w:lang w:val="en-US" w:eastAsia="zh-CN"/>
                      <w14:textFill>
                        <w14:solidFill>
                          <w14:schemeClr w14:val="tx1"/>
                        </w14:solidFill>
                      </w14:textFill>
                    </w:rPr>
                    <w:t>。</w:t>
                  </w:r>
                </w:p>
              </w:tc>
              <w:tc>
                <w:tcPr>
                  <w:tcW w:w="339" w:type="dxa"/>
                  <w:noWrap w:val="0"/>
                  <w:vAlign w:val="center"/>
                </w:tcPr>
                <w:p w14:paraId="1CF91A01">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bCs/>
                      <w:color w:val="auto"/>
                      <w:spacing w:val="0"/>
                      <w:sz w:val="21"/>
                      <w:szCs w:val="21"/>
                      <w:lang w:eastAsia="zh-CN"/>
                    </w:rPr>
                  </w:pPr>
                  <w:r>
                    <w:rPr>
                      <w:rFonts w:hint="eastAsia"/>
                      <w:bCs/>
                      <w:color w:val="auto"/>
                      <w:spacing w:val="0"/>
                      <w:sz w:val="21"/>
                      <w:szCs w:val="21"/>
                      <w:lang w:eastAsia="zh-CN"/>
                    </w:rPr>
                    <w:t>符合</w:t>
                  </w:r>
                </w:p>
              </w:tc>
            </w:tr>
            <w:tr w14:paraId="7134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695" w:type="dxa"/>
                  <w:gridSpan w:val="5"/>
                  <w:noWrap w:val="0"/>
                  <w:vAlign w:val="center"/>
                </w:tcPr>
                <w:p w14:paraId="3324A7F5">
                  <w:pPr>
                    <w:keepNext w:val="0"/>
                    <w:keepLines w:val="0"/>
                    <w:pageBreakBefore w:val="0"/>
                    <w:kinsoku/>
                    <w:overflowPunct/>
                    <w:topLinePunct w:val="0"/>
                    <w:autoSpaceDE/>
                    <w:autoSpaceDN/>
                    <w:bidi w:val="0"/>
                    <w:adjustRightInd w:val="0"/>
                    <w:snapToGrid w:val="0"/>
                    <w:spacing w:line="240" w:lineRule="auto"/>
                    <w:ind w:firstLine="0" w:firstLineChars="0"/>
                    <w:jc w:val="center"/>
                    <w:rPr>
                      <w:color w:val="auto"/>
                      <w:spacing w:val="0"/>
                      <w:sz w:val="21"/>
                      <w:szCs w:val="21"/>
                    </w:rPr>
                  </w:pPr>
                  <w:r>
                    <w:rPr>
                      <w:color w:val="auto"/>
                      <w:spacing w:val="0"/>
                      <w:sz w:val="21"/>
                      <w:szCs w:val="21"/>
                    </w:rPr>
                    <w:t>新乡市生态环境总体准入要求</w:t>
                  </w:r>
                </w:p>
              </w:tc>
            </w:tr>
            <w:tr w14:paraId="11B40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restart"/>
                  <w:noWrap w:val="0"/>
                  <w:vAlign w:val="center"/>
                </w:tcPr>
                <w:p w14:paraId="55F76F95">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空间布局约束</w:t>
                  </w:r>
                </w:p>
              </w:tc>
              <w:tc>
                <w:tcPr>
                  <w:tcW w:w="4137" w:type="dxa"/>
                  <w:noWrap w:val="0"/>
                  <w:vAlign w:val="center"/>
                </w:tcPr>
                <w:p w14:paraId="738E1D66">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1.禁止在自然保护区内进行砍伐、放牧、狩猎、捕捞、采药、开垦、烧荒、开矿、采石、挖沙等活动；但是，法律、行政法规另有规定的除外。</w:t>
                  </w:r>
                </w:p>
              </w:tc>
              <w:tc>
                <w:tcPr>
                  <w:tcW w:w="2628" w:type="dxa"/>
                  <w:noWrap w:val="0"/>
                  <w:vAlign w:val="center"/>
                </w:tcPr>
                <w:p w14:paraId="30C5186D">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本项目不在自然保护区范围内。</w:t>
                  </w:r>
                </w:p>
              </w:tc>
              <w:tc>
                <w:tcPr>
                  <w:tcW w:w="339" w:type="dxa"/>
                  <w:noWrap w:val="0"/>
                  <w:vAlign w:val="center"/>
                </w:tcPr>
                <w:p w14:paraId="4751024A">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7AF6C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5A874B67">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143A7011">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2.在风景名胜区内禁止进行下列活动：（略）</w:t>
                  </w:r>
                </w:p>
              </w:tc>
              <w:tc>
                <w:tcPr>
                  <w:tcW w:w="2628" w:type="dxa"/>
                  <w:noWrap w:val="0"/>
                  <w:vAlign w:val="center"/>
                </w:tcPr>
                <w:p w14:paraId="255D7795">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本项目不在风景名胜区范围内。</w:t>
                  </w:r>
                </w:p>
              </w:tc>
              <w:tc>
                <w:tcPr>
                  <w:tcW w:w="339" w:type="dxa"/>
                  <w:noWrap w:val="0"/>
                  <w:vAlign w:val="center"/>
                </w:tcPr>
                <w:p w14:paraId="7F6A3669">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4186F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69248F52">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2D201FE3">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3.饮用水地表水源各级保护区必须遵守下列规定：（略）</w:t>
                  </w:r>
                </w:p>
              </w:tc>
              <w:tc>
                <w:tcPr>
                  <w:tcW w:w="2628" w:type="dxa"/>
                  <w:noWrap w:val="0"/>
                  <w:vAlign w:val="center"/>
                </w:tcPr>
                <w:p w14:paraId="1D7ECA0F">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本项目不在饮用水地表水源各级保护区范围内。</w:t>
                  </w:r>
                </w:p>
              </w:tc>
              <w:tc>
                <w:tcPr>
                  <w:tcW w:w="339" w:type="dxa"/>
                  <w:noWrap w:val="0"/>
                  <w:vAlign w:val="center"/>
                </w:tcPr>
                <w:p w14:paraId="5CE37544">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0E5E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50676499">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6EA1C6A3">
                  <w:pPr>
                    <w:keepNext w:val="0"/>
                    <w:keepLines w:val="0"/>
                    <w:pageBreakBefore w:val="0"/>
                    <w:widowControl/>
                    <w:suppressLineNumbers w:val="0"/>
                    <w:kinsoku/>
                    <w:overflowPunct/>
                    <w:topLinePunct w:val="0"/>
                    <w:autoSpaceDE/>
                    <w:autoSpaceDN/>
                    <w:bidi w:val="0"/>
                    <w:spacing w:line="240" w:lineRule="auto"/>
                    <w:ind w:firstLine="0" w:firstLineChars="0"/>
                    <w:jc w:val="left"/>
                    <w:rPr>
                      <w:color w:val="auto"/>
                      <w:spacing w:val="0"/>
                      <w:sz w:val="21"/>
                      <w:szCs w:val="21"/>
                    </w:rPr>
                  </w:pPr>
                  <w:r>
                    <w:rPr>
                      <w:color w:val="auto"/>
                      <w:spacing w:val="0"/>
                      <w:sz w:val="21"/>
                      <w:szCs w:val="21"/>
                    </w:rPr>
                    <w:t>4</w:t>
                  </w:r>
                  <w:r>
                    <w:rPr>
                      <w:rFonts w:hint="eastAsia"/>
                      <w:color w:val="auto"/>
                      <w:spacing w:val="0"/>
                      <w:sz w:val="21"/>
                      <w:szCs w:val="21"/>
                      <w:lang w:eastAsia="zh-CN"/>
                    </w:rPr>
                    <w:t>.</w:t>
                  </w:r>
                  <w:r>
                    <w:rPr>
                      <w:rFonts w:hint="eastAsia"/>
                      <w:color w:val="auto"/>
                      <w:spacing w:val="0"/>
                      <w:sz w:val="21"/>
                      <w:szCs w:val="21"/>
                    </w:rPr>
                    <w:t>按照《河南省南水北调饮用水水源保护条例》（2022年3月1日实施），在南水北调饮用水水源保护范</w:t>
                  </w:r>
                  <w:r>
                    <w:rPr>
                      <w:rFonts w:hint="eastAsia" w:ascii="Times New Roman" w:hAnsi="Times New Roman" w:eastAsia="宋体" w:cs="Times New Roman"/>
                      <w:color w:val="auto"/>
                      <w:spacing w:val="0"/>
                      <w:sz w:val="21"/>
                      <w:szCs w:val="21"/>
                    </w:rPr>
                    <w:t>围内，禁止下列行为：</w:t>
                  </w:r>
                  <w:r>
                    <w:rPr>
                      <w:rFonts w:hint="eastAsia" w:ascii="Times New Roman" w:hAnsi="Times New Roman" w:eastAsia="宋体" w:cs="Times New Roman"/>
                      <w:color w:val="auto"/>
                      <w:spacing w:val="0"/>
                      <w:sz w:val="21"/>
                      <w:szCs w:val="21"/>
                      <w:lang w:val="en-US" w:eastAsia="zh-CN"/>
                    </w:rPr>
                    <w:t>向水体排放油类、酸液、碱液或者剧毒废液；在水体清洗装贮过油类或者有毒污染物的车辆和容器；向水体倾倒....</w:t>
                  </w:r>
                  <w:r>
                    <w:rPr>
                      <w:color w:val="auto"/>
                      <w:spacing w:val="0"/>
                      <w:sz w:val="21"/>
                      <w:szCs w:val="21"/>
                    </w:rPr>
                    <w:t>（略）</w:t>
                  </w:r>
                </w:p>
              </w:tc>
              <w:tc>
                <w:tcPr>
                  <w:tcW w:w="2628" w:type="dxa"/>
                  <w:noWrap w:val="0"/>
                  <w:vAlign w:val="center"/>
                </w:tcPr>
                <w:p w14:paraId="5B8DEB70">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本项目不在南水北调中线一期工程总干渠（河南段）范围内。</w:t>
                  </w:r>
                </w:p>
              </w:tc>
              <w:tc>
                <w:tcPr>
                  <w:tcW w:w="339" w:type="dxa"/>
                  <w:noWrap w:val="0"/>
                  <w:vAlign w:val="center"/>
                </w:tcPr>
                <w:p w14:paraId="1AAF7269">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74CBE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68F39DC3">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188649A7">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5.</w:t>
                  </w:r>
                  <w:r>
                    <w:rPr>
                      <w:rFonts w:hint="eastAsia"/>
                      <w:color w:val="auto"/>
                      <w:spacing w:val="0"/>
                      <w:sz w:val="21"/>
                      <w:szCs w:val="21"/>
                    </w:rPr>
                    <w:t>河湖湿地、森林公园内的珍贵景物和风景名胜区核心景区、自然保护区的核心区和缓冲区、土地利用总体规划所确定的永久基本农田保护区、地质遗迹一级保护区、饮用水水源一级保护区、水工程保护范围、地质灾害危险区、矿产资源密集地区的禁止开采区、工程建设不适宜区、大于25%的陡坡地、行洪通道、防洪工程设施保护范围、高压输电线路走廊、天然气输送管线及其防护区、成品油输送管线及其防护区、区域性调水工程管线及其防护区和生态保护红线属于规划的禁止建设区。</w:t>
                  </w:r>
                </w:p>
              </w:tc>
              <w:tc>
                <w:tcPr>
                  <w:tcW w:w="2628" w:type="dxa"/>
                  <w:noWrap w:val="0"/>
                  <w:vAlign w:val="center"/>
                </w:tcPr>
                <w:p w14:paraId="4F1F232F">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本项目位于</w:t>
                  </w:r>
                  <w:r>
                    <w:rPr>
                      <w:rFonts w:hint="eastAsia"/>
                      <w:color w:val="auto"/>
                      <w:spacing w:val="0"/>
                      <w:sz w:val="21"/>
                      <w:szCs w:val="21"/>
                      <w:lang w:eastAsia="zh-CN"/>
                    </w:rPr>
                    <w:t>新乡市新乡县翟坡镇东大阳堤村村西中央大道东侧</w:t>
                  </w:r>
                  <w:r>
                    <w:rPr>
                      <w:color w:val="auto"/>
                      <w:spacing w:val="0"/>
                      <w:sz w:val="21"/>
                      <w:szCs w:val="21"/>
                    </w:rPr>
                    <w:t>，</w:t>
                  </w:r>
                  <w:r>
                    <w:rPr>
                      <w:rFonts w:hint="eastAsia"/>
                      <w:color w:val="auto"/>
                      <w:spacing w:val="0"/>
                      <w:sz w:val="21"/>
                      <w:szCs w:val="21"/>
                      <w:lang w:eastAsia="zh-CN"/>
                    </w:rPr>
                    <w:t>用地性质属于工业用地，</w:t>
                  </w:r>
                  <w:r>
                    <w:rPr>
                      <w:color w:val="auto"/>
                      <w:spacing w:val="0"/>
                      <w:sz w:val="21"/>
                      <w:szCs w:val="21"/>
                    </w:rPr>
                    <w:t>不属于禁止建设区。</w:t>
                  </w:r>
                </w:p>
              </w:tc>
              <w:tc>
                <w:tcPr>
                  <w:tcW w:w="339" w:type="dxa"/>
                  <w:noWrap w:val="0"/>
                  <w:vAlign w:val="center"/>
                </w:tcPr>
                <w:p w14:paraId="77AF8F1D">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7ED2D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5AE69A35">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72311D58">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6.禁止在水产种质资源保护区内从事围湖造田、围海造地或围填海工程……（略）</w:t>
                  </w:r>
                </w:p>
              </w:tc>
              <w:tc>
                <w:tcPr>
                  <w:tcW w:w="2628" w:type="dxa"/>
                  <w:noWrap w:val="0"/>
                  <w:vAlign w:val="center"/>
                </w:tcPr>
                <w:p w14:paraId="2A433691">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本项目不在水产种质资源保护区内。</w:t>
                  </w:r>
                </w:p>
              </w:tc>
              <w:tc>
                <w:tcPr>
                  <w:tcW w:w="339" w:type="dxa"/>
                  <w:noWrap w:val="0"/>
                  <w:vAlign w:val="center"/>
                </w:tcPr>
                <w:p w14:paraId="7A4C85AA">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02B1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67B57009">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31635112">
                  <w:pPr>
                    <w:keepNext w:val="0"/>
                    <w:keepLines w:val="0"/>
                    <w:pageBreakBefore w:val="0"/>
                    <w:kinsoku/>
                    <w:overflowPunct/>
                    <w:topLinePunct w:val="0"/>
                    <w:autoSpaceDE/>
                    <w:autoSpaceDN/>
                    <w:bidi w:val="0"/>
                    <w:snapToGrid w:val="0"/>
                    <w:spacing w:line="240" w:lineRule="auto"/>
                    <w:ind w:firstLine="0" w:firstLineChars="0"/>
                    <w:jc w:val="left"/>
                    <w:rPr>
                      <w:rFonts w:hint="eastAsia" w:eastAsia="宋体"/>
                      <w:color w:val="auto"/>
                      <w:spacing w:val="0"/>
                      <w:sz w:val="21"/>
                      <w:szCs w:val="21"/>
                      <w:lang w:val="en-US" w:eastAsia="zh-CN"/>
                    </w:rPr>
                  </w:pPr>
                  <w:r>
                    <w:rPr>
                      <w:color w:val="auto"/>
                      <w:spacing w:val="0"/>
                      <w:sz w:val="21"/>
                      <w:szCs w:val="21"/>
                    </w:rPr>
                    <w:t>7.</w:t>
                  </w:r>
                  <w:r>
                    <w:rPr>
                      <w:rFonts w:hint="eastAsia"/>
                      <w:color w:val="auto"/>
                      <w:spacing w:val="0"/>
                      <w:sz w:val="21"/>
                      <w:szCs w:val="21"/>
                    </w:rPr>
                    <w:t>共产主义渠、卫河、天然文岩渠等主要河道除涝标准达到3年一遇，防洪标准达到10-20年一遇，重点河段达到50-100年一遇设置堤防</w:t>
                  </w:r>
                  <w:r>
                    <w:rPr>
                      <w:rFonts w:hint="eastAsia"/>
                      <w:color w:val="auto"/>
                      <w:spacing w:val="0"/>
                      <w:sz w:val="21"/>
                      <w:szCs w:val="21"/>
                      <w:lang w:eastAsia="zh-CN"/>
                    </w:rPr>
                    <w:t>。</w:t>
                  </w:r>
                </w:p>
              </w:tc>
              <w:tc>
                <w:tcPr>
                  <w:tcW w:w="2628" w:type="dxa"/>
                  <w:noWrap w:val="0"/>
                  <w:vAlign w:val="center"/>
                </w:tcPr>
                <w:p w14:paraId="140AF4A4">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本项目不在共产主义渠、卫河、天然文岩渠段，不会影响城市</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除涝</w:t>
                  </w:r>
                  <w:r>
                    <w:rPr>
                      <w:rFonts w:hint="default" w:ascii="Times New Roman" w:hAnsi="Times New Roman" w:eastAsia="宋体" w:cs="Times New Roman"/>
                      <w:b w:val="0"/>
                      <w:bCs w:val="0"/>
                      <w:color w:val="000000" w:themeColor="text1"/>
                      <w:sz w:val="21"/>
                      <w:szCs w:val="21"/>
                      <w:lang w:val="en-US" w:eastAsia="zh-CN"/>
                      <w14:textFill>
                        <w14:solidFill>
                          <w14:schemeClr w14:val="tx1"/>
                        </w14:solidFill>
                      </w14:textFill>
                    </w:rPr>
                    <w:t>防洪。</w:t>
                  </w:r>
                </w:p>
              </w:tc>
              <w:tc>
                <w:tcPr>
                  <w:tcW w:w="339" w:type="dxa"/>
                  <w:noWrap w:val="0"/>
                  <w:vAlign w:val="center"/>
                </w:tcPr>
                <w:p w14:paraId="5970E154">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6607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3FD814D1">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43387A58">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8.</w:t>
                  </w:r>
                  <w:r>
                    <w:rPr>
                      <w:rFonts w:hint="eastAsia"/>
                      <w:color w:val="auto"/>
                      <w:spacing w:val="0"/>
                      <w:sz w:val="21"/>
                      <w:szCs w:val="21"/>
                    </w:rPr>
                    <w:t>南太行旅游度假区规划区范围内；新乡市山水林田湖草一体化生态城规划区范围内；按规定划定的自然保护区、景观区、居民集中生活区的周边和重要交通干线、河流湖泊直观可视范围内；特定生态保护红线范围内禁止新建露天矿山项目。禁止建设生产和使用高挥发性有机物含量的溶剂型涂料、油墨、胶粘剂等项目。按照“可替尽替、应代尽代”的原则，开展汽车制造、工业涂装、家具制造、包装印刷、钢结构制造、工程机械等行业溶剂型涂料、油墨、胶粘剂、清洗剂使用低 VOCs 含量原辅材料替代。禁止生产、销售不符合标准的机动车船、非道路移动机械用燃料；禁止向汽车和摩托车销售普通柴油以及其他非机动车用燃料；禁止向非道路移动机械销售渣油、重油和不符合规定的燃用油。</w:t>
                  </w:r>
                </w:p>
              </w:tc>
              <w:tc>
                <w:tcPr>
                  <w:tcW w:w="2628" w:type="dxa"/>
                  <w:noWrap w:val="0"/>
                  <w:vAlign w:val="center"/>
                </w:tcPr>
                <w:p w14:paraId="5A5F068E">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本项目不在特定生态保护红线范围内</w:t>
                  </w:r>
                  <w:r>
                    <w:rPr>
                      <w:rFonts w:hint="eastAsia"/>
                      <w:color w:val="auto"/>
                      <w:spacing w:val="0"/>
                      <w:sz w:val="21"/>
                      <w:szCs w:val="21"/>
                    </w:rPr>
                    <w:t>，</w:t>
                  </w:r>
                  <w:r>
                    <w:rPr>
                      <w:color w:val="auto"/>
                      <w:spacing w:val="0"/>
                      <w:sz w:val="21"/>
                      <w:szCs w:val="21"/>
                    </w:rPr>
                    <w:t>选址</w:t>
                  </w:r>
                  <w:r>
                    <w:rPr>
                      <w:rFonts w:hint="eastAsia"/>
                      <w:color w:val="auto"/>
                      <w:spacing w:val="0"/>
                      <w:sz w:val="21"/>
                      <w:szCs w:val="21"/>
                    </w:rPr>
                    <w:t>位于</w:t>
                  </w:r>
                  <w:r>
                    <w:rPr>
                      <w:rFonts w:hint="eastAsia"/>
                      <w:color w:val="auto"/>
                      <w:spacing w:val="0"/>
                      <w:sz w:val="21"/>
                      <w:szCs w:val="21"/>
                      <w:lang w:eastAsia="zh-CN"/>
                    </w:rPr>
                    <w:t>新乡市新乡县翟坡镇东大阳堤村村西中央大道东侧</w:t>
                  </w:r>
                  <w:r>
                    <w:rPr>
                      <w:color w:val="auto"/>
                      <w:spacing w:val="0"/>
                      <w:sz w:val="21"/>
                      <w:szCs w:val="21"/>
                    </w:rPr>
                    <w:t>，</w:t>
                  </w:r>
                  <w:r>
                    <w:rPr>
                      <w:rFonts w:hint="eastAsia"/>
                      <w:color w:val="auto"/>
                      <w:spacing w:val="0"/>
                      <w:sz w:val="21"/>
                      <w:szCs w:val="21"/>
                    </w:rPr>
                    <w:t>项目选址</w:t>
                  </w:r>
                  <w:r>
                    <w:rPr>
                      <w:color w:val="auto"/>
                      <w:spacing w:val="0"/>
                      <w:sz w:val="21"/>
                      <w:szCs w:val="21"/>
                    </w:rPr>
                    <w:t>符合要求；</w:t>
                  </w:r>
                  <w:r>
                    <w:rPr>
                      <w:rFonts w:hint="eastAsia"/>
                      <w:color w:val="auto"/>
                      <w:spacing w:val="0"/>
                      <w:sz w:val="21"/>
                      <w:szCs w:val="21"/>
                      <w:lang w:eastAsia="zh-CN"/>
                    </w:rPr>
                    <w:t>项目属于机械零部件加工行业，</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不涉及</w:t>
                  </w:r>
                  <w:r>
                    <w:rPr>
                      <w:rFonts w:hint="eastAsia" w:cs="Times New Roman"/>
                      <w:b w:val="0"/>
                      <w:bCs w:val="0"/>
                      <w:color w:val="000000" w:themeColor="text1"/>
                      <w:sz w:val="21"/>
                      <w:szCs w:val="21"/>
                      <w:lang w:val="en-US" w:eastAsia="zh-CN"/>
                      <w14:textFill>
                        <w14:solidFill>
                          <w14:schemeClr w14:val="tx1"/>
                        </w14:solidFill>
                      </w14:textFill>
                    </w:rPr>
                    <w:t>使用</w:t>
                  </w:r>
                  <w:r>
                    <w:rPr>
                      <w:rFonts w:hint="eastAsia" w:ascii="Times New Roman" w:hAnsi="Times New Roman" w:eastAsia="宋体" w:cs="Times New Roman"/>
                      <w:b w:val="0"/>
                      <w:bCs w:val="0"/>
                      <w:color w:val="000000" w:themeColor="text1"/>
                      <w:sz w:val="21"/>
                      <w:szCs w:val="21"/>
                      <w:lang w:val="en-US" w:eastAsia="zh-CN"/>
                      <w14:textFill>
                        <w14:solidFill>
                          <w14:schemeClr w14:val="tx1"/>
                        </w14:solidFill>
                      </w14:textFill>
                    </w:rPr>
                    <w:t>高挥发性有机物含量的溶剂型涂料、油墨、胶粘剂。本项目不涉及燃料的生产和销售，不涉及燃用油的销售。</w:t>
                  </w:r>
                </w:p>
              </w:tc>
              <w:tc>
                <w:tcPr>
                  <w:tcW w:w="339" w:type="dxa"/>
                  <w:noWrap w:val="0"/>
                  <w:vAlign w:val="center"/>
                </w:tcPr>
                <w:p w14:paraId="56757454">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65A08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5AEC624F">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0259C601">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9.</w:t>
                  </w:r>
                  <w:r>
                    <w:rPr>
                      <w:rFonts w:hint="eastAsia"/>
                      <w:color w:val="auto"/>
                      <w:spacing w:val="0"/>
                      <w:sz w:val="21"/>
                      <w:szCs w:val="21"/>
                    </w:rPr>
                    <w:t>严格控制新建、扩建钢铁冶炼、水泥、有色金属冶炼、平板玻璃、化工、建筑陶瓷、耐火材料、砖瓦、矿山开采等行业的高排放、高污染项目</w:t>
                  </w:r>
                  <w:r>
                    <w:rPr>
                      <w:color w:val="auto"/>
                      <w:spacing w:val="0"/>
                      <w:sz w:val="21"/>
                      <w:szCs w:val="21"/>
                    </w:rPr>
                    <w:t>……（略）</w:t>
                  </w:r>
                </w:p>
              </w:tc>
              <w:tc>
                <w:tcPr>
                  <w:tcW w:w="2628" w:type="dxa"/>
                  <w:noWrap w:val="0"/>
                  <w:vAlign w:val="center"/>
                </w:tcPr>
                <w:p w14:paraId="1A44A712">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本项目不属于</w:t>
                  </w:r>
                  <w:r>
                    <w:rPr>
                      <w:rFonts w:hint="eastAsia"/>
                      <w:color w:val="auto"/>
                      <w:spacing w:val="0"/>
                      <w:sz w:val="21"/>
                      <w:szCs w:val="21"/>
                      <w:lang w:eastAsia="zh-CN"/>
                    </w:rPr>
                    <w:t>高排放、</w:t>
                  </w:r>
                  <w:r>
                    <w:rPr>
                      <w:color w:val="auto"/>
                      <w:spacing w:val="0"/>
                      <w:sz w:val="21"/>
                      <w:szCs w:val="21"/>
                    </w:rPr>
                    <w:t>高污染项目。</w:t>
                  </w:r>
                </w:p>
              </w:tc>
              <w:tc>
                <w:tcPr>
                  <w:tcW w:w="339" w:type="dxa"/>
                  <w:noWrap w:val="0"/>
                  <w:vAlign w:val="center"/>
                </w:tcPr>
                <w:p w14:paraId="57EDBAFC">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598EE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27D2C98B">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15FA7D7D">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10.</w:t>
                  </w:r>
                  <w:r>
                    <w:rPr>
                      <w:rFonts w:hint="eastAsia"/>
                      <w:color w:val="auto"/>
                      <w:spacing w:val="0"/>
                      <w:sz w:val="21"/>
                      <w:szCs w:val="21"/>
                    </w:rPr>
                    <w:t>按照各园区建设发展规划，培育和建设关联企业高度集中的产业基地，积极推行区域、规划环境影响评价，对搬迁升级改造石化、化工、建材、有色等项目的环境影响评价，应满足区域、规划环评要求。鼓励支持水泥等重点行业进行产能置换、装备大型改造、重组整合。</w:t>
                  </w:r>
                </w:p>
              </w:tc>
              <w:tc>
                <w:tcPr>
                  <w:tcW w:w="2628" w:type="dxa"/>
                  <w:noWrap w:val="0"/>
                  <w:vAlign w:val="center"/>
                </w:tcPr>
                <w:p w14:paraId="5FB532A1">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rFonts w:hint="eastAsia"/>
                      <w:bCs/>
                      <w:color w:val="auto"/>
                      <w:spacing w:val="0"/>
                      <w:sz w:val="21"/>
                      <w:szCs w:val="21"/>
                      <w:lang w:val="en-US" w:eastAsia="zh-CN"/>
                    </w:rPr>
                    <w:t>本项目属于机械零部件加工行业</w:t>
                  </w:r>
                  <w:r>
                    <w:rPr>
                      <w:color w:val="auto"/>
                      <w:spacing w:val="0"/>
                      <w:sz w:val="21"/>
                      <w:szCs w:val="21"/>
                    </w:rPr>
                    <w:t>，不属于石化、化工、建材、有色等项目，不属于水泥行业。</w:t>
                  </w:r>
                </w:p>
              </w:tc>
              <w:tc>
                <w:tcPr>
                  <w:tcW w:w="339" w:type="dxa"/>
                  <w:noWrap w:val="0"/>
                  <w:vAlign w:val="center"/>
                </w:tcPr>
                <w:p w14:paraId="01544BB8">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0BFEF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3CC1EF8E">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0495243D">
                  <w:pPr>
                    <w:keepNext w:val="0"/>
                    <w:keepLines w:val="0"/>
                    <w:pageBreakBefore w:val="0"/>
                    <w:kinsoku/>
                    <w:overflowPunct/>
                    <w:topLinePunct w:val="0"/>
                    <w:autoSpaceDE/>
                    <w:autoSpaceDN/>
                    <w:bidi w:val="0"/>
                    <w:snapToGrid w:val="0"/>
                    <w:spacing w:line="240" w:lineRule="auto"/>
                    <w:ind w:firstLine="0" w:firstLineChars="0"/>
                    <w:jc w:val="left"/>
                    <w:rPr>
                      <w:rFonts w:hint="default" w:eastAsia="宋体"/>
                      <w:color w:val="auto"/>
                      <w:spacing w:val="0"/>
                      <w:sz w:val="21"/>
                      <w:szCs w:val="21"/>
                      <w:lang w:val="en-US" w:eastAsia="zh-CN"/>
                    </w:rPr>
                  </w:pPr>
                  <w:r>
                    <w:rPr>
                      <w:rFonts w:hint="eastAsia"/>
                      <w:color w:val="auto"/>
                      <w:spacing w:val="0"/>
                      <w:sz w:val="21"/>
                      <w:szCs w:val="21"/>
                      <w:lang w:val="en-US" w:eastAsia="zh-CN"/>
                    </w:rPr>
                    <w:t>11.化工园区选址布局应符合有关法律法规、政策规定、相关规划和行业管理或技术规范，满足国土空间规划和生态环境保护、安全生产、应急救援、资源利用、综合防灾减灾、交通运输等相关要求，原则上不再设立新的化工园区。</w:t>
                  </w:r>
                </w:p>
              </w:tc>
              <w:tc>
                <w:tcPr>
                  <w:tcW w:w="2628" w:type="dxa"/>
                  <w:noWrap w:val="0"/>
                  <w:vAlign w:val="center"/>
                </w:tcPr>
                <w:p w14:paraId="22FFFB43">
                  <w:pPr>
                    <w:keepNext w:val="0"/>
                    <w:keepLines w:val="0"/>
                    <w:pageBreakBefore w:val="0"/>
                    <w:kinsoku/>
                    <w:overflowPunct/>
                    <w:topLinePunct w:val="0"/>
                    <w:autoSpaceDE/>
                    <w:autoSpaceDN/>
                    <w:bidi w:val="0"/>
                    <w:snapToGrid w:val="0"/>
                    <w:spacing w:line="240" w:lineRule="auto"/>
                    <w:ind w:firstLine="0" w:firstLineChars="0"/>
                    <w:jc w:val="left"/>
                    <w:rPr>
                      <w:rFonts w:hint="eastAsia" w:eastAsia="宋体"/>
                      <w:color w:val="auto"/>
                      <w:spacing w:val="0"/>
                      <w:sz w:val="21"/>
                      <w:szCs w:val="21"/>
                      <w:lang w:eastAsia="zh-CN"/>
                    </w:rPr>
                  </w:pPr>
                  <w:r>
                    <w:rPr>
                      <w:rFonts w:hint="eastAsia"/>
                      <w:color w:val="auto"/>
                      <w:spacing w:val="0"/>
                      <w:sz w:val="21"/>
                      <w:szCs w:val="21"/>
                      <w:lang w:eastAsia="zh-CN"/>
                    </w:rPr>
                    <w:t>本项目不涉及。</w:t>
                  </w:r>
                </w:p>
              </w:tc>
              <w:tc>
                <w:tcPr>
                  <w:tcW w:w="339" w:type="dxa"/>
                  <w:noWrap w:val="0"/>
                  <w:vAlign w:val="center"/>
                </w:tcPr>
                <w:p w14:paraId="064E3FD7">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11D58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5FDF811B">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386CC7F7">
                  <w:pPr>
                    <w:keepNext w:val="0"/>
                    <w:keepLines w:val="0"/>
                    <w:pageBreakBefore w:val="0"/>
                    <w:kinsoku/>
                    <w:overflowPunct/>
                    <w:topLinePunct w:val="0"/>
                    <w:autoSpaceDE/>
                    <w:autoSpaceDN/>
                    <w:bidi w:val="0"/>
                    <w:snapToGrid w:val="0"/>
                    <w:spacing w:line="240" w:lineRule="auto"/>
                    <w:ind w:firstLine="0" w:firstLineChars="0"/>
                    <w:jc w:val="left"/>
                    <w:rPr>
                      <w:rFonts w:hint="default"/>
                      <w:color w:val="auto"/>
                      <w:spacing w:val="0"/>
                      <w:sz w:val="21"/>
                      <w:szCs w:val="21"/>
                      <w:lang w:val="en-US" w:eastAsia="zh-CN"/>
                    </w:rPr>
                  </w:pPr>
                  <w:r>
                    <w:rPr>
                      <w:rFonts w:hint="eastAsia"/>
                      <w:color w:val="auto"/>
                      <w:spacing w:val="0"/>
                      <w:sz w:val="21"/>
                      <w:szCs w:val="21"/>
                      <w:lang w:val="en-US" w:eastAsia="zh-CN"/>
                    </w:rPr>
                    <w:t>12.推动我市沿黄重点地区拟建工业项目转入合规工业园区，严格控制高污染、高耗水、高耗能项目。</w:t>
                  </w:r>
                </w:p>
              </w:tc>
              <w:tc>
                <w:tcPr>
                  <w:tcW w:w="2628" w:type="dxa"/>
                  <w:noWrap w:val="0"/>
                  <w:vAlign w:val="center"/>
                </w:tcPr>
                <w:p w14:paraId="2013C862">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本项目不属于高污染</w:t>
                  </w:r>
                  <w:r>
                    <w:rPr>
                      <w:rFonts w:hint="eastAsia"/>
                      <w:color w:val="auto"/>
                      <w:spacing w:val="0"/>
                      <w:sz w:val="21"/>
                      <w:szCs w:val="21"/>
                      <w:lang w:eastAsia="zh-CN"/>
                    </w:rPr>
                    <w:t>、</w:t>
                  </w:r>
                  <w:r>
                    <w:rPr>
                      <w:rFonts w:hint="eastAsia"/>
                      <w:color w:val="auto"/>
                      <w:spacing w:val="0"/>
                      <w:sz w:val="21"/>
                      <w:szCs w:val="21"/>
                      <w:lang w:val="en-US" w:eastAsia="zh-CN"/>
                    </w:rPr>
                    <w:t>高耗水、高耗能</w:t>
                  </w:r>
                  <w:r>
                    <w:rPr>
                      <w:color w:val="auto"/>
                      <w:spacing w:val="0"/>
                      <w:sz w:val="21"/>
                      <w:szCs w:val="21"/>
                    </w:rPr>
                    <w:t>项目。</w:t>
                  </w:r>
                </w:p>
              </w:tc>
              <w:tc>
                <w:tcPr>
                  <w:tcW w:w="339" w:type="dxa"/>
                  <w:noWrap w:val="0"/>
                  <w:vAlign w:val="center"/>
                </w:tcPr>
                <w:p w14:paraId="210AABAC">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16829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restart"/>
                  <w:noWrap w:val="0"/>
                  <w:vAlign w:val="center"/>
                </w:tcPr>
                <w:p w14:paraId="18CF0EAE">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污染物排放管控</w:t>
                  </w:r>
                </w:p>
              </w:tc>
              <w:tc>
                <w:tcPr>
                  <w:tcW w:w="4137" w:type="dxa"/>
                  <w:noWrap w:val="0"/>
                  <w:vAlign w:val="center"/>
                </w:tcPr>
                <w:p w14:paraId="045F99F7">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1.新、改、扩建项目主要污</w:t>
                  </w:r>
                  <w:r>
                    <w:rPr>
                      <w:color w:val="auto"/>
                      <w:spacing w:val="0"/>
                      <w:sz w:val="21"/>
                      <w:szCs w:val="21"/>
                      <w:highlight w:val="none"/>
                    </w:rPr>
                    <w:t>染物排放要求满足当地总量减排要求。</w:t>
                  </w:r>
                </w:p>
              </w:tc>
              <w:tc>
                <w:tcPr>
                  <w:tcW w:w="2628" w:type="dxa"/>
                  <w:noWrap w:val="0"/>
                  <w:vAlign w:val="center"/>
                </w:tcPr>
                <w:p w14:paraId="087AA444">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w:t>
                  </w:r>
                  <w:r>
                    <w:rPr>
                      <w:rFonts w:hint="eastAsia"/>
                      <w:color w:val="auto"/>
                      <w:spacing w:val="0"/>
                      <w:sz w:val="21"/>
                      <w:szCs w:val="21"/>
                      <w:lang w:eastAsia="zh-CN"/>
                    </w:rPr>
                    <w:t>污染物</w:t>
                  </w:r>
                  <w:r>
                    <w:rPr>
                      <w:color w:val="auto"/>
                      <w:spacing w:val="0"/>
                      <w:sz w:val="21"/>
                      <w:szCs w:val="21"/>
                    </w:rPr>
                    <w:t>排放满足当地总量减排要求。</w:t>
                  </w:r>
                </w:p>
              </w:tc>
              <w:tc>
                <w:tcPr>
                  <w:tcW w:w="339" w:type="dxa"/>
                  <w:noWrap w:val="0"/>
                  <w:vAlign w:val="center"/>
                </w:tcPr>
                <w:p w14:paraId="70474995">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2BD33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066448F8">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10B9EC2A">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2</w:t>
                  </w:r>
                  <w:r>
                    <w:rPr>
                      <w:color w:val="auto"/>
                      <w:spacing w:val="0"/>
                      <w:sz w:val="21"/>
                      <w:szCs w:val="21"/>
                      <w:lang w:val="en-US" w:eastAsia="zh-CN"/>
                    </w:rPr>
                    <w:t>.十四五末，共产主义渠、西柳青河达到Ⅳ类指标，卫河、文岩渠、天然渠、天然文岩渠、黄庄河达到Ⅲ类指标；城市集中式饮</w:t>
                  </w:r>
                  <w:r>
                    <w:rPr>
                      <w:rFonts w:hint="eastAsia"/>
                      <w:color w:val="auto"/>
                      <w:spacing w:val="0"/>
                      <w:sz w:val="21"/>
                      <w:szCs w:val="21"/>
                      <w:lang w:val="en-US" w:eastAsia="zh-CN"/>
                    </w:rPr>
                    <w:t>用水水源地取水水质达标率达到100%；地下水质量考核点位水质级别保持稳定；确保完成国家水质考核目标。全市建成区全面消除黑臭水体，县（市）建成区基本完成黑臭水体整治任务。重点治理市域内卫河</w:t>
                  </w:r>
                  <w:r>
                    <w:rPr>
                      <w:color w:val="auto"/>
                      <w:spacing w:val="0"/>
                      <w:sz w:val="21"/>
                      <w:szCs w:val="21"/>
                    </w:rPr>
                    <w:t>……（略）</w:t>
                  </w:r>
                </w:p>
              </w:tc>
              <w:tc>
                <w:tcPr>
                  <w:tcW w:w="2628" w:type="dxa"/>
                  <w:noWrap w:val="0"/>
                  <w:vAlign w:val="center"/>
                </w:tcPr>
                <w:p w14:paraId="6B9FC9A6">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w:t>
                  </w:r>
                  <w:r>
                    <w:rPr>
                      <w:rFonts w:hint="eastAsia"/>
                      <w:color w:val="auto"/>
                      <w:sz w:val="21"/>
                      <w:szCs w:val="21"/>
                    </w:rPr>
                    <w:t>生活污水经化粪池处</w:t>
                  </w:r>
                  <w:r>
                    <w:rPr>
                      <w:rFonts w:hint="eastAsia"/>
                      <w:color w:val="auto"/>
                      <w:sz w:val="21"/>
                      <w:szCs w:val="21"/>
                      <w:lang w:eastAsia="zh-CN"/>
                    </w:rPr>
                    <w:t>理后通过污水管网后进入新乡县综合污水处理厂。</w:t>
                  </w:r>
                </w:p>
              </w:tc>
              <w:tc>
                <w:tcPr>
                  <w:tcW w:w="339" w:type="dxa"/>
                  <w:noWrap w:val="0"/>
                  <w:vAlign w:val="center"/>
                </w:tcPr>
                <w:p w14:paraId="7C911DFC">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1CFA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1970584F">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01050A41">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rFonts w:hint="eastAsia"/>
                      <w:color w:val="auto"/>
                      <w:spacing w:val="0"/>
                      <w:sz w:val="21"/>
                      <w:szCs w:val="21"/>
                    </w:rPr>
                    <w:t>3.全面推进城镇（</w:t>
                  </w:r>
                  <w:r>
                    <w:rPr>
                      <w:rFonts w:hint="eastAsia"/>
                      <w:color w:val="auto"/>
                      <w:spacing w:val="0"/>
                      <w:sz w:val="21"/>
                      <w:szCs w:val="21"/>
                      <w:highlight w:val="none"/>
                    </w:rPr>
                    <w:t>园区）污水处理厂Ⅴ类水提标改造工程建设，市、县（市、区）污水处理率、城市污泥无害化处置率达到政府目标任务</w:t>
                  </w:r>
                  <w:r>
                    <w:rPr>
                      <w:rFonts w:hint="eastAsia"/>
                      <w:color w:val="auto"/>
                      <w:spacing w:val="0"/>
                      <w:sz w:val="21"/>
                      <w:szCs w:val="21"/>
                    </w:rPr>
                    <w:t>。到2025年，黄河流域内现有污水处理厂完成提质增效改造，确保出水稳定达到《河南省黄河流域水污染物排放标准》污染物（DB41/2087-2021）。</w:t>
                  </w:r>
                </w:p>
              </w:tc>
              <w:tc>
                <w:tcPr>
                  <w:tcW w:w="2628" w:type="dxa"/>
                  <w:noWrap w:val="0"/>
                  <w:vAlign w:val="center"/>
                </w:tcPr>
                <w:p w14:paraId="7DE56FC9">
                  <w:pPr>
                    <w:keepNext w:val="0"/>
                    <w:keepLines w:val="0"/>
                    <w:pageBreakBefore w:val="0"/>
                    <w:kinsoku/>
                    <w:overflowPunct/>
                    <w:topLinePunct w:val="0"/>
                    <w:autoSpaceDE/>
                    <w:autoSpaceDN/>
                    <w:bidi w:val="0"/>
                    <w:snapToGrid w:val="0"/>
                    <w:spacing w:line="240" w:lineRule="auto"/>
                    <w:ind w:firstLine="0" w:firstLineChars="0"/>
                    <w:jc w:val="left"/>
                    <w:rPr>
                      <w:rFonts w:hint="eastAsia" w:eastAsia="宋体"/>
                      <w:color w:val="auto"/>
                      <w:spacing w:val="0"/>
                      <w:sz w:val="21"/>
                      <w:szCs w:val="21"/>
                      <w:lang w:eastAsia="zh-CN"/>
                    </w:rPr>
                  </w:pPr>
                  <w:r>
                    <w:rPr>
                      <w:rFonts w:hint="eastAsia" w:ascii="Times New Roman" w:hAnsi="Times New Roman"/>
                      <w:snapToGrid w:val="0"/>
                      <w:color w:val="auto"/>
                      <w:spacing w:val="0"/>
                      <w:sz w:val="21"/>
                      <w:szCs w:val="21"/>
                      <w:lang w:eastAsia="zh-CN"/>
                    </w:rPr>
                    <w:t>本项目</w:t>
                  </w:r>
                  <w:r>
                    <w:rPr>
                      <w:rFonts w:hint="eastAsia"/>
                      <w:snapToGrid w:val="0"/>
                      <w:color w:val="auto"/>
                      <w:spacing w:val="0"/>
                      <w:sz w:val="21"/>
                      <w:szCs w:val="21"/>
                      <w:lang w:eastAsia="zh-CN"/>
                    </w:rPr>
                    <w:t>生活废水经化粪池处理后排入污水管网，进入新乡县综合污水处理厂。</w:t>
                  </w:r>
                </w:p>
              </w:tc>
              <w:tc>
                <w:tcPr>
                  <w:tcW w:w="339" w:type="dxa"/>
                  <w:noWrap w:val="0"/>
                  <w:vAlign w:val="center"/>
                </w:tcPr>
                <w:p w14:paraId="7BD9C7F6">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5EC35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59144DBC">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46A97D96">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4.</w:t>
                  </w:r>
                  <w:r>
                    <w:rPr>
                      <w:rFonts w:hint="eastAsia"/>
                      <w:color w:val="auto"/>
                      <w:spacing w:val="0"/>
                      <w:sz w:val="21"/>
                      <w:szCs w:val="21"/>
                    </w:rPr>
                    <w:t>严控新增重金属污染物排放量，在重有色金属冶炼业（铜、铅锌、镍、钴、锡、锑和汞冶炼等）、铅蓄电池制造业、皮革及其制品业（皮革鞣制加工等）、化学原料及化学制品制造业（电石法聚氯乙烯行业、铬盐行业等）、电镀行业等重点行业实施重点重金属减量替代。新、改、扩建涉重金属重点行业建设项目应遵循重点重金属污染物排放“减量替代”原则，应符合《新乡市“十四五”重金属污染防控工作方案》相关要求</w:t>
                  </w:r>
                  <w:r>
                    <w:rPr>
                      <w:color w:val="auto"/>
                      <w:spacing w:val="0"/>
                      <w:sz w:val="21"/>
                      <w:szCs w:val="21"/>
                    </w:rPr>
                    <w:t>。</w:t>
                  </w:r>
                </w:p>
              </w:tc>
              <w:tc>
                <w:tcPr>
                  <w:tcW w:w="2628" w:type="dxa"/>
                  <w:noWrap w:val="0"/>
                  <w:vAlign w:val="center"/>
                </w:tcPr>
                <w:p w14:paraId="0C94257C">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本项目不涉及重金属污染物排放。</w:t>
                  </w:r>
                </w:p>
              </w:tc>
              <w:tc>
                <w:tcPr>
                  <w:tcW w:w="339" w:type="dxa"/>
                  <w:noWrap w:val="0"/>
                  <w:vAlign w:val="center"/>
                </w:tcPr>
                <w:p w14:paraId="73B42EA0">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3606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2609C526">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4108BBDE">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5.全面推进企业清洁生产，完善省级产业集聚区污水处理设施水平……（略）</w:t>
                  </w:r>
                </w:p>
              </w:tc>
              <w:tc>
                <w:tcPr>
                  <w:tcW w:w="2628" w:type="dxa"/>
                  <w:noWrap w:val="0"/>
                  <w:vAlign w:val="center"/>
                </w:tcPr>
                <w:p w14:paraId="2421E3BF">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项目节能降耗，</w:t>
                  </w:r>
                  <w:r>
                    <w:rPr>
                      <w:rFonts w:hint="eastAsia"/>
                      <w:color w:val="auto"/>
                      <w:sz w:val="21"/>
                      <w:szCs w:val="21"/>
                    </w:rPr>
                    <w:t>生活污水经化粪池处</w:t>
                  </w:r>
                  <w:r>
                    <w:rPr>
                      <w:rFonts w:hint="eastAsia"/>
                      <w:color w:val="auto"/>
                      <w:sz w:val="21"/>
                      <w:szCs w:val="21"/>
                      <w:lang w:eastAsia="zh-CN"/>
                    </w:rPr>
                    <w:t>理后排入污水管网，进入新乡县综合污水处理厂。</w:t>
                  </w:r>
                  <w:r>
                    <w:rPr>
                      <w:color w:val="auto"/>
                      <w:spacing w:val="0"/>
                      <w:sz w:val="21"/>
                      <w:szCs w:val="21"/>
                    </w:rPr>
                    <w:t>项目建成后严格按照清洁生产要求进行管理和生产。</w:t>
                  </w:r>
                </w:p>
              </w:tc>
              <w:tc>
                <w:tcPr>
                  <w:tcW w:w="339" w:type="dxa"/>
                  <w:noWrap w:val="0"/>
                  <w:vAlign w:val="center"/>
                </w:tcPr>
                <w:p w14:paraId="299DE51B">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5EC0B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6864C593">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6ADCD018">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6.</w:t>
                  </w:r>
                  <w:r>
                    <w:rPr>
                      <w:rFonts w:hint="eastAsia"/>
                      <w:color w:val="auto"/>
                      <w:spacing w:val="0"/>
                      <w:sz w:val="21"/>
                      <w:szCs w:val="21"/>
                    </w:rPr>
                    <w:t>测土配方施肥技术推广覆盖率、绿色防控覆盖率达到政府目标任务，实现化肥农药施用量零增长。</w:t>
                  </w:r>
                </w:p>
              </w:tc>
              <w:tc>
                <w:tcPr>
                  <w:tcW w:w="2628" w:type="dxa"/>
                  <w:noWrap w:val="0"/>
                  <w:vAlign w:val="center"/>
                </w:tcPr>
                <w:p w14:paraId="7B943851">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w:t>
                  </w:r>
                  <w:r>
                    <w:rPr>
                      <w:rFonts w:hint="eastAsia"/>
                      <w:color w:val="auto"/>
                      <w:spacing w:val="0"/>
                      <w:sz w:val="21"/>
                      <w:szCs w:val="21"/>
                      <w:lang w:eastAsia="zh-CN"/>
                    </w:rPr>
                    <w:t>不涉及</w:t>
                  </w:r>
                  <w:r>
                    <w:rPr>
                      <w:color w:val="auto"/>
                      <w:spacing w:val="0"/>
                      <w:sz w:val="21"/>
                      <w:szCs w:val="21"/>
                    </w:rPr>
                    <w:t>。</w:t>
                  </w:r>
                </w:p>
              </w:tc>
              <w:tc>
                <w:tcPr>
                  <w:tcW w:w="339" w:type="dxa"/>
                  <w:noWrap w:val="0"/>
                  <w:vAlign w:val="center"/>
                </w:tcPr>
                <w:p w14:paraId="257CF4C0">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rFonts w:hint="eastAsia"/>
                      <w:color w:val="auto"/>
                      <w:spacing w:val="0"/>
                      <w:sz w:val="21"/>
                      <w:szCs w:val="21"/>
                      <w:lang w:val="en-US" w:eastAsia="zh-CN"/>
                    </w:rPr>
                    <w:t>/</w:t>
                  </w:r>
                </w:p>
              </w:tc>
            </w:tr>
            <w:tr w14:paraId="76975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3E184BEF">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006EF441">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rFonts w:hint="eastAsia"/>
                      <w:color w:val="auto"/>
                      <w:spacing w:val="0"/>
                      <w:sz w:val="21"/>
                      <w:szCs w:val="21"/>
                      <w:lang w:val="en-US" w:eastAsia="zh-CN"/>
                    </w:rPr>
                    <w:t>7.</w:t>
                  </w:r>
                  <w:r>
                    <w:rPr>
                      <w:rFonts w:hint="eastAsia"/>
                      <w:color w:val="auto"/>
                      <w:spacing w:val="0"/>
                      <w:sz w:val="21"/>
                      <w:szCs w:val="21"/>
                    </w:rPr>
                    <w:t>实施节能降碳增效行动，提高能源利用效率，推动电力、钢铁、有色金属、建材、石化化工等行业绿色转型发展。</w:t>
                  </w:r>
                </w:p>
              </w:tc>
              <w:tc>
                <w:tcPr>
                  <w:tcW w:w="2628" w:type="dxa"/>
                  <w:noWrap w:val="0"/>
                  <w:vAlign w:val="center"/>
                </w:tcPr>
                <w:p w14:paraId="4535A612">
                  <w:pPr>
                    <w:keepNext w:val="0"/>
                    <w:keepLines w:val="0"/>
                    <w:pageBreakBefore w:val="0"/>
                    <w:kinsoku/>
                    <w:overflowPunct/>
                    <w:topLinePunct w:val="0"/>
                    <w:autoSpaceDE/>
                    <w:autoSpaceDN/>
                    <w:bidi w:val="0"/>
                    <w:snapToGrid w:val="0"/>
                    <w:spacing w:line="240" w:lineRule="auto"/>
                    <w:ind w:firstLine="0" w:firstLineChars="0"/>
                    <w:jc w:val="left"/>
                    <w:rPr>
                      <w:rFonts w:hint="eastAsia" w:eastAsia="宋体"/>
                      <w:color w:val="auto"/>
                      <w:spacing w:val="0"/>
                      <w:sz w:val="21"/>
                      <w:szCs w:val="21"/>
                      <w:lang w:val="en-US" w:eastAsia="zh-CN"/>
                    </w:rPr>
                  </w:pPr>
                  <w:r>
                    <w:rPr>
                      <w:color w:val="auto"/>
                      <w:spacing w:val="0"/>
                      <w:sz w:val="21"/>
                      <w:szCs w:val="21"/>
                    </w:rPr>
                    <w:t>本项目不属于</w:t>
                  </w:r>
                  <w:r>
                    <w:rPr>
                      <w:rFonts w:hint="eastAsia"/>
                      <w:color w:val="auto"/>
                      <w:spacing w:val="0"/>
                      <w:sz w:val="21"/>
                      <w:szCs w:val="21"/>
                    </w:rPr>
                    <w:t>电力、钢铁、有色金属、建材、石化化工等行业</w:t>
                  </w:r>
                  <w:r>
                    <w:rPr>
                      <w:rFonts w:hint="eastAsia"/>
                      <w:color w:val="auto"/>
                      <w:spacing w:val="0"/>
                      <w:sz w:val="21"/>
                      <w:szCs w:val="21"/>
                      <w:lang w:eastAsia="zh-CN"/>
                    </w:rPr>
                    <w:t>。</w:t>
                  </w:r>
                </w:p>
              </w:tc>
              <w:tc>
                <w:tcPr>
                  <w:tcW w:w="339" w:type="dxa"/>
                  <w:noWrap w:val="0"/>
                  <w:vAlign w:val="center"/>
                </w:tcPr>
                <w:p w14:paraId="59686F94">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7442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01A89B12">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3F87358F">
                  <w:pPr>
                    <w:keepNext w:val="0"/>
                    <w:keepLines w:val="0"/>
                    <w:pageBreakBefore w:val="0"/>
                    <w:kinsoku/>
                    <w:overflowPunct/>
                    <w:topLinePunct w:val="0"/>
                    <w:autoSpaceDE/>
                    <w:autoSpaceDN/>
                    <w:bidi w:val="0"/>
                    <w:snapToGrid w:val="0"/>
                    <w:spacing w:line="240" w:lineRule="auto"/>
                    <w:ind w:firstLine="0" w:firstLineChars="0"/>
                    <w:jc w:val="left"/>
                    <w:rPr>
                      <w:rFonts w:hint="eastAsia" w:eastAsia="宋体"/>
                      <w:color w:val="auto"/>
                      <w:spacing w:val="0"/>
                      <w:sz w:val="21"/>
                      <w:szCs w:val="21"/>
                      <w:lang w:eastAsia="zh-CN"/>
                    </w:rPr>
                  </w:pPr>
                  <w:r>
                    <w:rPr>
                      <w:rFonts w:hint="eastAsia"/>
                      <w:color w:val="auto"/>
                      <w:spacing w:val="0"/>
                      <w:sz w:val="21"/>
                      <w:szCs w:val="21"/>
                      <w:lang w:val="en-US" w:eastAsia="zh-CN"/>
                    </w:rPr>
                    <w:t>8</w:t>
                  </w:r>
                  <w:r>
                    <w:rPr>
                      <w:color w:val="auto"/>
                      <w:spacing w:val="0"/>
                      <w:sz w:val="21"/>
                      <w:szCs w:val="21"/>
                    </w:rPr>
                    <w:t>.</w:t>
                  </w:r>
                  <w:r>
                    <w:rPr>
                      <w:rFonts w:hint="eastAsia"/>
                      <w:color w:val="auto"/>
                      <w:spacing w:val="0"/>
                      <w:sz w:val="21"/>
                      <w:szCs w:val="21"/>
                    </w:rPr>
                    <w:t>国家、省绩效分级重点行业以及涉及锅炉炉窑的其他行业，新建、扩建项目污染物排放限值、污染治理措施、无组织排放控制水平、运输方式等达到 A级绩效水平，改建项目污染物排放限值、污染治理措施、无组织排放控制水平、运输方式等达到B级以上绩效水平</w:t>
                  </w:r>
                  <w:r>
                    <w:rPr>
                      <w:rFonts w:hint="eastAsia"/>
                      <w:color w:val="auto"/>
                      <w:spacing w:val="0"/>
                      <w:sz w:val="21"/>
                      <w:szCs w:val="21"/>
                      <w:lang w:eastAsia="zh-CN"/>
                    </w:rPr>
                    <w:t>。</w:t>
                  </w:r>
                </w:p>
              </w:tc>
              <w:tc>
                <w:tcPr>
                  <w:tcW w:w="2628" w:type="dxa"/>
                  <w:noWrap w:val="0"/>
                  <w:vAlign w:val="center"/>
                </w:tcPr>
                <w:p w14:paraId="454E2DD8">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本项目满足《河南省重污染天气通用行业应急减排措施制定技术指南》（2024年修订稿）</w:t>
                  </w:r>
                  <w:r>
                    <w:rPr>
                      <w:rFonts w:hint="eastAsia" w:cs="Times New Roman"/>
                      <w:b w:val="0"/>
                      <w:bCs w:val="0"/>
                      <w:color w:val="000000" w:themeColor="text1"/>
                      <w:spacing w:val="0"/>
                      <w:sz w:val="21"/>
                      <w:szCs w:val="21"/>
                      <w:lang w:val="en-US" w:eastAsia="zh-CN"/>
                      <w14:textFill>
                        <w14:solidFill>
                          <w14:schemeClr w14:val="tx1"/>
                        </w14:solidFill>
                      </w14:textFill>
                    </w:rPr>
                    <w:t>中</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涉锅炉/炉窑</w:t>
                  </w:r>
                  <w:r>
                    <w:rPr>
                      <w:rFonts w:hint="eastAsia" w:cs="Times New Roman"/>
                      <w:b w:val="0"/>
                      <w:bCs w:val="0"/>
                      <w:color w:val="000000" w:themeColor="text1"/>
                      <w:spacing w:val="0"/>
                      <w:sz w:val="21"/>
                      <w:szCs w:val="21"/>
                      <w:lang w:val="en-US" w:eastAsia="zh-CN"/>
                      <w14:textFill>
                        <w14:solidFill>
                          <w14:schemeClr w14:val="tx1"/>
                        </w14:solidFill>
                      </w14:textFill>
                    </w:rPr>
                    <w:t>A级</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企业绩效</w:t>
                  </w:r>
                  <w:r>
                    <w:rPr>
                      <w:rFonts w:hint="eastAsia" w:cs="Times New Roman"/>
                      <w:b w:val="0"/>
                      <w:bCs w:val="0"/>
                      <w:color w:val="000000" w:themeColor="text1"/>
                      <w:spacing w:val="0"/>
                      <w:sz w:val="21"/>
                      <w:szCs w:val="21"/>
                      <w:lang w:val="en-US" w:eastAsia="zh-CN"/>
                      <w14:textFill>
                        <w14:solidFill>
                          <w14:schemeClr w14:val="tx1"/>
                        </w14:solidFill>
                      </w14:textFill>
                    </w:rPr>
                    <w:t>分级</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指标基本要求。</w:t>
                  </w:r>
                </w:p>
              </w:tc>
              <w:tc>
                <w:tcPr>
                  <w:tcW w:w="339" w:type="dxa"/>
                  <w:noWrap w:val="0"/>
                  <w:vAlign w:val="center"/>
                </w:tcPr>
                <w:p w14:paraId="2229BE7F">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085D1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restart"/>
                  <w:noWrap w:val="0"/>
                  <w:vAlign w:val="center"/>
                </w:tcPr>
                <w:p w14:paraId="179DC92F">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环境风险防控</w:t>
                  </w:r>
                </w:p>
              </w:tc>
              <w:tc>
                <w:tcPr>
                  <w:tcW w:w="4137" w:type="dxa"/>
                  <w:noWrap w:val="0"/>
                  <w:vAlign w:val="center"/>
                </w:tcPr>
                <w:p w14:paraId="7F1C475A">
                  <w:pPr>
                    <w:keepNext w:val="0"/>
                    <w:keepLines w:val="0"/>
                    <w:pageBreakBefore w:val="0"/>
                    <w:kinsoku/>
                    <w:overflowPunct/>
                    <w:topLinePunct w:val="0"/>
                    <w:autoSpaceDE/>
                    <w:autoSpaceDN/>
                    <w:bidi w:val="0"/>
                    <w:snapToGrid w:val="0"/>
                    <w:spacing w:line="240" w:lineRule="auto"/>
                    <w:ind w:firstLine="0" w:firstLineChars="0"/>
                    <w:jc w:val="left"/>
                    <w:rPr>
                      <w:rFonts w:hint="default" w:eastAsia="宋体"/>
                      <w:color w:val="auto"/>
                      <w:spacing w:val="0"/>
                      <w:sz w:val="21"/>
                      <w:szCs w:val="21"/>
                      <w:lang w:val="en-US" w:eastAsia="zh-CN"/>
                    </w:rPr>
                  </w:pPr>
                  <w:r>
                    <w:rPr>
                      <w:rFonts w:hint="eastAsia"/>
                      <w:color w:val="auto"/>
                      <w:spacing w:val="0"/>
                      <w:sz w:val="21"/>
                      <w:szCs w:val="21"/>
                      <w:lang w:val="en-US" w:eastAsia="zh-CN"/>
                    </w:rPr>
                    <w:t>1.地下水漏斗区、重金属污染区、生态严重退化区等区域：探索开展耕地轮作休耕试点；实行休耕补贴，引导农民自愿将重度污染耕地退出农业生产。</w:t>
                  </w:r>
                </w:p>
              </w:tc>
              <w:tc>
                <w:tcPr>
                  <w:tcW w:w="2628" w:type="dxa"/>
                  <w:noWrap w:val="0"/>
                  <w:vAlign w:val="center"/>
                </w:tcPr>
                <w:p w14:paraId="768E0F46">
                  <w:pPr>
                    <w:keepNext w:val="0"/>
                    <w:keepLines w:val="0"/>
                    <w:pageBreakBefore w:val="0"/>
                    <w:kinsoku/>
                    <w:overflowPunct/>
                    <w:topLinePunct w:val="0"/>
                    <w:autoSpaceDE/>
                    <w:autoSpaceDN/>
                    <w:bidi w:val="0"/>
                    <w:snapToGrid w:val="0"/>
                    <w:spacing w:line="240" w:lineRule="auto"/>
                    <w:ind w:firstLine="0" w:firstLineChars="0"/>
                    <w:jc w:val="left"/>
                    <w:rPr>
                      <w:rFonts w:hint="eastAsia" w:eastAsia="宋体"/>
                      <w:color w:val="auto"/>
                      <w:spacing w:val="0"/>
                      <w:sz w:val="21"/>
                      <w:szCs w:val="21"/>
                      <w:lang w:eastAsia="zh-CN"/>
                    </w:rPr>
                  </w:pPr>
                  <w:r>
                    <w:rPr>
                      <w:rFonts w:hint="eastAsia"/>
                      <w:color w:val="auto"/>
                      <w:spacing w:val="0"/>
                      <w:sz w:val="21"/>
                      <w:szCs w:val="21"/>
                      <w:lang w:eastAsia="zh-CN"/>
                    </w:rPr>
                    <w:t>本项目不涉及。</w:t>
                  </w:r>
                </w:p>
              </w:tc>
              <w:tc>
                <w:tcPr>
                  <w:tcW w:w="339" w:type="dxa"/>
                  <w:noWrap w:val="0"/>
                  <w:vAlign w:val="center"/>
                </w:tcPr>
                <w:p w14:paraId="155F9ADE">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rFonts w:hint="eastAsia"/>
                      <w:color w:val="auto"/>
                      <w:spacing w:val="0"/>
                      <w:sz w:val="21"/>
                      <w:szCs w:val="21"/>
                      <w:lang w:val="en-US" w:eastAsia="zh-CN"/>
                    </w:rPr>
                    <w:t>/</w:t>
                  </w:r>
                </w:p>
              </w:tc>
            </w:tr>
            <w:tr w14:paraId="74538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106E9D8B">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p>
              </w:tc>
              <w:tc>
                <w:tcPr>
                  <w:tcW w:w="4137" w:type="dxa"/>
                  <w:noWrap w:val="0"/>
                  <w:vAlign w:val="center"/>
                </w:tcPr>
                <w:p w14:paraId="64106ACD">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2、具备饮用水水源保护区及影响范围内风险源名录和风险防控方案……（略）</w:t>
                  </w:r>
                </w:p>
              </w:tc>
              <w:tc>
                <w:tcPr>
                  <w:tcW w:w="2628" w:type="dxa"/>
                  <w:noWrap w:val="0"/>
                  <w:vAlign w:val="center"/>
                </w:tcPr>
                <w:p w14:paraId="1196BD49">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本项目不在水源地保护区及影响范围内。</w:t>
                  </w:r>
                </w:p>
              </w:tc>
              <w:tc>
                <w:tcPr>
                  <w:tcW w:w="339" w:type="dxa"/>
                  <w:noWrap w:val="0"/>
                  <w:vAlign w:val="center"/>
                </w:tcPr>
                <w:p w14:paraId="112CE59F">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2747A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restart"/>
                  <w:noWrap w:val="0"/>
                  <w:vAlign w:val="center"/>
                </w:tcPr>
                <w:p w14:paraId="4B51B38F">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资源开发效率要求</w:t>
                  </w:r>
                </w:p>
              </w:tc>
              <w:tc>
                <w:tcPr>
                  <w:tcW w:w="4137" w:type="dxa"/>
                  <w:noWrap w:val="0"/>
                  <w:vAlign w:val="center"/>
                </w:tcPr>
                <w:p w14:paraId="03DDCBF0">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1</w:t>
                  </w:r>
                  <w:r>
                    <w:rPr>
                      <w:rFonts w:hint="eastAsia"/>
                      <w:color w:val="auto"/>
                      <w:spacing w:val="0"/>
                      <w:sz w:val="21"/>
                      <w:szCs w:val="21"/>
                      <w:lang w:eastAsia="zh-CN"/>
                    </w:rPr>
                    <w:t>.</w:t>
                  </w:r>
                  <w:r>
                    <w:rPr>
                      <w:rFonts w:hint="eastAsia"/>
                      <w:color w:val="auto"/>
                      <w:spacing w:val="0"/>
                      <w:sz w:val="21"/>
                      <w:szCs w:val="21"/>
                    </w:rPr>
                    <w:t>“十四五”期间按照政府目标控制能耗增量指标。严控新增耗煤项目，新、改、扩建项目实施煤炭减量替代，重点削减非电力用煤。鼓励使用清洁燃料，重点区域建设项目原则上不新建燃煤自备锅炉。2023年底，全面淘汰35蒸吨/小时及以下的燃煤锅炉，鼓励淘汰4蒸吨/小时以下生物质锅炉，保留现有生物质锅炉应采用专用炉具，禁止掺烧煤炭、垃圾、工业固体废物等其他物料</w:t>
                  </w:r>
                  <w:r>
                    <w:rPr>
                      <w:color w:val="auto"/>
                      <w:spacing w:val="0"/>
                      <w:sz w:val="21"/>
                      <w:szCs w:val="21"/>
                    </w:rPr>
                    <w:t>。</w:t>
                  </w:r>
                </w:p>
              </w:tc>
              <w:tc>
                <w:tcPr>
                  <w:tcW w:w="2628" w:type="dxa"/>
                  <w:noWrap w:val="0"/>
                  <w:vAlign w:val="center"/>
                </w:tcPr>
                <w:p w14:paraId="3AB79F9A">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本项目能源使用</w:t>
                  </w:r>
                  <w:r>
                    <w:rPr>
                      <w:rFonts w:hint="default"/>
                      <w:color w:val="auto"/>
                      <w:spacing w:val="0"/>
                      <w:sz w:val="21"/>
                      <w:szCs w:val="21"/>
                      <w:lang w:val="en-US" w:eastAsia="zh-CN"/>
                    </w:rPr>
                    <w:t>电能</w:t>
                  </w:r>
                  <w:r>
                    <w:rPr>
                      <w:color w:val="auto"/>
                      <w:spacing w:val="0"/>
                      <w:sz w:val="21"/>
                      <w:szCs w:val="21"/>
                    </w:rPr>
                    <w:t>。</w:t>
                  </w:r>
                </w:p>
              </w:tc>
              <w:tc>
                <w:tcPr>
                  <w:tcW w:w="339" w:type="dxa"/>
                  <w:noWrap w:val="0"/>
                  <w:vAlign w:val="center"/>
                </w:tcPr>
                <w:p w14:paraId="4EA2B423">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79360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353D3464">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065BA988">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2.</w:t>
                  </w:r>
                  <w:r>
                    <w:rPr>
                      <w:rFonts w:hint="eastAsia"/>
                      <w:color w:val="auto"/>
                      <w:spacing w:val="0"/>
                      <w:sz w:val="21"/>
                      <w:szCs w:val="21"/>
                    </w:rPr>
                    <w:t>重点推进南水北调受水区地下水压采工作，加快公共供水管网建设，促进供水管网覆盖范围以外的自备井封闭工作。</w:t>
                  </w:r>
                </w:p>
              </w:tc>
              <w:tc>
                <w:tcPr>
                  <w:tcW w:w="2628" w:type="dxa"/>
                  <w:noWrap w:val="0"/>
                  <w:vAlign w:val="center"/>
                </w:tcPr>
                <w:p w14:paraId="3FAA65F9">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本项目不在南水北调受水区</w:t>
                  </w:r>
                  <w:r>
                    <w:rPr>
                      <w:rFonts w:hint="eastAsia"/>
                      <w:color w:val="auto"/>
                      <w:spacing w:val="0"/>
                      <w:sz w:val="21"/>
                      <w:szCs w:val="21"/>
                      <w:lang w:eastAsia="zh-CN"/>
                    </w:rPr>
                    <w:t>，项目用水来自供水管网</w:t>
                  </w:r>
                  <w:r>
                    <w:rPr>
                      <w:color w:val="auto"/>
                      <w:spacing w:val="0"/>
                      <w:sz w:val="21"/>
                      <w:szCs w:val="21"/>
                    </w:rPr>
                    <w:t>。</w:t>
                  </w:r>
                </w:p>
              </w:tc>
              <w:tc>
                <w:tcPr>
                  <w:tcW w:w="339" w:type="dxa"/>
                  <w:noWrap w:val="0"/>
                  <w:vAlign w:val="center"/>
                </w:tcPr>
                <w:p w14:paraId="5C96C9C7">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7F707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72304CCF">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153A898A">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3.</w:t>
                  </w:r>
                  <w:r>
                    <w:rPr>
                      <w:rFonts w:hint="eastAsia"/>
                      <w:color w:val="auto"/>
                      <w:spacing w:val="0"/>
                      <w:sz w:val="21"/>
                      <w:szCs w:val="21"/>
                    </w:rPr>
                    <w:t>开展高耗水工业行业节水技术改造，大力推广工业水循环利用，推进节水型企业、节水型工业园区建设。</w:t>
                  </w:r>
                </w:p>
              </w:tc>
              <w:tc>
                <w:tcPr>
                  <w:tcW w:w="2628" w:type="dxa"/>
                  <w:noWrap w:val="0"/>
                  <w:vAlign w:val="center"/>
                </w:tcPr>
                <w:p w14:paraId="06B63E6E">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本项目不属于高耗水项目。</w:t>
                  </w:r>
                </w:p>
              </w:tc>
              <w:tc>
                <w:tcPr>
                  <w:tcW w:w="339" w:type="dxa"/>
                  <w:noWrap w:val="0"/>
                  <w:vAlign w:val="center"/>
                </w:tcPr>
                <w:p w14:paraId="1DBA0DB6">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15949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36A654B4">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0EA829C5">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4.</w:t>
                  </w:r>
                  <w:r>
                    <w:rPr>
                      <w:rFonts w:hint="eastAsia"/>
                      <w:color w:val="auto"/>
                      <w:spacing w:val="0"/>
                      <w:sz w:val="21"/>
                      <w:szCs w:val="21"/>
                    </w:rPr>
                    <w:t>按照合理有序使用地表水、控制使用地下水、积极利用非常规水源的要求，做好区域水资源统筹调配，逐步降低区域内的水资源开发利用强度，退减被挤占的生态用水，2030年全市浅层地下水开采控制在57390万立方米。</w:t>
                  </w:r>
                </w:p>
              </w:tc>
              <w:tc>
                <w:tcPr>
                  <w:tcW w:w="2628" w:type="dxa"/>
                  <w:noWrap w:val="0"/>
                  <w:vAlign w:val="center"/>
                </w:tcPr>
                <w:p w14:paraId="7189A7EB">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本</w:t>
                  </w:r>
                  <w:r>
                    <w:rPr>
                      <w:rFonts w:hint="eastAsia"/>
                      <w:color w:val="auto"/>
                      <w:spacing w:val="0"/>
                      <w:sz w:val="21"/>
                      <w:szCs w:val="21"/>
                      <w:lang w:eastAsia="zh-CN"/>
                    </w:rPr>
                    <w:t>项目用水来自供水管网</w:t>
                  </w:r>
                  <w:r>
                    <w:rPr>
                      <w:color w:val="auto"/>
                      <w:spacing w:val="0"/>
                      <w:sz w:val="21"/>
                      <w:szCs w:val="21"/>
                    </w:rPr>
                    <w:t>。</w:t>
                  </w:r>
                </w:p>
              </w:tc>
              <w:tc>
                <w:tcPr>
                  <w:tcW w:w="339" w:type="dxa"/>
                  <w:noWrap w:val="0"/>
                  <w:vAlign w:val="center"/>
                </w:tcPr>
                <w:p w14:paraId="611F93AB">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7CC5A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4233B6BE">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08C896E9">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color w:val="auto"/>
                      <w:spacing w:val="0"/>
                      <w:sz w:val="21"/>
                      <w:szCs w:val="21"/>
                    </w:rPr>
                    <w:t>5.</w:t>
                  </w:r>
                  <w:r>
                    <w:rPr>
                      <w:rFonts w:hint="eastAsia"/>
                      <w:color w:val="auto"/>
                      <w:spacing w:val="0"/>
                      <w:sz w:val="21"/>
                      <w:szCs w:val="21"/>
                    </w:rPr>
                    <w:t>到2025年，全市用水总量为20.838亿m</w:t>
                  </w:r>
                  <w:r>
                    <w:rPr>
                      <w:rFonts w:hint="eastAsia"/>
                      <w:color w:val="auto"/>
                      <w:spacing w:val="0"/>
                      <w:sz w:val="21"/>
                      <w:szCs w:val="21"/>
                      <w:vertAlign w:val="superscript"/>
                    </w:rPr>
                    <w:t>3</w:t>
                  </w:r>
                  <w:r>
                    <w:rPr>
                      <w:rFonts w:hint="eastAsia"/>
                      <w:color w:val="auto"/>
                      <w:spacing w:val="0"/>
                      <w:sz w:val="21"/>
                      <w:szCs w:val="21"/>
                    </w:rPr>
                    <w:t>，万元 GDP用水量下降比例达到16%，全省市级缺水城市再生水利用率达到25%以上。</w:t>
                  </w:r>
                </w:p>
              </w:tc>
              <w:tc>
                <w:tcPr>
                  <w:tcW w:w="2628" w:type="dxa"/>
                  <w:noWrap w:val="0"/>
                  <w:vAlign w:val="center"/>
                </w:tcPr>
                <w:p w14:paraId="617BD3AC">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rFonts w:hint="eastAsia"/>
                      <w:color w:val="auto"/>
                      <w:spacing w:val="0"/>
                      <w:sz w:val="21"/>
                      <w:szCs w:val="21"/>
                      <w:highlight w:val="none"/>
                    </w:rPr>
                    <w:t>本项目</w:t>
                  </w:r>
                  <w:r>
                    <w:rPr>
                      <w:rFonts w:hint="eastAsia"/>
                      <w:color w:val="auto"/>
                      <w:spacing w:val="0"/>
                      <w:sz w:val="21"/>
                      <w:szCs w:val="21"/>
                      <w:highlight w:val="none"/>
                      <w:lang w:eastAsia="zh-CN"/>
                    </w:rPr>
                    <w:t>不涉及废水再生利用</w:t>
                  </w:r>
                  <w:r>
                    <w:rPr>
                      <w:rFonts w:hint="eastAsia"/>
                      <w:color w:val="auto"/>
                      <w:spacing w:val="0"/>
                      <w:sz w:val="21"/>
                      <w:szCs w:val="21"/>
                      <w:highlight w:val="none"/>
                    </w:rPr>
                    <w:t>。</w:t>
                  </w:r>
                </w:p>
              </w:tc>
              <w:tc>
                <w:tcPr>
                  <w:tcW w:w="339" w:type="dxa"/>
                  <w:noWrap w:val="0"/>
                  <w:vAlign w:val="center"/>
                </w:tcPr>
                <w:p w14:paraId="3148D846">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0E3B6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7AF2B9CF">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06BB9B52">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rFonts w:hint="eastAsia"/>
                      <w:color w:val="auto"/>
                      <w:spacing w:val="0"/>
                      <w:sz w:val="21"/>
                      <w:szCs w:val="21"/>
                    </w:rPr>
                    <w:t>6.二级国家级公益林在不影响整体森林生态系统功能发挥的前提下，可以按照相关技术规程的规定开展抚育和更新性质的采伐。在不破坏森林植被的前提下，可以合理利用其林地资源，适度开展林下种植养殖和森林游憩等非木质资源开发与利用，科学发展林下经济。国有二级国家级公益林除执行上述规定外，需要开展抚育和更新采伐或者非木质资源培育利用的，还应当符合森林经营方案的规划，并编制采伐或非木质资源培育利用作业设计，经县级以上林业主管部门依法批准后实施。</w:t>
                  </w:r>
                </w:p>
              </w:tc>
              <w:tc>
                <w:tcPr>
                  <w:tcW w:w="2628" w:type="dxa"/>
                  <w:noWrap w:val="0"/>
                  <w:vAlign w:val="center"/>
                </w:tcPr>
                <w:p w14:paraId="20C4018F">
                  <w:pPr>
                    <w:keepNext w:val="0"/>
                    <w:keepLines w:val="0"/>
                    <w:pageBreakBefore w:val="0"/>
                    <w:kinsoku/>
                    <w:overflowPunct/>
                    <w:topLinePunct w:val="0"/>
                    <w:autoSpaceDE/>
                    <w:autoSpaceDN/>
                    <w:bidi w:val="0"/>
                    <w:snapToGrid w:val="0"/>
                    <w:spacing w:line="240" w:lineRule="auto"/>
                    <w:ind w:firstLine="0" w:firstLineChars="0"/>
                    <w:jc w:val="left"/>
                    <w:rPr>
                      <w:rFonts w:hint="eastAsia" w:eastAsia="宋体"/>
                      <w:color w:val="auto"/>
                      <w:spacing w:val="0"/>
                      <w:sz w:val="21"/>
                      <w:szCs w:val="21"/>
                      <w:lang w:eastAsia="zh-CN"/>
                    </w:rPr>
                  </w:pPr>
                  <w:r>
                    <w:rPr>
                      <w:rFonts w:hint="eastAsia"/>
                      <w:color w:val="auto"/>
                      <w:spacing w:val="0"/>
                      <w:sz w:val="21"/>
                      <w:szCs w:val="21"/>
                      <w:lang w:eastAsia="zh-CN"/>
                    </w:rPr>
                    <w:t>本项目不涉及。</w:t>
                  </w:r>
                </w:p>
              </w:tc>
              <w:tc>
                <w:tcPr>
                  <w:tcW w:w="339" w:type="dxa"/>
                  <w:noWrap w:val="0"/>
                  <w:vAlign w:val="center"/>
                </w:tcPr>
                <w:p w14:paraId="6D68E43D">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rFonts w:hint="eastAsia"/>
                      <w:color w:val="auto"/>
                      <w:spacing w:val="0"/>
                      <w:sz w:val="21"/>
                      <w:szCs w:val="21"/>
                      <w:lang w:val="en-US" w:eastAsia="zh-CN"/>
                    </w:rPr>
                    <w:t>/</w:t>
                  </w:r>
                </w:p>
              </w:tc>
            </w:tr>
            <w:tr w14:paraId="53459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00373896">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40AF0218">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rFonts w:hint="eastAsia"/>
                      <w:color w:val="auto"/>
                      <w:spacing w:val="0"/>
                      <w:sz w:val="21"/>
                      <w:szCs w:val="21"/>
                    </w:rPr>
                    <w:t>7.禁燃区内禁止新建、扩建燃用高污染燃料的锅炉、炉窑、炉灶等燃烧设施，已建成的应当由所在辖区限期责令拆除或改用清洁能源；禁止加工、销售各类高污染燃料。</w:t>
                  </w:r>
                </w:p>
              </w:tc>
              <w:tc>
                <w:tcPr>
                  <w:tcW w:w="2628" w:type="dxa"/>
                  <w:noWrap w:val="0"/>
                  <w:vAlign w:val="center"/>
                </w:tcPr>
                <w:p w14:paraId="1F447F46">
                  <w:pPr>
                    <w:keepNext w:val="0"/>
                    <w:keepLines w:val="0"/>
                    <w:pageBreakBefore w:val="0"/>
                    <w:kinsoku/>
                    <w:overflowPunct/>
                    <w:topLinePunct w:val="0"/>
                    <w:autoSpaceDE/>
                    <w:autoSpaceDN/>
                    <w:bidi w:val="0"/>
                    <w:snapToGrid w:val="0"/>
                    <w:spacing w:line="240" w:lineRule="auto"/>
                    <w:ind w:firstLine="0" w:firstLineChars="0"/>
                    <w:jc w:val="left"/>
                    <w:rPr>
                      <w:rFonts w:hint="eastAsia" w:eastAsia="宋体"/>
                      <w:color w:val="auto"/>
                      <w:spacing w:val="0"/>
                      <w:sz w:val="21"/>
                      <w:szCs w:val="21"/>
                      <w:lang w:eastAsia="zh-CN"/>
                    </w:rPr>
                  </w:pPr>
                  <w:r>
                    <w:rPr>
                      <w:color w:val="auto"/>
                      <w:spacing w:val="0"/>
                      <w:sz w:val="21"/>
                      <w:szCs w:val="21"/>
                    </w:rPr>
                    <w:t>本项目</w:t>
                  </w:r>
                  <w:r>
                    <w:rPr>
                      <w:rFonts w:hint="eastAsia"/>
                      <w:color w:val="auto"/>
                      <w:spacing w:val="0"/>
                      <w:sz w:val="21"/>
                      <w:szCs w:val="21"/>
                      <w:lang w:eastAsia="zh-CN"/>
                    </w:rPr>
                    <w:t>所在地不属于禁燃区，不使用高污染燃料。</w:t>
                  </w:r>
                </w:p>
              </w:tc>
              <w:tc>
                <w:tcPr>
                  <w:tcW w:w="339" w:type="dxa"/>
                  <w:noWrap w:val="0"/>
                  <w:vAlign w:val="center"/>
                </w:tcPr>
                <w:p w14:paraId="53508633">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color w:val="auto"/>
                      <w:spacing w:val="0"/>
                      <w:sz w:val="21"/>
                      <w:szCs w:val="21"/>
                    </w:rPr>
                    <w:t>符合</w:t>
                  </w:r>
                </w:p>
              </w:tc>
            </w:tr>
            <w:tr w14:paraId="4063B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33919769">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6FF51151">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rFonts w:hint="eastAsia"/>
                      <w:color w:val="auto"/>
                      <w:spacing w:val="0"/>
                      <w:sz w:val="21"/>
                      <w:szCs w:val="21"/>
                    </w:rPr>
                    <w:t>8.到2025年，煤炭消费占比降至60%以下，非化石能源消费占比提高到16%以上。单位GDP（生产总值）能耗下降15%以上，煤电机组平均供电煤耗降至 285 克标准煤/千瓦时。</w:t>
                  </w:r>
                </w:p>
              </w:tc>
              <w:tc>
                <w:tcPr>
                  <w:tcW w:w="2628" w:type="dxa"/>
                  <w:noWrap w:val="0"/>
                  <w:vAlign w:val="center"/>
                </w:tcPr>
                <w:p w14:paraId="35D8676F">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rFonts w:hint="eastAsia"/>
                      <w:color w:val="auto"/>
                      <w:spacing w:val="0"/>
                      <w:sz w:val="21"/>
                      <w:szCs w:val="21"/>
                      <w:lang w:eastAsia="zh-CN"/>
                    </w:rPr>
                    <w:t>本项目不涉及。</w:t>
                  </w:r>
                </w:p>
              </w:tc>
              <w:tc>
                <w:tcPr>
                  <w:tcW w:w="339" w:type="dxa"/>
                  <w:noWrap w:val="0"/>
                  <w:vAlign w:val="center"/>
                </w:tcPr>
                <w:p w14:paraId="2AB1BBD6">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rFonts w:hint="eastAsia"/>
                      <w:color w:val="auto"/>
                      <w:spacing w:val="0"/>
                      <w:sz w:val="21"/>
                      <w:szCs w:val="21"/>
                      <w:lang w:val="en-US" w:eastAsia="zh-CN"/>
                    </w:rPr>
                    <w:t>/</w:t>
                  </w:r>
                </w:p>
              </w:tc>
            </w:tr>
            <w:tr w14:paraId="27309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5B36D962">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5F7862FF">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rFonts w:hint="eastAsia"/>
                      <w:color w:val="auto"/>
                      <w:spacing w:val="0"/>
                      <w:sz w:val="21"/>
                      <w:szCs w:val="21"/>
                    </w:rPr>
                    <w:t>9.到2025年，单位GDP二氧化碳排放降低比例达 20%。</w:t>
                  </w:r>
                </w:p>
              </w:tc>
              <w:tc>
                <w:tcPr>
                  <w:tcW w:w="2628" w:type="dxa"/>
                  <w:noWrap w:val="0"/>
                  <w:vAlign w:val="center"/>
                </w:tcPr>
                <w:p w14:paraId="0963AA5B">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rFonts w:hint="eastAsia"/>
                      <w:color w:val="auto"/>
                      <w:spacing w:val="0"/>
                      <w:sz w:val="21"/>
                      <w:szCs w:val="21"/>
                      <w:lang w:eastAsia="zh-CN"/>
                    </w:rPr>
                    <w:t>本项目不涉及。</w:t>
                  </w:r>
                </w:p>
              </w:tc>
              <w:tc>
                <w:tcPr>
                  <w:tcW w:w="339" w:type="dxa"/>
                  <w:noWrap w:val="0"/>
                  <w:vAlign w:val="center"/>
                </w:tcPr>
                <w:p w14:paraId="0D7332FF">
                  <w:pPr>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r>
                    <w:rPr>
                      <w:rFonts w:hint="eastAsia"/>
                      <w:color w:val="auto"/>
                      <w:spacing w:val="0"/>
                      <w:sz w:val="21"/>
                      <w:szCs w:val="21"/>
                      <w:lang w:val="en-US" w:eastAsia="zh-CN"/>
                    </w:rPr>
                    <w:t>/</w:t>
                  </w:r>
                </w:p>
              </w:tc>
            </w:tr>
            <w:tr w14:paraId="0CF83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91" w:type="dxa"/>
                  <w:gridSpan w:val="2"/>
                  <w:vMerge w:val="continue"/>
                  <w:noWrap w:val="0"/>
                  <w:vAlign w:val="center"/>
                </w:tcPr>
                <w:p w14:paraId="341D1435">
                  <w:pPr>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p>
              </w:tc>
              <w:tc>
                <w:tcPr>
                  <w:tcW w:w="4137" w:type="dxa"/>
                  <w:noWrap w:val="0"/>
                  <w:vAlign w:val="center"/>
                </w:tcPr>
                <w:p w14:paraId="3C45CFEC">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rFonts w:hint="eastAsia"/>
                      <w:color w:val="auto"/>
                      <w:spacing w:val="0"/>
                      <w:sz w:val="21"/>
                      <w:szCs w:val="21"/>
                    </w:rPr>
                    <w:t>10.到2025年，全市河湖生态缓冲带修复长度达到总体要求，逐步恢复河流沿线生态廊道功能。海河流域内涉及被挤占的河湖生态用水逐步得到退还，黄河流域内天然文岩渠生态流量得到保障。</w:t>
                  </w:r>
                </w:p>
              </w:tc>
              <w:tc>
                <w:tcPr>
                  <w:tcW w:w="2628" w:type="dxa"/>
                  <w:noWrap w:val="0"/>
                  <w:vAlign w:val="center"/>
                </w:tcPr>
                <w:p w14:paraId="61FF824D">
                  <w:pPr>
                    <w:keepNext w:val="0"/>
                    <w:keepLines w:val="0"/>
                    <w:pageBreakBefore w:val="0"/>
                    <w:kinsoku/>
                    <w:overflowPunct/>
                    <w:topLinePunct w:val="0"/>
                    <w:autoSpaceDE/>
                    <w:autoSpaceDN/>
                    <w:bidi w:val="0"/>
                    <w:snapToGrid w:val="0"/>
                    <w:spacing w:line="240" w:lineRule="auto"/>
                    <w:ind w:firstLine="0" w:firstLineChars="0"/>
                    <w:jc w:val="left"/>
                    <w:rPr>
                      <w:color w:val="auto"/>
                      <w:spacing w:val="0"/>
                      <w:sz w:val="21"/>
                      <w:szCs w:val="21"/>
                    </w:rPr>
                  </w:pPr>
                  <w:r>
                    <w:rPr>
                      <w:rFonts w:hint="eastAsia"/>
                      <w:color w:val="auto"/>
                      <w:spacing w:val="0"/>
                      <w:sz w:val="21"/>
                      <w:szCs w:val="21"/>
                      <w:lang w:eastAsia="zh-CN"/>
                    </w:rPr>
                    <w:t>本项目不涉及。</w:t>
                  </w:r>
                </w:p>
              </w:tc>
              <w:tc>
                <w:tcPr>
                  <w:tcW w:w="339" w:type="dxa"/>
                  <w:noWrap w:val="0"/>
                  <w:vAlign w:val="center"/>
                </w:tcPr>
                <w:p w14:paraId="3AA7E5FF">
                  <w:pPr>
                    <w:keepNext w:val="0"/>
                    <w:keepLines w:val="0"/>
                    <w:pageBreakBefore w:val="0"/>
                    <w:kinsoku/>
                    <w:overflowPunct/>
                    <w:topLinePunct w:val="0"/>
                    <w:autoSpaceDE/>
                    <w:autoSpaceDN/>
                    <w:bidi w:val="0"/>
                    <w:snapToGrid w:val="0"/>
                    <w:spacing w:line="240" w:lineRule="auto"/>
                    <w:ind w:firstLine="0" w:firstLineChars="0"/>
                    <w:jc w:val="center"/>
                    <w:rPr>
                      <w:rFonts w:hint="eastAsia" w:eastAsia="宋体"/>
                      <w:color w:val="auto"/>
                      <w:spacing w:val="0"/>
                      <w:sz w:val="21"/>
                      <w:szCs w:val="21"/>
                      <w:lang w:eastAsia="zh-CN"/>
                    </w:rPr>
                  </w:pPr>
                  <w:r>
                    <w:rPr>
                      <w:rFonts w:hint="eastAsia"/>
                      <w:color w:val="auto"/>
                      <w:spacing w:val="0"/>
                      <w:sz w:val="21"/>
                      <w:szCs w:val="21"/>
                      <w:lang w:val="en-US" w:eastAsia="zh-CN"/>
                    </w:rPr>
                    <w:t>/</w:t>
                  </w:r>
                </w:p>
              </w:tc>
            </w:tr>
            <w:tr w14:paraId="3E871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695" w:type="dxa"/>
                  <w:gridSpan w:val="5"/>
                  <w:noWrap w:val="0"/>
                  <w:vAlign w:val="center"/>
                </w:tcPr>
                <w:p w14:paraId="00DD97EE">
                  <w:pPr>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color w:val="auto"/>
                      <w:spacing w:val="0"/>
                      <w:sz w:val="21"/>
                      <w:szCs w:val="21"/>
                      <w:lang w:eastAsia="zh-CN"/>
                    </w:rPr>
                  </w:pPr>
                  <w:r>
                    <w:rPr>
                      <w:rFonts w:hint="eastAsia"/>
                      <w:color w:val="auto"/>
                      <w:spacing w:val="0"/>
                      <w:sz w:val="21"/>
                      <w:szCs w:val="21"/>
                      <w:lang w:eastAsia="zh-CN"/>
                    </w:rPr>
                    <w:t>新乡县城镇重点单元</w:t>
                  </w:r>
                </w:p>
              </w:tc>
            </w:tr>
            <w:tr w14:paraId="48788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294" w:type="dxa"/>
                  <w:vMerge w:val="restart"/>
                  <w:noWrap w:val="0"/>
                  <w:tcMar>
                    <w:top w:w="28" w:type="dxa"/>
                    <w:bottom w:w="57" w:type="dxa"/>
                  </w:tcMar>
                  <w:vAlign w:val="center"/>
                </w:tcPr>
                <w:p w14:paraId="2D08AC6A">
                  <w:pPr>
                    <w:pStyle w:val="73"/>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color w:val="auto"/>
                      <w:spacing w:val="0"/>
                      <w:sz w:val="21"/>
                      <w:szCs w:val="21"/>
                    </w:rPr>
                  </w:pPr>
                  <w:r>
                    <w:rPr>
                      <w:rFonts w:hint="eastAsia" w:ascii="Times New Roman" w:hAnsi="Times New Roman" w:eastAsia="宋体" w:cs="Times New Roman"/>
                      <w:color w:val="auto"/>
                      <w:spacing w:val="0"/>
                      <w:sz w:val="21"/>
                      <w:szCs w:val="21"/>
                      <w:lang w:val="en-US" w:eastAsia="zh-CN"/>
                    </w:rPr>
                    <w:t>ZH41072</w:t>
                  </w:r>
                  <w:r>
                    <w:rPr>
                      <w:rFonts w:hint="eastAsia" w:cs="Times New Roman"/>
                      <w:color w:val="auto"/>
                      <w:spacing w:val="0"/>
                      <w:sz w:val="21"/>
                      <w:szCs w:val="21"/>
                      <w:lang w:val="en-US" w:eastAsia="zh-CN"/>
                    </w:rPr>
                    <w:t>1</w:t>
                  </w:r>
                  <w:r>
                    <w:rPr>
                      <w:rFonts w:hint="eastAsia" w:ascii="Times New Roman" w:hAnsi="Times New Roman" w:eastAsia="宋体" w:cs="Times New Roman"/>
                      <w:color w:val="auto"/>
                      <w:spacing w:val="0"/>
                      <w:sz w:val="21"/>
                      <w:szCs w:val="21"/>
                      <w:lang w:val="en-US" w:eastAsia="zh-CN"/>
                    </w:rPr>
                    <w:t>2000</w:t>
                  </w:r>
                  <w:r>
                    <w:rPr>
                      <w:rFonts w:hint="eastAsia" w:cs="Times New Roman"/>
                      <w:color w:val="auto"/>
                      <w:spacing w:val="0"/>
                      <w:sz w:val="21"/>
                      <w:szCs w:val="21"/>
                      <w:lang w:val="en-US" w:eastAsia="zh-CN"/>
                    </w:rPr>
                    <w:t>3</w:t>
                  </w:r>
                </w:p>
              </w:tc>
              <w:tc>
                <w:tcPr>
                  <w:tcW w:w="297" w:type="dxa"/>
                  <w:vMerge w:val="restart"/>
                  <w:noWrap w:val="0"/>
                  <w:tcMar>
                    <w:top w:w="28" w:type="dxa"/>
                    <w:bottom w:w="57" w:type="dxa"/>
                  </w:tcMar>
                  <w:vAlign w:val="center"/>
                </w:tcPr>
                <w:p w14:paraId="24B445A0">
                  <w:pPr>
                    <w:pStyle w:val="73"/>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ascii="Times New Roman" w:hAnsi="Times New Roman" w:eastAsia="宋体" w:cs="Times New Roman"/>
                      <w:color w:val="auto"/>
                      <w:spacing w:val="0"/>
                      <w:sz w:val="21"/>
                      <w:szCs w:val="21"/>
                    </w:rPr>
                  </w:pPr>
                  <w:r>
                    <w:rPr>
                      <w:rFonts w:hint="eastAsia" w:ascii="Times New Roman" w:hAnsi="Times New Roman" w:eastAsia="宋体" w:cs="Times New Roman"/>
                      <w:color w:val="auto"/>
                      <w:spacing w:val="0"/>
                      <w:sz w:val="21"/>
                      <w:szCs w:val="21"/>
                    </w:rPr>
                    <w:t>重点管控单元1</w:t>
                  </w:r>
                </w:p>
              </w:tc>
              <w:tc>
                <w:tcPr>
                  <w:tcW w:w="4137" w:type="dxa"/>
                  <w:noWrap w:val="0"/>
                  <w:tcMar>
                    <w:top w:w="28" w:type="dxa"/>
                    <w:bottom w:w="57" w:type="dxa"/>
                  </w:tcMar>
                  <w:vAlign w:val="center"/>
                </w:tcPr>
                <w:p w14:paraId="23D05F5C">
                  <w:pPr>
                    <w:pStyle w:val="73"/>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r>
                    <w:rPr>
                      <w:color w:val="auto"/>
                      <w:spacing w:val="0"/>
                      <w:sz w:val="21"/>
                      <w:szCs w:val="21"/>
                    </w:rPr>
                    <w:t>空间布局约束：</w:t>
                  </w:r>
                </w:p>
                <w:p w14:paraId="5949D35D">
                  <w:pPr>
                    <w:pStyle w:val="73"/>
                    <w:keepNext w:val="0"/>
                    <w:keepLines w:val="0"/>
                    <w:pageBreakBefore w:val="0"/>
                    <w:numPr>
                      <w:ilvl w:val="0"/>
                      <w:numId w:val="2"/>
                    </w:numPr>
                    <w:kinsoku/>
                    <w:overflowPunct/>
                    <w:topLinePunct w:val="0"/>
                    <w:autoSpaceDE/>
                    <w:autoSpaceDN/>
                    <w:bidi w:val="0"/>
                    <w:adjustRightInd w:val="0"/>
                    <w:snapToGrid w:val="0"/>
                    <w:spacing w:line="240" w:lineRule="auto"/>
                    <w:ind w:firstLine="0" w:firstLineChars="0"/>
                    <w:jc w:val="left"/>
                    <w:rPr>
                      <w:rFonts w:hint="eastAsia"/>
                      <w:color w:val="auto"/>
                      <w:spacing w:val="0"/>
                      <w:sz w:val="21"/>
                      <w:szCs w:val="21"/>
                    </w:rPr>
                  </w:pPr>
                  <w:r>
                    <w:rPr>
                      <w:rFonts w:hint="eastAsia"/>
                      <w:color w:val="auto"/>
                      <w:spacing w:val="0"/>
                      <w:sz w:val="21"/>
                      <w:szCs w:val="21"/>
                    </w:rPr>
                    <w:t>在居民住宅区等人口密集区域和医院、学校、幼儿园、养老院等其他需要特殊保护的区域及其周边，不得新建、改建和扩建石化、焦化、制药、油漆、塑料、橡胶、造纸、饲料等易产生恶臭气体的生产项目或者从事其他产生恶臭气体的生产经营活动。已建成的，应当逐步搬迁或者升级改造。</w:t>
                  </w:r>
                </w:p>
                <w:p w14:paraId="2EF872B8">
                  <w:pPr>
                    <w:pStyle w:val="73"/>
                    <w:keepNext w:val="0"/>
                    <w:keepLines w:val="0"/>
                    <w:pageBreakBefore w:val="0"/>
                    <w:numPr>
                      <w:ilvl w:val="0"/>
                      <w:numId w:val="2"/>
                    </w:numPr>
                    <w:kinsoku/>
                    <w:overflowPunct/>
                    <w:topLinePunct w:val="0"/>
                    <w:autoSpaceDE/>
                    <w:autoSpaceDN/>
                    <w:bidi w:val="0"/>
                    <w:adjustRightInd w:val="0"/>
                    <w:snapToGrid w:val="0"/>
                    <w:spacing w:line="240" w:lineRule="auto"/>
                    <w:ind w:firstLine="0" w:firstLineChars="0"/>
                    <w:jc w:val="left"/>
                    <w:rPr>
                      <w:color w:val="auto"/>
                      <w:spacing w:val="0"/>
                      <w:sz w:val="21"/>
                      <w:szCs w:val="21"/>
                    </w:rPr>
                  </w:pPr>
                  <w:r>
                    <w:rPr>
                      <w:rFonts w:hint="eastAsia"/>
                      <w:color w:val="auto"/>
                      <w:spacing w:val="0"/>
                      <w:sz w:val="21"/>
                      <w:szCs w:val="21"/>
                    </w:rPr>
                    <w:t>严格控制新建、扩建高排放、高污染项目，包括钢铁、水泥、有色、平板玻璃、建筑陶瓷等行业及其他排放重金属、持久性有机污染物的工业项目等。</w:t>
                  </w:r>
                </w:p>
                <w:p w14:paraId="3F0A9536">
                  <w:pPr>
                    <w:pStyle w:val="73"/>
                    <w:keepNext w:val="0"/>
                    <w:keepLines w:val="0"/>
                    <w:pageBreakBefore w:val="0"/>
                    <w:numPr>
                      <w:ilvl w:val="0"/>
                      <w:numId w:val="2"/>
                    </w:numPr>
                    <w:kinsoku/>
                    <w:overflowPunct/>
                    <w:topLinePunct w:val="0"/>
                    <w:autoSpaceDE/>
                    <w:autoSpaceDN/>
                    <w:bidi w:val="0"/>
                    <w:adjustRightInd w:val="0"/>
                    <w:snapToGrid w:val="0"/>
                    <w:spacing w:line="240" w:lineRule="auto"/>
                    <w:ind w:firstLine="0" w:firstLineChars="0"/>
                    <w:jc w:val="left"/>
                    <w:rPr>
                      <w:color w:val="auto"/>
                      <w:spacing w:val="0"/>
                      <w:sz w:val="21"/>
                      <w:szCs w:val="21"/>
                    </w:rPr>
                  </w:pPr>
                  <w:r>
                    <w:rPr>
                      <w:rFonts w:hint="eastAsia"/>
                      <w:color w:val="auto"/>
                      <w:spacing w:val="0"/>
                      <w:sz w:val="21"/>
                      <w:szCs w:val="21"/>
                    </w:rPr>
                    <w:t>对列入疑似污染地块名单的地块，未经土壤污染状况调查确定为未污染地块的，不得进入用地程序，自然资源部门不得核发建设工程规划许可证。</w:t>
                  </w:r>
                </w:p>
                <w:p w14:paraId="1BCE6BC7">
                  <w:pPr>
                    <w:pStyle w:val="73"/>
                    <w:keepNext w:val="0"/>
                    <w:keepLines w:val="0"/>
                    <w:pageBreakBefore w:val="0"/>
                    <w:numPr>
                      <w:ilvl w:val="0"/>
                      <w:numId w:val="2"/>
                    </w:numPr>
                    <w:kinsoku/>
                    <w:overflowPunct/>
                    <w:topLinePunct w:val="0"/>
                    <w:autoSpaceDE/>
                    <w:autoSpaceDN/>
                    <w:bidi w:val="0"/>
                    <w:adjustRightInd w:val="0"/>
                    <w:snapToGrid w:val="0"/>
                    <w:spacing w:line="240" w:lineRule="auto"/>
                    <w:ind w:firstLine="0" w:firstLineChars="0"/>
                    <w:jc w:val="left"/>
                    <w:rPr>
                      <w:color w:val="auto"/>
                      <w:spacing w:val="0"/>
                      <w:sz w:val="21"/>
                      <w:szCs w:val="21"/>
                    </w:rPr>
                  </w:pPr>
                  <w:r>
                    <w:rPr>
                      <w:rFonts w:hint="eastAsia"/>
                      <w:color w:val="auto"/>
                      <w:spacing w:val="0"/>
                      <w:sz w:val="21"/>
                      <w:szCs w:val="21"/>
                    </w:rPr>
                    <w:t>严格控制新、改、扩建两高”项目。</w:t>
                  </w:r>
                </w:p>
              </w:tc>
              <w:tc>
                <w:tcPr>
                  <w:tcW w:w="2628" w:type="dxa"/>
                  <w:noWrap w:val="0"/>
                  <w:vAlign w:val="center"/>
                </w:tcPr>
                <w:p w14:paraId="138F7477">
                  <w:pPr>
                    <w:pStyle w:val="73"/>
                    <w:keepNext w:val="0"/>
                    <w:keepLines w:val="0"/>
                    <w:pageBreakBefore w:val="0"/>
                    <w:kinsoku/>
                    <w:overflowPunct/>
                    <w:topLinePunct w:val="0"/>
                    <w:autoSpaceDE/>
                    <w:autoSpaceDN/>
                    <w:bidi w:val="0"/>
                    <w:adjustRightInd w:val="0"/>
                    <w:snapToGrid w:val="0"/>
                    <w:spacing w:line="240" w:lineRule="auto"/>
                    <w:ind w:firstLine="0" w:firstLineChars="0"/>
                    <w:jc w:val="left"/>
                    <w:rPr>
                      <w:rFonts w:hint="default" w:ascii="Times New Roman" w:hAnsi="Times New Roman" w:eastAsia="宋体" w:cs="Times New Roman"/>
                      <w:color w:val="auto"/>
                      <w:spacing w:val="0"/>
                      <w:sz w:val="21"/>
                      <w:szCs w:val="21"/>
                      <w:lang w:val="en-US"/>
                    </w:rPr>
                  </w:pPr>
                  <w:r>
                    <w:rPr>
                      <w:color w:val="auto"/>
                      <w:spacing w:val="0"/>
                      <w:kern w:val="0"/>
                      <w:sz w:val="21"/>
                      <w:szCs w:val="21"/>
                    </w:rPr>
                    <w:t>1、</w:t>
                  </w:r>
                  <w:r>
                    <w:rPr>
                      <w:snapToGrid w:val="0"/>
                      <w:color w:val="auto"/>
                      <w:spacing w:val="0"/>
                      <w:sz w:val="21"/>
                      <w:szCs w:val="21"/>
                    </w:rPr>
                    <w:t>本项目</w:t>
                  </w:r>
                  <w:r>
                    <w:rPr>
                      <w:rFonts w:hint="eastAsia"/>
                      <w:snapToGrid w:val="0"/>
                      <w:color w:val="auto"/>
                      <w:spacing w:val="0"/>
                      <w:sz w:val="21"/>
                      <w:szCs w:val="21"/>
                      <w:lang w:val="en-US" w:eastAsia="zh-CN"/>
                    </w:rPr>
                    <w:t>为机械零部件加工行业项目</w:t>
                  </w:r>
                  <w:r>
                    <w:rPr>
                      <w:rFonts w:hint="eastAsia"/>
                      <w:snapToGrid w:val="0"/>
                      <w:color w:val="auto"/>
                      <w:spacing w:val="0"/>
                      <w:sz w:val="21"/>
                      <w:szCs w:val="21"/>
                      <w:lang w:eastAsia="zh-CN"/>
                    </w:rPr>
                    <w:t>，与园区主导产业不冲突</w:t>
                  </w:r>
                  <w:r>
                    <w:rPr>
                      <w:rFonts w:hint="eastAsia" w:ascii="Times New Roman" w:hAnsi="Times New Roman" w:eastAsia="宋体" w:cs="Times New Roman"/>
                      <w:color w:val="auto"/>
                      <w:spacing w:val="0"/>
                      <w:sz w:val="21"/>
                      <w:szCs w:val="21"/>
                      <w:lang w:val="en-US" w:eastAsia="zh-CN"/>
                    </w:rPr>
                    <w:t>。</w:t>
                  </w:r>
                </w:p>
                <w:p w14:paraId="203F1F50">
                  <w:pPr>
                    <w:pStyle w:val="73"/>
                    <w:keepNext w:val="0"/>
                    <w:keepLines w:val="0"/>
                    <w:pageBreakBefore w:val="0"/>
                    <w:kinsoku/>
                    <w:overflowPunct/>
                    <w:topLinePunct w:val="0"/>
                    <w:autoSpaceDE/>
                    <w:autoSpaceDN/>
                    <w:bidi w:val="0"/>
                    <w:adjustRightInd w:val="0"/>
                    <w:snapToGrid w:val="0"/>
                    <w:spacing w:line="240" w:lineRule="auto"/>
                    <w:ind w:firstLine="0" w:firstLineChars="0"/>
                    <w:jc w:val="left"/>
                    <w:rPr>
                      <w:rFonts w:hint="eastAsia" w:ascii="Times New Roman" w:hAnsi="Times New Roman" w:eastAsia="宋体" w:cs="Times New Roman"/>
                      <w:color w:val="auto"/>
                      <w:spacing w:val="0"/>
                      <w:sz w:val="21"/>
                      <w:szCs w:val="21"/>
                    </w:rPr>
                  </w:pPr>
                  <w:r>
                    <w:rPr>
                      <w:rFonts w:hint="eastAsia" w:ascii="Times New Roman" w:hAnsi="Times New Roman" w:eastAsia="宋体" w:cs="Times New Roman"/>
                      <w:color w:val="auto"/>
                      <w:spacing w:val="0"/>
                      <w:sz w:val="21"/>
                      <w:szCs w:val="21"/>
                      <w:lang w:val="en-US" w:eastAsia="zh-CN"/>
                    </w:rPr>
                    <w:t>2、本项目符合园区规划和规划环评的要求。</w:t>
                  </w:r>
                </w:p>
                <w:p w14:paraId="748A817B">
                  <w:pPr>
                    <w:pStyle w:val="73"/>
                    <w:keepNext w:val="0"/>
                    <w:keepLines w:val="0"/>
                    <w:pageBreakBefore w:val="0"/>
                    <w:kinsoku/>
                    <w:overflowPunct/>
                    <w:topLinePunct w:val="0"/>
                    <w:autoSpaceDE/>
                    <w:autoSpaceDN/>
                    <w:bidi w:val="0"/>
                    <w:adjustRightInd w:val="0"/>
                    <w:snapToGrid w:val="0"/>
                    <w:spacing w:line="240" w:lineRule="auto"/>
                    <w:ind w:firstLine="0" w:firstLineChars="0"/>
                    <w:jc w:val="left"/>
                    <w:rPr>
                      <w:rFonts w:hint="eastAsia" w:ascii="Times New Roman" w:hAnsi="Times New Roman" w:eastAsia="宋体" w:cs="Times New Roman"/>
                      <w:color w:val="auto"/>
                      <w:spacing w:val="0"/>
                      <w:sz w:val="21"/>
                      <w:szCs w:val="21"/>
                    </w:rPr>
                  </w:pPr>
                  <w:r>
                    <w:rPr>
                      <w:rFonts w:hint="eastAsia" w:ascii="Times New Roman" w:hAnsi="Times New Roman" w:eastAsia="宋体" w:cs="Times New Roman"/>
                      <w:color w:val="auto"/>
                      <w:spacing w:val="0"/>
                      <w:sz w:val="21"/>
                      <w:szCs w:val="21"/>
                      <w:lang w:val="en-US" w:eastAsia="zh-CN"/>
                    </w:rPr>
                    <w:t>3、本项目</w:t>
                  </w:r>
                  <w:r>
                    <w:rPr>
                      <w:snapToGrid w:val="0"/>
                      <w:color w:val="auto"/>
                      <w:spacing w:val="0"/>
                      <w:sz w:val="21"/>
                      <w:szCs w:val="21"/>
                    </w:rPr>
                    <w:t>不属于</w:t>
                  </w:r>
                  <w:r>
                    <w:rPr>
                      <w:color w:val="auto"/>
                      <w:spacing w:val="0"/>
                      <w:sz w:val="21"/>
                      <w:szCs w:val="21"/>
                    </w:rPr>
                    <w:t>高能耗、高耗水、污染重的工业企业</w:t>
                  </w:r>
                  <w:r>
                    <w:rPr>
                      <w:rFonts w:hint="eastAsia" w:ascii="Times New Roman" w:hAnsi="Times New Roman" w:eastAsia="宋体" w:cs="Times New Roman"/>
                      <w:color w:val="auto"/>
                      <w:spacing w:val="0"/>
                      <w:sz w:val="21"/>
                      <w:szCs w:val="21"/>
                      <w:lang w:val="en-US" w:eastAsia="zh-CN"/>
                    </w:rPr>
                    <w:t>。</w:t>
                  </w:r>
                </w:p>
                <w:p w14:paraId="70784B09">
                  <w:pPr>
                    <w:pStyle w:val="73"/>
                    <w:keepNext w:val="0"/>
                    <w:keepLines w:val="0"/>
                    <w:pageBreakBefore w:val="0"/>
                    <w:kinsoku/>
                    <w:overflowPunct/>
                    <w:topLinePunct w:val="0"/>
                    <w:autoSpaceDE/>
                    <w:autoSpaceDN/>
                    <w:bidi w:val="0"/>
                    <w:adjustRightInd w:val="0"/>
                    <w:snapToGrid w:val="0"/>
                    <w:spacing w:line="240" w:lineRule="auto"/>
                    <w:ind w:firstLine="0" w:firstLineChars="0"/>
                    <w:jc w:val="left"/>
                    <w:rPr>
                      <w:rFonts w:hint="eastAsia" w:eastAsia="宋体"/>
                      <w:color w:val="auto"/>
                      <w:spacing w:val="0"/>
                      <w:kern w:val="0"/>
                      <w:sz w:val="21"/>
                      <w:szCs w:val="21"/>
                      <w:lang w:eastAsia="zh-CN"/>
                    </w:rPr>
                  </w:pPr>
                  <w:r>
                    <w:rPr>
                      <w:rFonts w:hint="eastAsia" w:ascii="Times New Roman" w:hAnsi="Times New Roman" w:eastAsia="宋体" w:cs="Times New Roman"/>
                      <w:color w:val="auto"/>
                      <w:spacing w:val="0"/>
                      <w:sz w:val="21"/>
                      <w:szCs w:val="21"/>
                      <w:lang w:val="en-US" w:eastAsia="zh-CN"/>
                    </w:rPr>
                    <w:t>4、</w:t>
                  </w:r>
                  <w:r>
                    <w:rPr>
                      <w:color w:val="auto"/>
                      <w:spacing w:val="0"/>
                      <w:sz w:val="21"/>
                      <w:szCs w:val="21"/>
                    </w:rPr>
                    <w:t>本项目不涉及排放重金属污染物</w:t>
                  </w:r>
                  <w:r>
                    <w:rPr>
                      <w:rFonts w:hint="eastAsia"/>
                      <w:color w:val="auto"/>
                      <w:spacing w:val="0"/>
                      <w:sz w:val="21"/>
                      <w:szCs w:val="21"/>
                      <w:lang w:eastAsia="zh-CN"/>
                    </w:rPr>
                    <w:t>。</w:t>
                  </w:r>
                </w:p>
              </w:tc>
              <w:tc>
                <w:tcPr>
                  <w:tcW w:w="339" w:type="dxa"/>
                  <w:noWrap w:val="0"/>
                  <w:vAlign w:val="center"/>
                </w:tcPr>
                <w:p w14:paraId="58EE20F1">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color w:val="auto"/>
                      <w:spacing w:val="0"/>
                      <w:sz w:val="21"/>
                      <w:szCs w:val="21"/>
                    </w:rPr>
                  </w:pPr>
                  <w:r>
                    <w:rPr>
                      <w:color w:val="auto"/>
                      <w:spacing w:val="0"/>
                      <w:kern w:val="0"/>
                      <w:sz w:val="21"/>
                      <w:szCs w:val="21"/>
                    </w:rPr>
                    <w:t>符合</w:t>
                  </w:r>
                </w:p>
              </w:tc>
            </w:tr>
            <w:tr w14:paraId="73430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294" w:type="dxa"/>
                  <w:vMerge w:val="continue"/>
                  <w:noWrap w:val="0"/>
                  <w:tcMar>
                    <w:top w:w="28" w:type="dxa"/>
                    <w:bottom w:w="57" w:type="dxa"/>
                  </w:tcMar>
                  <w:vAlign w:val="center"/>
                </w:tcPr>
                <w:p w14:paraId="6E325E61">
                  <w:pPr>
                    <w:pStyle w:val="73"/>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p>
              </w:tc>
              <w:tc>
                <w:tcPr>
                  <w:tcW w:w="297" w:type="dxa"/>
                  <w:vMerge w:val="continue"/>
                  <w:noWrap w:val="0"/>
                  <w:tcMar>
                    <w:top w:w="28" w:type="dxa"/>
                    <w:bottom w:w="57" w:type="dxa"/>
                  </w:tcMar>
                  <w:vAlign w:val="center"/>
                </w:tcPr>
                <w:p w14:paraId="5BA8CD82">
                  <w:pPr>
                    <w:pStyle w:val="73"/>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p>
              </w:tc>
              <w:tc>
                <w:tcPr>
                  <w:tcW w:w="4137" w:type="dxa"/>
                  <w:noWrap w:val="0"/>
                  <w:tcMar>
                    <w:top w:w="28" w:type="dxa"/>
                    <w:bottom w:w="57" w:type="dxa"/>
                  </w:tcMar>
                  <w:vAlign w:val="center"/>
                </w:tcPr>
                <w:p w14:paraId="5763F039">
                  <w:pPr>
                    <w:pStyle w:val="73"/>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r>
                    <w:rPr>
                      <w:color w:val="auto"/>
                      <w:spacing w:val="0"/>
                      <w:sz w:val="21"/>
                      <w:szCs w:val="21"/>
                    </w:rPr>
                    <w:t>污染物排放管控：</w:t>
                  </w:r>
                </w:p>
                <w:p w14:paraId="4C56490B">
                  <w:pPr>
                    <w:pStyle w:val="73"/>
                    <w:keepNext w:val="0"/>
                    <w:keepLines w:val="0"/>
                    <w:pageBreakBefore w:val="0"/>
                    <w:numPr>
                      <w:ilvl w:val="0"/>
                      <w:numId w:val="3"/>
                    </w:numPr>
                    <w:kinsoku/>
                    <w:overflowPunct/>
                    <w:topLinePunct w:val="0"/>
                    <w:autoSpaceDE/>
                    <w:autoSpaceDN/>
                    <w:bidi w:val="0"/>
                    <w:adjustRightInd w:val="0"/>
                    <w:snapToGrid w:val="0"/>
                    <w:spacing w:line="240" w:lineRule="auto"/>
                    <w:ind w:firstLine="0" w:firstLineChars="0"/>
                    <w:jc w:val="left"/>
                    <w:rPr>
                      <w:rFonts w:hint="eastAsia"/>
                      <w:color w:val="auto"/>
                      <w:spacing w:val="0"/>
                      <w:sz w:val="21"/>
                      <w:szCs w:val="21"/>
                    </w:rPr>
                  </w:pPr>
                  <w:r>
                    <w:rPr>
                      <w:rFonts w:hint="eastAsia"/>
                      <w:color w:val="auto"/>
                      <w:spacing w:val="0"/>
                      <w:sz w:val="21"/>
                      <w:szCs w:val="21"/>
                    </w:rPr>
                    <w:t>二氧化硫、氮氧化物、颗粒物、VOCs全面执行大气污染物特别排放限值。</w:t>
                  </w:r>
                </w:p>
                <w:p w14:paraId="7D7ACF9F">
                  <w:pPr>
                    <w:pStyle w:val="73"/>
                    <w:keepNext w:val="0"/>
                    <w:keepLines w:val="0"/>
                    <w:pageBreakBefore w:val="0"/>
                    <w:numPr>
                      <w:ilvl w:val="0"/>
                      <w:numId w:val="3"/>
                    </w:numPr>
                    <w:kinsoku/>
                    <w:overflowPunct/>
                    <w:topLinePunct w:val="0"/>
                    <w:autoSpaceDE/>
                    <w:autoSpaceDN/>
                    <w:bidi w:val="0"/>
                    <w:adjustRightInd w:val="0"/>
                    <w:snapToGrid w:val="0"/>
                    <w:spacing w:line="240" w:lineRule="auto"/>
                    <w:ind w:firstLine="0" w:firstLineChars="0"/>
                    <w:jc w:val="left"/>
                    <w:rPr>
                      <w:color w:val="auto"/>
                      <w:spacing w:val="0"/>
                      <w:sz w:val="21"/>
                      <w:szCs w:val="21"/>
                    </w:rPr>
                  </w:pPr>
                  <w:r>
                    <w:rPr>
                      <w:rFonts w:hint="eastAsia"/>
                      <w:color w:val="auto"/>
                      <w:spacing w:val="0"/>
                      <w:sz w:val="21"/>
                      <w:szCs w:val="21"/>
                    </w:rPr>
                    <w:t>实施清洁柴油车(机)行动，全面实施重型车国六排放标准，非道路柴油移动机械第四阶段排放标准。全面淘汰国三及以下排放标准的柴油和燃气货车(含场内作业车辆)。</w:t>
                  </w:r>
                </w:p>
                <w:p w14:paraId="44E129E1">
                  <w:pPr>
                    <w:pStyle w:val="73"/>
                    <w:keepNext w:val="0"/>
                    <w:keepLines w:val="0"/>
                    <w:pageBreakBefore w:val="0"/>
                    <w:numPr>
                      <w:ilvl w:val="0"/>
                      <w:numId w:val="3"/>
                    </w:numPr>
                    <w:kinsoku/>
                    <w:overflowPunct/>
                    <w:topLinePunct w:val="0"/>
                    <w:autoSpaceDE/>
                    <w:autoSpaceDN/>
                    <w:bidi w:val="0"/>
                    <w:adjustRightInd w:val="0"/>
                    <w:snapToGrid w:val="0"/>
                    <w:spacing w:line="240" w:lineRule="auto"/>
                    <w:ind w:firstLine="0" w:firstLineChars="0"/>
                    <w:jc w:val="left"/>
                    <w:rPr>
                      <w:color w:val="auto"/>
                      <w:spacing w:val="0"/>
                      <w:sz w:val="21"/>
                      <w:szCs w:val="21"/>
                    </w:rPr>
                  </w:pPr>
                  <w:r>
                    <w:rPr>
                      <w:rFonts w:hint="eastAsia"/>
                      <w:color w:val="auto"/>
                      <w:spacing w:val="0"/>
                      <w:sz w:val="21"/>
                      <w:szCs w:val="21"/>
                    </w:rPr>
                    <w:t>禁止含重金属废水进</w:t>
                  </w:r>
                  <w:r>
                    <w:rPr>
                      <w:rFonts w:hint="eastAsia"/>
                      <w:color w:val="auto"/>
                      <w:spacing w:val="0"/>
                      <w:sz w:val="21"/>
                      <w:szCs w:val="21"/>
                      <w:lang w:eastAsia="zh-CN"/>
                    </w:rPr>
                    <w:t>入城市生活污水处理厂。</w:t>
                  </w:r>
                </w:p>
              </w:tc>
              <w:tc>
                <w:tcPr>
                  <w:tcW w:w="2628" w:type="dxa"/>
                  <w:noWrap w:val="0"/>
                  <w:vAlign w:val="center"/>
                </w:tcPr>
                <w:p w14:paraId="09678DBC">
                  <w:pPr>
                    <w:keepNext w:val="0"/>
                    <w:keepLines w:val="0"/>
                    <w:pageBreakBefore w:val="0"/>
                    <w:widowControl/>
                    <w:kinsoku/>
                    <w:overflowPunct/>
                    <w:topLinePunct w:val="0"/>
                    <w:autoSpaceDE/>
                    <w:autoSpaceDN/>
                    <w:bidi w:val="0"/>
                    <w:adjustRightInd w:val="0"/>
                    <w:snapToGrid w:val="0"/>
                    <w:spacing w:line="240" w:lineRule="auto"/>
                    <w:ind w:firstLine="0" w:firstLineChars="0"/>
                    <w:jc w:val="left"/>
                    <w:textAlignment w:val="center"/>
                    <w:rPr>
                      <w:rFonts w:ascii="Times New Roman" w:hAnsi="Times New Roman" w:eastAsia="宋体"/>
                      <w:color w:val="auto"/>
                      <w:spacing w:val="0"/>
                      <w:sz w:val="21"/>
                      <w:szCs w:val="21"/>
                    </w:rPr>
                  </w:pPr>
                  <w:r>
                    <w:rPr>
                      <w:rFonts w:ascii="Times New Roman" w:hAnsi="Times New Roman" w:eastAsia="宋体"/>
                      <w:color w:val="auto"/>
                      <w:spacing w:val="0"/>
                      <w:kern w:val="0"/>
                      <w:sz w:val="21"/>
                      <w:szCs w:val="21"/>
                    </w:rPr>
                    <w:t>1、</w:t>
                  </w:r>
                  <w:r>
                    <w:rPr>
                      <w:rFonts w:hint="eastAsia" w:ascii="Times New Roman" w:hAnsi="Times New Roman" w:eastAsia="宋体"/>
                      <w:color w:val="auto"/>
                      <w:spacing w:val="0"/>
                      <w:kern w:val="0"/>
                      <w:sz w:val="21"/>
                      <w:szCs w:val="21"/>
                      <w:lang w:eastAsia="zh-CN"/>
                    </w:rPr>
                    <w:t>本项目不涉及</w:t>
                  </w:r>
                  <w:r>
                    <w:rPr>
                      <w:rFonts w:hint="eastAsia" w:ascii="Times New Roman" w:hAnsi="Times New Roman" w:eastAsia="宋体"/>
                      <w:color w:val="auto"/>
                      <w:spacing w:val="0"/>
                      <w:sz w:val="21"/>
                      <w:szCs w:val="21"/>
                    </w:rPr>
                    <w:t>二氧化硫、氮氧化物、颗粒物、VOCs</w:t>
                  </w:r>
                  <w:r>
                    <w:rPr>
                      <w:rFonts w:ascii="Times New Roman" w:hAnsi="Times New Roman" w:eastAsia="宋体"/>
                      <w:color w:val="auto"/>
                      <w:spacing w:val="0"/>
                      <w:sz w:val="21"/>
                      <w:szCs w:val="21"/>
                    </w:rPr>
                    <w:t>。</w:t>
                  </w:r>
                </w:p>
                <w:p w14:paraId="217F0139">
                  <w:pPr>
                    <w:pStyle w:val="7"/>
                    <w:keepNext w:val="0"/>
                    <w:keepLines w:val="0"/>
                    <w:pageBreakBefore w:val="0"/>
                    <w:kinsoku/>
                    <w:overflowPunct/>
                    <w:topLinePunct w:val="0"/>
                    <w:autoSpaceDE/>
                    <w:autoSpaceDN/>
                    <w:bidi w:val="0"/>
                    <w:spacing w:line="240" w:lineRule="auto"/>
                    <w:ind w:firstLine="0" w:firstLineChars="0"/>
                    <w:rPr>
                      <w:rFonts w:ascii="Times New Roman" w:hAnsi="Times New Roman" w:eastAsia="宋体"/>
                      <w:color w:val="auto"/>
                      <w:spacing w:val="0"/>
                      <w:sz w:val="21"/>
                      <w:szCs w:val="21"/>
                      <w:highlight w:val="none"/>
                    </w:rPr>
                  </w:pPr>
                  <w:r>
                    <w:rPr>
                      <w:rFonts w:ascii="Times New Roman" w:hAnsi="Times New Roman" w:eastAsia="宋体"/>
                      <w:color w:val="auto"/>
                      <w:spacing w:val="0"/>
                      <w:sz w:val="21"/>
                      <w:szCs w:val="21"/>
                    </w:rPr>
                    <w:t>2、本项目</w:t>
                  </w:r>
                  <w:r>
                    <w:rPr>
                      <w:rFonts w:hint="eastAsia" w:ascii="Times New Roman" w:hAnsi="Times New Roman" w:eastAsia="宋体"/>
                      <w:color w:val="auto"/>
                      <w:sz w:val="21"/>
                      <w:szCs w:val="21"/>
                    </w:rPr>
                    <w:t>生活污水经化粪池处</w:t>
                  </w:r>
                  <w:r>
                    <w:rPr>
                      <w:rFonts w:hint="eastAsia" w:ascii="Times New Roman" w:hAnsi="Times New Roman" w:eastAsia="宋体"/>
                      <w:color w:val="auto"/>
                      <w:sz w:val="21"/>
                      <w:szCs w:val="21"/>
                      <w:lang w:eastAsia="zh-CN"/>
                    </w:rPr>
                    <w:t>理后排入污水管网，进入新乡县综合污水处理厂。</w:t>
                  </w:r>
                  <w:r>
                    <w:rPr>
                      <w:rFonts w:hint="eastAsia" w:ascii="Times New Roman" w:hAnsi="Times New Roman" w:eastAsia="宋体"/>
                      <w:color w:val="auto"/>
                      <w:spacing w:val="0"/>
                      <w:sz w:val="21"/>
                      <w:szCs w:val="21"/>
                      <w:lang w:eastAsia="zh-CN"/>
                    </w:rPr>
                    <w:t>新乡县综合污水处理厂</w:t>
                  </w:r>
                  <w:r>
                    <w:rPr>
                      <w:rFonts w:hint="eastAsia" w:ascii="Times New Roman" w:hAnsi="Times New Roman" w:eastAsia="宋体"/>
                      <w:snapToGrid w:val="0"/>
                      <w:color w:val="auto"/>
                      <w:spacing w:val="0"/>
                      <w:sz w:val="21"/>
                      <w:szCs w:val="21"/>
                    </w:rPr>
                    <w:t>出水水质</w:t>
                  </w:r>
                  <w:r>
                    <w:rPr>
                      <w:rFonts w:hint="eastAsia" w:ascii="Times New Roman" w:hAnsi="Times New Roman" w:eastAsia="宋体"/>
                      <w:snapToGrid w:val="0"/>
                      <w:color w:val="auto"/>
                      <w:spacing w:val="0"/>
                      <w:sz w:val="21"/>
                      <w:szCs w:val="21"/>
                      <w:lang w:eastAsia="zh-CN"/>
                    </w:rPr>
                    <w:t>满足</w:t>
                  </w:r>
                  <w:r>
                    <w:rPr>
                      <w:rFonts w:hint="default" w:ascii="Times New Roman" w:hAnsi="Times New Roman" w:eastAsia="宋体"/>
                      <w:sz w:val="21"/>
                      <w:szCs w:val="21"/>
                      <w:highlight w:val="none"/>
                      <w:lang w:val="en-US" w:eastAsia="zh-CN"/>
                    </w:rPr>
                    <w:t>《城镇污水处理厂污染物排放标准》（GB18918-2002）一级A标准的要求</w:t>
                  </w:r>
                  <w:r>
                    <w:rPr>
                      <w:rFonts w:hint="eastAsia" w:ascii="Times New Roman" w:hAnsi="Times New Roman" w:eastAsia="宋体"/>
                      <w:sz w:val="21"/>
                      <w:szCs w:val="21"/>
                      <w:highlight w:val="none"/>
                      <w:lang w:val="en-US" w:eastAsia="zh-CN"/>
                    </w:rPr>
                    <w:t>，同时满足</w:t>
                  </w:r>
                  <w:r>
                    <w:rPr>
                      <w:rFonts w:hint="default" w:ascii="Times New Roman" w:hAnsi="Times New Roman" w:eastAsia="宋体"/>
                      <w:sz w:val="21"/>
                      <w:szCs w:val="21"/>
                      <w:highlight w:val="none"/>
                      <w:lang w:val="en-US" w:eastAsia="zh-CN"/>
                    </w:rPr>
                    <w:t>《地表水环境质量标准》（GB3838-2002</w:t>
                  </w:r>
                  <w:r>
                    <w:rPr>
                      <w:rFonts w:hint="default" w:ascii="Times New Roman" w:hAnsi="Times New Roman" w:eastAsia="宋体" w:cs="Times New Roman"/>
                      <w:color w:val="auto"/>
                      <w:spacing w:val="0"/>
                      <w:sz w:val="21"/>
                      <w:szCs w:val="21"/>
                      <w:highlight w:val="none"/>
                      <w:lang w:val="en-US" w:eastAsia="zh-CN"/>
                    </w:rPr>
                    <w:t>）</w:t>
                  </w:r>
                  <w:r>
                    <w:rPr>
                      <w:rFonts w:hint="eastAsia" w:ascii="Times New Roman" w:hAnsi="Times New Roman" w:eastAsia="宋体" w:cs="Times New Roman"/>
                      <w:color w:val="auto"/>
                      <w:spacing w:val="0"/>
                      <w:sz w:val="21"/>
                      <w:szCs w:val="21"/>
                      <w:highlight w:val="none"/>
                      <w:lang w:eastAsia="zh-CN"/>
                    </w:rPr>
                    <w:t>Ⅴ</w:t>
                  </w:r>
                  <w:r>
                    <w:rPr>
                      <w:rFonts w:hint="default" w:ascii="Times New Roman" w:hAnsi="Times New Roman" w:eastAsia="宋体" w:cs="Times New Roman"/>
                      <w:color w:val="auto"/>
                      <w:spacing w:val="0"/>
                      <w:sz w:val="21"/>
                      <w:szCs w:val="21"/>
                      <w:highlight w:val="none"/>
                      <w:lang w:val="en-US" w:eastAsia="zh-CN"/>
                    </w:rPr>
                    <w:t>类</w:t>
                  </w:r>
                  <w:r>
                    <w:rPr>
                      <w:rFonts w:hint="default" w:ascii="Times New Roman" w:hAnsi="Times New Roman" w:eastAsia="宋体"/>
                      <w:sz w:val="21"/>
                      <w:szCs w:val="21"/>
                      <w:highlight w:val="none"/>
                      <w:lang w:val="en-US" w:eastAsia="zh-CN"/>
                    </w:rPr>
                    <w:t>标准的要求</w:t>
                  </w:r>
                  <w:r>
                    <w:rPr>
                      <w:rFonts w:hint="eastAsia" w:ascii="Times New Roman" w:hAnsi="Times New Roman" w:eastAsia="宋体"/>
                      <w:sz w:val="21"/>
                      <w:szCs w:val="21"/>
                      <w:highlight w:val="none"/>
                      <w:lang w:val="en-US" w:eastAsia="zh-CN"/>
                    </w:rPr>
                    <w:t>。</w:t>
                  </w:r>
                </w:p>
                <w:p w14:paraId="4C226130">
                  <w:pPr>
                    <w:keepNext w:val="0"/>
                    <w:keepLines w:val="0"/>
                    <w:pageBreakBefore w:val="0"/>
                    <w:widowControl/>
                    <w:kinsoku/>
                    <w:overflowPunct/>
                    <w:topLinePunct w:val="0"/>
                    <w:autoSpaceDE/>
                    <w:autoSpaceDN/>
                    <w:bidi w:val="0"/>
                    <w:adjustRightInd w:val="0"/>
                    <w:snapToGrid w:val="0"/>
                    <w:spacing w:line="240" w:lineRule="auto"/>
                    <w:ind w:firstLine="0" w:firstLineChars="0"/>
                    <w:jc w:val="left"/>
                    <w:textAlignment w:val="center"/>
                    <w:rPr>
                      <w:rFonts w:hint="eastAsia" w:eastAsia="宋体"/>
                      <w:color w:val="auto"/>
                      <w:spacing w:val="0"/>
                      <w:kern w:val="0"/>
                      <w:sz w:val="21"/>
                      <w:szCs w:val="21"/>
                      <w:lang w:eastAsia="zh-CN"/>
                    </w:rPr>
                  </w:pPr>
                  <w:r>
                    <w:rPr>
                      <w:rFonts w:ascii="Times New Roman" w:hAnsi="Times New Roman" w:eastAsia="宋体"/>
                      <w:color w:val="auto"/>
                      <w:spacing w:val="0"/>
                      <w:sz w:val="21"/>
                      <w:szCs w:val="21"/>
                    </w:rPr>
                    <w:t>3、</w:t>
                  </w:r>
                  <w:r>
                    <w:rPr>
                      <w:rFonts w:hint="eastAsia" w:ascii="Times New Roman" w:hAnsi="Times New Roman" w:eastAsia="宋体"/>
                      <w:color w:val="auto"/>
                      <w:spacing w:val="0"/>
                      <w:sz w:val="21"/>
                      <w:szCs w:val="21"/>
                      <w:lang w:eastAsia="zh-CN"/>
                    </w:rPr>
                    <w:t>本项目不涉及重金属废水。</w:t>
                  </w:r>
                </w:p>
              </w:tc>
              <w:tc>
                <w:tcPr>
                  <w:tcW w:w="339" w:type="dxa"/>
                  <w:noWrap w:val="0"/>
                  <w:vAlign w:val="center"/>
                </w:tcPr>
                <w:p w14:paraId="632336D2">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color w:val="auto"/>
                      <w:spacing w:val="0"/>
                      <w:sz w:val="21"/>
                      <w:szCs w:val="21"/>
                    </w:rPr>
                  </w:pPr>
                  <w:r>
                    <w:rPr>
                      <w:color w:val="auto"/>
                      <w:spacing w:val="0"/>
                      <w:kern w:val="0"/>
                      <w:sz w:val="21"/>
                      <w:szCs w:val="21"/>
                    </w:rPr>
                    <w:t>符合</w:t>
                  </w:r>
                </w:p>
              </w:tc>
            </w:tr>
            <w:tr w14:paraId="1BAE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294" w:type="dxa"/>
                  <w:vMerge w:val="continue"/>
                  <w:noWrap w:val="0"/>
                  <w:tcMar>
                    <w:top w:w="28" w:type="dxa"/>
                    <w:bottom w:w="57" w:type="dxa"/>
                  </w:tcMar>
                  <w:vAlign w:val="center"/>
                </w:tcPr>
                <w:p w14:paraId="0442F3F2">
                  <w:pPr>
                    <w:pStyle w:val="73"/>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p>
              </w:tc>
              <w:tc>
                <w:tcPr>
                  <w:tcW w:w="297" w:type="dxa"/>
                  <w:vMerge w:val="continue"/>
                  <w:noWrap w:val="0"/>
                  <w:tcMar>
                    <w:top w:w="28" w:type="dxa"/>
                    <w:bottom w:w="57" w:type="dxa"/>
                  </w:tcMar>
                  <w:vAlign w:val="center"/>
                </w:tcPr>
                <w:p w14:paraId="610A5C26">
                  <w:pPr>
                    <w:pStyle w:val="73"/>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p>
              </w:tc>
              <w:tc>
                <w:tcPr>
                  <w:tcW w:w="4137" w:type="dxa"/>
                  <w:noWrap w:val="0"/>
                  <w:tcMar>
                    <w:top w:w="28" w:type="dxa"/>
                    <w:bottom w:w="57" w:type="dxa"/>
                  </w:tcMar>
                  <w:vAlign w:val="center"/>
                </w:tcPr>
                <w:p w14:paraId="78F83868">
                  <w:pPr>
                    <w:pStyle w:val="73"/>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highlight w:val="none"/>
                    </w:rPr>
                  </w:pPr>
                  <w:r>
                    <w:rPr>
                      <w:color w:val="auto"/>
                      <w:spacing w:val="0"/>
                      <w:sz w:val="21"/>
                      <w:szCs w:val="21"/>
                      <w:highlight w:val="none"/>
                    </w:rPr>
                    <w:t>环境风险防控：</w:t>
                  </w:r>
                </w:p>
                <w:p w14:paraId="37A36B4F">
                  <w:pPr>
                    <w:pStyle w:val="73"/>
                    <w:keepNext w:val="0"/>
                    <w:keepLines w:val="0"/>
                    <w:pageBreakBefore w:val="0"/>
                    <w:kinsoku/>
                    <w:overflowPunct/>
                    <w:topLinePunct w:val="0"/>
                    <w:autoSpaceDE/>
                    <w:autoSpaceDN/>
                    <w:bidi w:val="0"/>
                    <w:adjustRightInd w:val="0"/>
                    <w:snapToGrid w:val="0"/>
                    <w:spacing w:line="240" w:lineRule="auto"/>
                    <w:ind w:firstLine="0" w:firstLineChars="0"/>
                    <w:jc w:val="left"/>
                    <w:rPr>
                      <w:rFonts w:hint="eastAsia" w:eastAsia="宋体"/>
                      <w:color w:val="auto"/>
                      <w:spacing w:val="0"/>
                      <w:sz w:val="21"/>
                      <w:szCs w:val="21"/>
                      <w:highlight w:val="none"/>
                      <w:lang w:eastAsia="zh-CN"/>
                    </w:rPr>
                  </w:pPr>
                  <w:r>
                    <w:rPr>
                      <w:rFonts w:hint="eastAsia"/>
                      <w:color w:val="auto"/>
                      <w:spacing w:val="0"/>
                      <w:sz w:val="21"/>
                      <w:szCs w:val="21"/>
                      <w:highlight w:val="none"/>
                    </w:rPr>
                    <w:t>高关注地块划分污染风险等级，纳入优先管控</w:t>
                  </w:r>
                  <w:r>
                    <w:rPr>
                      <w:rFonts w:hint="eastAsia"/>
                      <w:color w:val="auto"/>
                      <w:spacing w:val="0"/>
                      <w:sz w:val="21"/>
                      <w:szCs w:val="21"/>
                      <w:highlight w:val="none"/>
                      <w:lang w:eastAsia="zh-CN"/>
                    </w:rPr>
                    <w:t>名录。</w:t>
                  </w:r>
                </w:p>
              </w:tc>
              <w:tc>
                <w:tcPr>
                  <w:tcW w:w="2628" w:type="dxa"/>
                  <w:noWrap w:val="0"/>
                  <w:vAlign w:val="center"/>
                </w:tcPr>
                <w:p w14:paraId="6BEE1B30">
                  <w:pPr>
                    <w:pStyle w:val="20"/>
                    <w:keepNext w:val="0"/>
                    <w:keepLines w:val="0"/>
                    <w:pageBreakBefore w:val="0"/>
                    <w:kinsoku/>
                    <w:overflowPunct/>
                    <w:topLinePunct w:val="0"/>
                    <w:autoSpaceDE/>
                    <w:autoSpaceDN/>
                    <w:bidi w:val="0"/>
                    <w:adjustRightInd w:val="0"/>
                    <w:snapToGrid w:val="0"/>
                    <w:spacing w:before="0" w:beforeAutospacing="0" w:after="0" w:afterAutospacing="0" w:line="240" w:lineRule="auto"/>
                    <w:ind w:firstLine="0" w:firstLineChars="0"/>
                    <w:rPr>
                      <w:rFonts w:ascii="Times New Roman" w:hAnsi="Times New Roman"/>
                      <w:bCs/>
                      <w:color w:val="auto"/>
                      <w:spacing w:val="0"/>
                      <w:sz w:val="21"/>
                      <w:szCs w:val="21"/>
                      <w:highlight w:val="none"/>
                    </w:rPr>
                  </w:pPr>
                  <w:r>
                    <w:rPr>
                      <w:rFonts w:ascii="Times New Roman" w:hAnsi="Times New Roman"/>
                      <w:snapToGrid w:val="0"/>
                      <w:color w:val="auto"/>
                      <w:spacing w:val="0"/>
                      <w:sz w:val="21"/>
                      <w:szCs w:val="21"/>
                      <w:highlight w:val="none"/>
                    </w:rPr>
                    <w:t>本项目不涉及地下水污染。</w:t>
                  </w:r>
                </w:p>
              </w:tc>
              <w:tc>
                <w:tcPr>
                  <w:tcW w:w="339" w:type="dxa"/>
                  <w:noWrap w:val="0"/>
                  <w:vAlign w:val="center"/>
                </w:tcPr>
                <w:p w14:paraId="11F3D3BD">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color w:val="auto"/>
                      <w:spacing w:val="0"/>
                      <w:sz w:val="21"/>
                      <w:szCs w:val="21"/>
                      <w:lang w:eastAsia="zh-CN"/>
                    </w:rPr>
                  </w:pPr>
                  <w:r>
                    <w:rPr>
                      <w:rFonts w:hint="eastAsia"/>
                      <w:color w:val="auto"/>
                      <w:spacing w:val="0"/>
                      <w:kern w:val="0"/>
                      <w:sz w:val="21"/>
                      <w:szCs w:val="21"/>
                      <w:lang w:val="en-US" w:eastAsia="zh-CN"/>
                    </w:rPr>
                    <w:t>符合</w:t>
                  </w:r>
                </w:p>
              </w:tc>
            </w:tr>
            <w:tr w14:paraId="6C504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57" w:type="dxa"/>
                  <w:bottom w:w="85" w:type="dxa"/>
                  <w:right w:w="57" w:type="dxa"/>
                </w:tblCellMar>
              </w:tblPrEx>
              <w:trPr>
                <w:trHeight w:val="397" w:hRule="atLeast"/>
                <w:jc w:val="center"/>
              </w:trPr>
              <w:tc>
                <w:tcPr>
                  <w:tcW w:w="294" w:type="dxa"/>
                  <w:vMerge w:val="continue"/>
                  <w:noWrap w:val="0"/>
                  <w:vAlign w:val="center"/>
                </w:tcPr>
                <w:p w14:paraId="44BF57A2">
                  <w:pPr>
                    <w:pStyle w:val="73"/>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p>
              </w:tc>
              <w:tc>
                <w:tcPr>
                  <w:tcW w:w="297" w:type="dxa"/>
                  <w:vMerge w:val="continue"/>
                  <w:noWrap w:val="0"/>
                  <w:vAlign w:val="center"/>
                </w:tcPr>
                <w:p w14:paraId="7B7615C5">
                  <w:pPr>
                    <w:pStyle w:val="73"/>
                    <w:keepNext w:val="0"/>
                    <w:keepLines w:val="0"/>
                    <w:pageBreakBefore w:val="0"/>
                    <w:kinsoku/>
                    <w:overflowPunct/>
                    <w:topLinePunct w:val="0"/>
                    <w:autoSpaceDE/>
                    <w:autoSpaceDN/>
                    <w:bidi w:val="0"/>
                    <w:snapToGrid w:val="0"/>
                    <w:spacing w:line="240" w:lineRule="auto"/>
                    <w:ind w:firstLine="0" w:firstLineChars="0"/>
                    <w:jc w:val="center"/>
                    <w:rPr>
                      <w:color w:val="auto"/>
                      <w:spacing w:val="0"/>
                      <w:sz w:val="21"/>
                      <w:szCs w:val="21"/>
                    </w:rPr>
                  </w:pPr>
                </w:p>
              </w:tc>
              <w:tc>
                <w:tcPr>
                  <w:tcW w:w="4137" w:type="dxa"/>
                  <w:noWrap w:val="0"/>
                  <w:vAlign w:val="center"/>
                </w:tcPr>
                <w:p w14:paraId="7478F83D">
                  <w:pPr>
                    <w:pStyle w:val="73"/>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r>
                    <w:rPr>
                      <w:color w:val="auto"/>
                      <w:spacing w:val="0"/>
                      <w:sz w:val="21"/>
                      <w:szCs w:val="21"/>
                    </w:rPr>
                    <w:t>资源利用效率要求：</w:t>
                  </w:r>
                </w:p>
                <w:p w14:paraId="2424FC1E">
                  <w:pPr>
                    <w:pStyle w:val="73"/>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r>
                    <w:rPr>
                      <w:rFonts w:hint="eastAsia"/>
                      <w:color w:val="auto"/>
                      <w:spacing w:val="0"/>
                      <w:sz w:val="21"/>
                      <w:szCs w:val="21"/>
                    </w:rPr>
                    <w:t>进一步优化能源结构，加快集中供热、供气及配套管网建设。不得新改扩建分散燃煤设施。</w:t>
                  </w:r>
                </w:p>
              </w:tc>
              <w:tc>
                <w:tcPr>
                  <w:tcW w:w="2628" w:type="dxa"/>
                  <w:noWrap w:val="0"/>
                  <w:vAlign w:val="center"/>
                </w:tcPr>
                <w:p w14:paraId="13F413A5">
                  <w:pPr>
                    <w:pStyle w:val="73"/>
                    <w:keepNext w:val="0"/>
                    <w:keepLines w:val="0"/>
                    <w:pageBreakBefore w:val="0"/>
                    <w:kinsoku/>
                    <w:overflowPunct/>
                    <w:topLinePunct w:val="0"/>
                    <w:autoSpaceDE/>
                    <w:autoSpaceDN/>
                    <w:bidi w:val="0"/>
                    <w:adjustRightInd w:val="0"/>
                    <w:snapToGrid w:val="0"/>
                    <w:spacing w:line="240" w:lineRule="auto"/>
                    <w:ind w:firstLine="0" w:firstLineChars="0"/>
                    <w:jc w:val="left"/>
                    <w:rPr>
                      <w:color w:val="auto"/>
                      <w:spacing w:val="0"/>
                      <w:sz w:val="21"/>
                      <w:szCs w:val="21"/>
                    </w:rPr>
                  </w:pPr>
                  <w:r>
                    <w:rPr>
                      <w:rFonts w:hint="eastAsia"/>
                      <w:color w:val="auto"/>
                      <w:spacing w:val="0"/>
                      <w:sz w:val="21"/>
                      <w:szCs w:val="21"/>
                      <w:lang w:eastAsia="zh-CN"/>
                    </w:rPr>
                    <w:t>本项目不涉及燃煤设施的建设。</w:t>
                  </w:r>
                </w:p>
              </w:tc>
              <w:tc>
                <w:tcPr>
                  <w:tcW w:w="339" w:type="dxa"/>
                  <w:noWrap w:val="0"/>
                  <w:vAlign w:val="center"/>
                </w:tcPr>
                <w:p w14:paraId="4A98A26F">
                  <w:pPr>
                    <w:pStyle w:val="5"/>
                    <w:keepNext w:val="0"/>
                    <w:keepLines w:val="0"/>
                    <w:pageBreakBefore w:val="0"/>
                    <w:kinsoku/>
                    <w:overflowPunct/>
                    <w:topLinePunct w:val="0"/>
                    <w:autoSpaceDE/>
                    <w:autoSpaceDN/>
                    <w:bidi w:val="0"/>
                    <w:adjustRightInd w:val="0"/>
                    <w:snapToGrid w:val="0"/>
                    <w:spacing w:line="240" w:lineRule="auto"/>
                    <w:ind w:firstLine="0" w:firstLineChars="0"/>
                    <w:jc w:val="center"/>
                    <w:rPr>
                      <w:rFonts w:hint="eastAsia" w:eastAsia="宋体"/>
                      <w:color w:val="auto"/>
                      <w:spacing w:val="0"/>
                      <w:sz w:val="21"/>
                      <w:szCs w:val="21"/>
                      <w:lang w:eastAsia="zh-CN"/>
                    </w:rPr>
                  </w:pPr>
                  <w:r>
                    <w:rPr>
                      <w:rFonts w:hint="eastAsia"/>
                      <w:color w:val="auto"/>
                      <w:spacing w:val="0"/>
                      <w:kern w:val="0"/>
                      <w:sz w:val="21"/>
                      <w:szCs w:val="21"/>
                      <w:lang w:val="en-US" w:eastAsia="zh-CN"/>
                    </w:rPr>
                    <w:t>符合</w:t>
                  </w:r>
                </w:p>
              </w:tc>
            </w:tr>
          </w:tbl>
          <w:p w14:paraId="3CEADFD2">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eastAsia" w:ascii="Times New Roman" w:hAnsi="Times New Roman" w:eastAsia="黑体" w:cs="Times New Roman"/>
                <w:b w:val="0"/>
                <w:bCs/>
                <w:color w:val="auto"/>
                <w:spacing w:val="0"/>
                <w:kern w:val="52"/>
                <w:sz w:val="24"/>
                <w:szCs w:val="24"/>
                <w:u w:val="none" w:color="auto"/>
                <w:lang w:val="en-US" w:eastAsia="zh-CN"/>
              </w:rPr>
            </w:pPr>
            <w:r>
              <w:rPr>
                <w:rFonts w:hint="eastAsia" w:ascii="Times New Roman" w:hAnsi="Times New Roman"/>
                <w:b w:val="0"/>
                <w:bCs/>
                <w:color w:val="auto"/>
                <w:spacing w:val="0"/>
                <w:sz w:val="24"/>
                <w:szCs w:val="24"/>
                <w:u w:val="none" w:color="auto"/>
                <w:shd w:val="clear" w:color="auto" w:fill="FFFFFF"/>
                <w:lang w:val="en-US" w:eastAsia="zh-CN"/>
              </w:rPr>
              <w:t>根据表1-</w:t>
            </w:r>
            <w:r>
              <w:rPr>
                <w:rFonts w:hint="eastAsia"/>
                <w:b w:val="0"/>
                <w:bCs/>
                <w:color w:val="auto"/>
                <w:spacing w:val="0"/>
                <w:sz w:val="24"/>
                <w:szCs w:val="24"/>
                <w:u w:val="none" w:color="auto"/>
                <w:shd w:val="clear" w:color="auto" w:fill="FFFFFF"/>
                <w:lang w:val="en-US" w:eastAsia="zh-CN"/>
              </w:rPr>
              <w:t>6</w:t>
            </w:r>
            <w:r>
              <w:rPr>
                <w:rFonts w:hint="eastAsia" w:ascii="Times New Roman" w:hAnsi="Times New Roman"/>
                <w:b w:val="0"/>
                <w:bCs/>
                <w:color w:val="auto"/>
                <w:spacing w:val="0"/>
                <w:sz w:val="24"/>
                <w:szCs w:val="24"/>
                <w:u w:val="none" w:color="auto"/>
                <w:shd w:val="clear" w:color="auto" w:fill="FFFFFF"/>
                <w:lang w:val="en-US" w:eastAsia="zh-CN"/>
              </w:rPr>
              <w:t>可知，</w:t>
            </w:r>
            <w:r>
              <w:rPr>
                <w:rFonts w:hint="eastAsia" w:ascii="Times New Roman" w:hAnsi="Times New Roman"/>
                <w:b w:val="0"/>
                <w:bCs/>
                <w:color w:val="auto"/>
                <w:spacing w:val="0"/>
                <w:sz w:val="24"/>
                <w:szCs w:val="24"/>
                <w:u w:val="none" w:color="auto"/>
                <w:lang w:val="en-US" w:eastAsia="zh-CN" w:bidi="ar"/>
              </w:rPr>
              <w:t>本项目建设符合</w:t>
            </w:r>
            <w:r>
              <w:rPr>
                <w:rFonts w:hint="eastAsia"/>
                <w:b w:val="0"/>
                <w:bCs/>
                <w:color w:val="auto"/>
                <w:spacing w:val="0"/>
                <w:kern w:val="52"/>
                <w:sz w:val="24"/>
                <w:szCs w:val="24"/>
                <w:u w:val="none" w:color="auto"/>
                <w:lang w:val="en-US" w:eastAsia="zh-CN"/>
              </w:rPr>
              <w:t>三线一单管控要求。</w:t>
            </w:r>
            <w:r>
              <w:rPr>
                <w:color w:val="auto"/>
                <w:spacing w:val="0"/>
                <w:sz w:val="24"/>
              </w:rPr>
              <mc:AlternateContent>
                <mc:Choice Requires="wps">
                  <w:drawing>
                    <wp:anchor distT="0" distB="0" distL="114300" distR="114300" simplePos="0" relativeHeight="251659264" behindDoc="0" locked="0" layoutInCell="1" allowOverlap="1">
                      <wp:simplePos x="0" y="0"/>
                      <wp:positionH relativeFrom="column">
                        <wp:posOffset>4291965</wp:posOffset>
                      </wp:positionH>
                      <wp:positionV relativeFrom="paragraph">
                        <wp:posOffset>69850</wp:posOffset>
                      </wp:positionV>
                      <wp:extent cx="313690" cy="2489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313690" cy="248920"/>
                              </a:xfrm>
                              <a:prstGeom prst="rect">
                                <a:avLst/>
                              </a:prstGeom>
                              <a:noFill/>
                              <a:ln>
                                <a:noFill/>
                              </a:ln>
                            </wps:spPr>
                            <wps:txbx>
                              <w:txbxContent>
                                <w:p w14:paraId="69DEBC19">
                                  <w:pPr>
                                    <w:rPr>
                                      <w:rFonts w:hint="eastAsia" w:eastAsia="宋体"/>
                                      <w:b/>
                                      <w:bCs/>
                                      <w:color w:val="FFFFFF"/>
                                      <w:sz w:val="21"/>
                                      <w:szCs w:val="21"/>
                                      <w:highlight w:val="none"/>
                                      <w:lang w:eastAsia="zh-CN"/>
                                    </w:rPr>
                                  </w:pPr>
                                  <w:r>
                                    <w:rPr>
                                      <w:rFonts w:hint="eastAsia"/>
                                      <w:b/>
                                      <w:bCs/>
                                      <w:color w:val="FFFFFF"/>
                                      <w:sz w:val="21"/>
                                      <w:szCs w:val="21"/>
                                      <w:highlight w:val="none"/>
                                      <w:lang w:eastAsia="zh-CN"/>
                                    </w:rPr>
                                    <w:t>北</w:t>
                                  </w:r>
                                </w:p>
                              </w:txbxContent>
                            </wps:txbx>
                            <wps:bodyPr upright="1"/>
                          </wps:wsp>
                        </a:graphicData>
                      </a:graphic>
                    </wp:anchor>
                  </w:drawing>
                </mc:Choice>
                <mc:Fallback>
                  <w:pict>
                    <v:shape id="_x0000_s1026" o:spid="_x0000_s1026" o:spt="202" type="#_x0000_t202" style="position:absolute;left:0pt;margin-left:337.95pt;margin-top:5.5pt;height:19.6pt;width:24.7pt;z-index:251659264;mso-width-relative:page;mso-height-relative:page;" filled="f" stroked="f" coordsize="21600,21600" o:gfxdata="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CgTgR71gAAAAkB&#10;AAAPAAAAAAAAAAEAIAAAACIAAABkcnMvZG93bnJldi54bWxQSwECFAAUAAAACACHTuJA9XKgl6sB&#10;AABNAwAADgAAAAAAAAABACAAAAAlAQAAZHJzL2Uyb0RvYy54bWxQSwUGAAAAAAYABgBZAQAAQgUA&#10;AAAA&#10;">
                      <v:fill on="f" focussize="0,0"/>
                      <v:stroke on="f"/>
                      <v:imagedata o:title=""/>
                      <o:lock v:ext="edit" aspectratio="f"/>
                      <v:textbox>
                        <w:txbxContent>
                          <w:p w14:paraId="69DEBC19">
                            <w:pPr>
                              <w:rPr>
                                <w:rFonts w:hint="eastAsia" w:eastAsia="宋体"/>
                                <w:b/>
                                <w:bCs/>
                                <w:color w:val="FFFFFF"/>
                                <w:sz w:val="21"/>
                                <w:szCs w:val="21"/>
                                <w:highlight w:val="none"/>
                                <w:lang w:eastAsia="zh-CN"/>
                              </w:rPr>
                            </w:pPr>
                            <w:r>
                              <w:rPr>
                                <w:rFonts w:hint="eastAsia"/>
                                <w:b/>
                                <w:bCs/>
                                <w:color w:val="FFFFFF"/>
                                <w:sz w:val="21"/>
                                <w:szCs w:val="21"/>
                                <w:highlight w:val="none"/>
                                <w:lang w:eastAsia="zh-CN"/>
                              </w:rPr>
                              <w:t>北</w:t>
                            </w:r>
                          </w:p>
                        </w:txbxContent>
                      </v:textbox>
                    </v:shape>
                  </w:pict>
                </mc:Fallback>
              </mc:AlternateContent>
            </w:r>
          </w:p>
          <w:p w14:paraId="272CC9A9">
            <w:pPr>
              <w:keepNext w:val="0"/>
              <w:keepLines w:val="0"/>
              <w:pageBreakBefore w:val="0"/>
              <w:widowControl w:val="0"/>
              <w:kinsoku/>
              <w:wordWrap/>
              <w:overflowPunct/>
              <w:topLinePunct w:val="0"/>
              <w:autoSpaceDE/>
              <w:autoSpaceDN/>
              <w:bidi w:val="0"/>
              <w:adjustRightInd w:val="0"/>
              <w:snapToGrid w:val="0"/>
              <w:spacing w:line="520" w:lineRule="atLeast"/>
              <w:ind w:firstLine="482" w:firstLineChars="200"/>
              <w:textAlignment w:val="auto"/>
              <w:rPr>
                <w:rFonts w:hint="eastAsia" w:ascii="Times New Roman" w:hAnsi="Times New Roman" w:eastAsia="黑体" w:cs="Times New Roman"/>
                <w:color w:val="000000"/>
                <w:kern w:val="0"/>
                <w:sz w:val="24"/>
              </w:rPr>
            </w:pPr>
            <w:r>
              <w:rPr>
                <w:rFonts w:hint="eastAsia"/>
                <w:b/>
                <w:bCs/>
                <w:color w:val="000000"/>
                <w:sz w:val="24"/>
                <w:lang w:val="en-US" w:eastAsia="zh-CN"/>
              </w:rPr>
              <w:t>8</w:t>
            </w:r>
            <w:r>
              <w:rPr>
                <w:b/>
                <w:bCs/>
                <w:color w:val="000000"/>
                <w:sz w:val="24"/>
              </w:rPr>
              <w:t>、《河南省重污染天气通用行业应急减排措施制定技术指南（202</w:t>
            </w:r>
            <w:r>
              <w:rPr>
                <w:rFonts w:hint="eastAsia"/>
                <w:b/>
                <w:bCs/>
                <w:color w:val="000000"/>
                <w:sz w:val="24"/>
                <w:lang w:val="en-US" w:eastAsia="zh-CN"/>
              </w:rPr>
              <w:t>4</w:t>
            </w:r>
            <w:r>
              <w:rPr>
                <w:b/>
                <w:bCs/>
                <w:color w:val="000000"/>
                <w:sz w:val="24"/>
              </w:rPr>
              <w:t>年修订</w:t>
            </w:r>
            <w:r>
              <w:rPr>
                <w:rFonts w:hint="eastAsia"/>
                <w:b/>
                <w:bCs/>
                <w:color w:val="000000"/>
                <w:sz w:val="24"/>
                <w:lang w:eastAsia="zh-CN"/>
              </w:rPr>
              <w:t>稿</w:t>
            </w:r>
            <w:r>
              <w:rPr>
                <w:b/>
                <w:bCs/>
                <w:color w:val="000000"/>
                <w:sz w:val="24"/>
              </w:rPr>
              <w:t>）》中“涉锅炉/炉窑企业”的对照分析</w:t>
            </w:r>
          </w:p>
          <w:p w14:paraId="0839D2D1">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atLeast"/>
              <w:ind w:firstLine="480" w:firstLineChars="200"/>
              <w:textAlignment w:val="auto"/>
              <w:rPr>
                <w:rFonts w:hint="eastAsia" w:ascii="Times New Roman" w:hAnsi="Times New Roman" w:eastAsia="黑体" w:cs="Times New Roman"/>
                <w:color w:val="000000"/>
                <w:kern w:val="0"/>
                <w:sz w:val="24"/>
              </w:rPr>
            </w:pPr>
            <w:r>
              <w:rPr>
                <w:rFonts w:hint="eastAsia" w:ascii="Times New Roman" w:hAnsi="Times New Roman" w:eastAsia="黑体" w:cs="Times New Roman"/>
                <w:color w:val="000000"/>
                <w:kern w:val="0"/>
                <w:sz w:val="24"/>
              </w:rPr>
              <w:t>表1-</w:t>
            </w:r>
            <w:r>
              <w:rPr>
                <w:rFonts w:hint="eastAsia" w:eastAsia="黑体" w:cs="Times New Roman"/>
                <w:color w:val="000000"/>
                <w:kern w:val="0"/>
                <w:sz w:val="24"/>
                <w:lang w:val="en-US" w:eastAsia="zh-CN"/>
              </w:rPr>
              <w:t>7</w:t>
            </w:r>
            <w:r>
              <w:rPr>
                <w:rFonts w:hint="eastAsia" w:ascii="Times New Roman" w:hAnsi="Times New Roman" w:eastAsia="黑体" w:cs="Times New Roman"/>
                <w:color w:val="000000"/>
                <w:kern w:val="0"/>
                <w:sz w:val="24"/>
              </w:rPr>
              <w:t xml:space="preserve">   项目</w:t>
            </w:r>
            <w:r>
              <w:rPr>
                <w:rFonts w:hint="eastAsia" w:ascii="Times New Roman" w:hAnsi="Times New Roman" w:eastAsia="黑体" w:cs="Times New Roman"/>
                <w:color w:val="000000"/>
                <w:kern w:val="0"/>
                <w:sz w:val="24"/>
                <w:lang w:val="pt-BR"/>
              </w:rPr>
              <w:t>与</w:t>
            </w:r>
            <w:r>
              <w:rPr>
                <w:rFonts w:hint="eastAsia" w:ascii="Times New Roman" w:hAnsi="Times New Roman" w:eastAsia="黑体" w:cs="Times New Roman"/>
                <w:color w:val="000000"/>
                <w:kern w:val="0"/>
                <w:sz w:val="24"/>
              </w:rPr>
              <w:t>涉锅炉/炉窑企业绩效分级指标的对照分析</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767"/>
              <w:gridCol w:w="3857"/>
              <w:gridCol w:w="1938"/>
              <w:gridCol w:w="669"/>
            </w:tblGrid>
            <w:tr w14:paraId="18FF1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34" w:type="dxa"/>
                  <w:gridSpan w:val="3"/>
                  <w:noWrap w:val="0"/>
                  <w:vAlign w:val="center"/>
                </w:tcPr>
                <w:p w14:paraId="2C6341F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A级企业</w:t>
                  </w:r>
                </w:p>
              </w:tc>
              <w:tc>
                <w:tcPr>
                  <w:tcW w:w="1891" w:type="dxa"/>
                  <w:noWrap w:val="0"/>
                  <w:vAlign w:val="center"/>
                </w:tcPr>
                <w:p w14:paraId="596276C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企业对标情况</w:t>
                  </w:r>
                </w:p>
              </w:tc>
              <w:tc>
                <w:tcPr>
                  <w:tcW w:w="651" w:type="dxa"/>
                  <w:noWrap w:val="0"/>
                  <w:vAlign w:val="center"/>
                </w:tcPr>
                <w:p w14:paraId="52092AE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是否相符</w:t>
                  </w:r>
                </w:p>
              </w:tc>
            </w:tr>
            <w:tr w14:paraId="1AF1D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1" w:type="dxa"/>
                  <w:gridSpan w:val="2"/>
                  <w:noWrap w:val="0"/>
                  <w:vAlign w:val="center"/>
                </w:tcPr>
                <w:p w14:paraId="4829B77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能源类型</w:t>
                  </w:r>
                </w:p>
              </w:tc>
              <w:tc>
                <w:tcPr>
                  <w:tcW w:w="3763" w:type="dxa"/>
                  <w:noWrap w:val="0"/>
                  <w:vAlign w:val="center"/>
                </w:tcPr>
                <w:p w14:paraId="4AE3AB4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以电、天然气为能源</w:t>
                  </w:r>
                </w:p>
              </w:tc>
              <w:tc>
                <w:tcPr>
                  <w:tcW w:w="1891" w:type="dxa"/>
                  <w:noWrap w:val="0"/>
                  <w:vAlign w:val="center"/>
                </w:tcPr>
                <w:p w14:paraId="13B2329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本项目使用电能。</w:t>
                  </w:r>
                </w:p>
              </w:tc>
              <w:tc>
                <w:tcPr>
                  <w:tcW w:w="651" w:type="dxa"/>
                  <w:noWrap w:val="0"/>
                  <w:vAlign w:val="center"/>
                </w:tcPr>
                <w:p w14:paraId="4CE787E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符合</w:t>
                  </w:r>
                </w:p>
              </w:tc>
            </w:tr>
            <w:tr w14:paraId="3F443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1" w:type="dxa"/>
                  <w:gridSpan w:val="2"/>
                  <w:noWrap w:val="0"/>
                  <w:vAlign w:val="center"/>
                </w:tcPr>
                <w:p w14:paraId="53E1AD3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生产工艺</w:t>
                  </w:r>
                </w:p>
              </w:tc>
              <w:tc>
                <w:tcPr>
                  <w:tcW w:w="3763" w:type="dxa"/>
                  <w:noWrap w:val="0"/>
                  <w:vAlign w:val="center"/>
                </w:tcPr>
                <w:p w14:paraId="32D02A1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1.属于《产业结构调整指导目录（2024）》鼓励类和允许类；2.符合相关行业产业政策；3.符合河南省相关政策要求；4.符合市级规划。</w:t>
                  </w:r>
                </w:p>
              </w:tc>
              <w:tc>
                <w:tcPr>
                  <w:tcW w:w="1891" w:type="dxa"/>
                  <w:noWrap w:val="0"/>
                  <w:vAlign w:val="center"/>
                </w:tcPr>
                <w:p w14:paraId="29FAD4B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本项目产品</w:t>
                  </w:r>
                  <w:r>
                    <w:rPr>
                      <w:rFonts w:hint="eastAsia" w:cs="Times New Roman"/>
                      <w:b w:val="0"/>
                      <w:bCs/>
                      <w:color w:val="000000"/>
                      <w:sz w:val="21"/>
                      <w:szCs w:val="21"/>
                      <w:u w:val="none"/>
                      <w:lang w:val="en-US" w:eastAsia="zh-CN"/>
                    </w:rPr>
                    <w:t>为</w:t>
                  </w:r>
                  <w:r>
                    <w:rPr>
                      <w:rFonts w:hint="eastAsia" w:ascii="Times New Roman" w:hAnsi="Times New Roman" w:eastAsia="宋体" w:cs="Times New Roman"/>
                      <w:b w:val="0"/>
                      <w:bCs/>
                      <w:color w:val="000000"/>
                      <w:sz w:val="21"/>
                      <w:szCs w:val="21"/>
                      <w:u w:val="none"/>
                      <w:lang w:val="en-US" w:eastAsia="zh-CN"/>
                    </w:rPr>
                    <w:t>光刻机大尺寸高精密框架，属于允许类项目，符合相应的产业政策及市级规划。</w:t>
                  </w:r>
                </w:p>
              </w:tc>
              <w:tc>
                <w:tcPr>
                  <w:tcW w:w="651" w:type="dxa"/>
                  <w:noWrap w:val="0"/>
                  <w:vAlign w:val="center"/>
                </w:tcPr>
                <w:p w14:paraId="13DD7BF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符合</w:t>
                  </w:r>
                </w:p>
              </w:tc>
            </w:tr>
            <w:tr w14:paraId="48B86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1" w:type="dxa"/>
                  <w:gridSpan w:val="2"/>
                  <w:noWrap w:val="0"/>
                  <w:vAlign w:val="center"/>
                </w:tcPr>
                <w:p w14:paraId="26AB230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污染治理技术</w:t>
                  </w:r>
                </w:p>
              </w:tc>
              <w:tc>
                <w:tcPr>
                  <w:tcW w:w="3763" w:type="dxa"/>
                  <w:noWrap w:val="0"/>
                  <w:vAlign w:val="center"/>
                </w:tcPr>
                <w:p w14:paraId="307ADCE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1.电窑：</w:t>
                  </w:r>
                </w:p>
                <w:p w14:paraId="1402AEE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PM采用袋式除尘、电袋复合除尘、湿电除尘、静电除尘等高效除尘技术。</w:t>
                  </w:r>
                </w:p>
                <w:p w14:paraId="4D94219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2.燃气锅炉/炉窑：</w:t>
                  </w:r>
                </w:p>
                <w:p w14:paraId="4B83E6E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（1）PM</w:t>
                  </w:r>
                  <w:r>
                    <w:rPr>
                      <w:rFonts w:hint="eastAsia" w:ascii="Times New Roman" w:hAnsi="Times New Roman" w:eastAsia="宋体" w:cs="Times New Roman"/>
                      <w:b w:val="0"/>
                      <w:bCs/>
                      <w:color w:val="000000"/>
                      <w:sz w:val="21"/>
                      <w:szCs w:val="21"/>
                      <w:u w:val="none"/>
                      <w:vertAlign w:val="superscript"/>
                      <w:lang w:val="en-US" w:eastAsia="zh-CN"/>
                    </w:rPr>
                    <w:t>【1】</w:t>
                  </w:r>
                  <w:r>
                    <w:rPr>
                      <w:rFonts w:hint="eastAsia" w:ascii="Times New Roman" w:hAnsi="Times New Roman" w:eastAsia="宋体" w:cs="Times New Roman"/>
                      <w:b w:val="0"/>
                      <w:bCs/>
                      <w:color w:val="000000"/>
                      <w:sz w:val="21"/>
                      <w:szCs w:val="21"/>
                      <w:u w:val="none"/>
                      <w:lang w:val="en-US" w:eastAsia="zh-CN"/>
                    </w:rPr>
                    <w:t>采用袋式除尘、静电除尘、湿电除尘等高效除尘技术；</w:t>
                  </w:r>
                </w:p>
                <w:p w14:paraId="7693FE3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（2）NOx</w:t>
                  </w:r>
                  <w:r>
                    <w:rPr>
                      <w:rFonts w:hint="eastAsia" w:ascii="Times New Roman" w:hAnsi="Times New Roman" w:eastAsia="宋体" w:cs="Times New Roman"/>
                      <w:b w:val="0"/>
                      <w:bCs/>
                      <w:color w:val="000000"/>
                      <w:sz w:val="21"/>
                      <w:szCs w:val="21"/>
                      <w:u w:val="none"/>
                      <w:vertAlign w:val="superscript"/>
                      <w:lang w:val="en-US" w:eastAsia="zh-CN"/>
                    </w:rPr>
                    <w:t>【2】</w:t>
                  </w:r>
                  <w:r>
                    <w:rPr>
                      <w:rFonts w:hint="eastAsia" w:ascii="Times New Roman" w:hAnsi="Times New Roman" w:eastAsia="宋体" w:cs="Times New Roman"/>
                      <w:b w:val="0"/>
                      <w:bCs/>
                      <w:color w:val="000000"/>
                      <w:sz w:val="21"/>
                      <w:szCs w:val="21"/>
                      <w:u w:val="none"/>
                      <w:lang w:val="en-US" w:eastAsia="zh-CN"/>
                    </w:rPr>
                    <w:t>采用低氮燃烧或SNCR/SCR等技术。使用氨法脱硝的企业，氨的装卸、储存、输送、制备等过程全密闭，并采取有氨气泄漏检测和收集措施；采用尿素作为还原剂的配备有尿素加热水解制氨系统。</w:t>
                  </w:r>
                </w:p>
                <w:p w14:paraId="4EF28BA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3.其他工序（非锅炉/炉窑）：</w:t>
                  </w:r>
                </w:p>
                <w:p w14:paraId="4739EC6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PM采用覆膜袋式除尘或其他先进除尘工艺。</w:t>
                  </w:r>
                </w:p>
              </w:tc>
              <w:tc>
                <w:tcPr>
                  <w:tcW w:w="1891" w:type="dxa"/>
                  <w:noWrap w:val="0"/>
                  <w:vAlign w:val="center"/>
                </w:tcPr>
                <w:p w14:paraId="27A03653">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default"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本项目</w:t>
                  </w:r>
                  <w:r>
                    <w:rPr>
                      <w:rFonts w:hint="eastAsia"/>
                      <w:snapToGrid w:val="0"/>
                      <w:color w:val="000000"/>
                      <w:sz w:val="21"/>
                      <w:szCs w:val="21"/>
                      <w:lang w:eastAsia="zh-CN"/>
                    </w:rPr>
                    <w:t>使用电退火炉，退火原料无油污</w:t>
                  </w:r>
                  <w:r>
                    <w:rPr>
                      <w:rFonts w:hint="eastAsia" w:ascii="Times New Roman" w:hAnsi="Times New Roman" w:eastAsia="宋体" w:cs="Times New Roman"/>
                      <w:b w:val="0"/>
                      <w:bCs/>
                      <w:color w:val="000000"/>
                      <w:sz w:val="21"/>
                      <w:szCs w:val="21"/>
                      <w:u w:val="none"/>
                      <w:lang w:val="en-US" w:eastAsia="zh-CN"/>
                    </w:rPr>
                    <w:t>，不涉及VOCs、PM及NOx排放。</w:t>
                  </w:r>
                </w:p>
              </w:tc>
              <w:tc>
                <w:tcPr>
                  <w:tcW w:w="651" w:type="dxa"/>
                  <w:noWrap w:val="0"/>
                  <w:vAlign w:val="center"/>
                </w:tcPr>
                <w:p w14:paraId="30973DC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符合</w:t>
                  </w:r>
                </w:p>
              </w:tc>
            </w:tr>
            <w:tr w14:paraId="5AC8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vMerge w:val="restart"/>
                  <w:noWrap w:val="0"/>
                  <w:vAlign w:val="center"/>
                </w:tcPr>
                <w:p w14:paraId="4958C24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排放限值</w:t>
                  </w:r>
                </w:p>
              </w:tc>
              <w:tc>
                <w:tcPr>
                  <w:tcW w:w="730" w:type="dxa"/>
                  <w:vMerge w:val="restart"/>
                  <w:noWrap w:val="0"/>
                  <w:vAlign w:val="center"/>
                </w:tcPr>
                <w:p w14:paraId="4F1DD05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锅炉</w:t>
                  </w:r>
                </w:p>
              </w:tc>
              <w:tc>
                <w:tcPr>
                  <w:tcW w:w="3763" w:type="dxa"/>
                  <w:noWrap w:val="0"/>
                  <w:vAlign w:val="center"/>
                </w:tcPr>
                <w:p w14:paraId="2DC3648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PM、SO</w:t>
                  </w:r>
                  <w:r>
                    <w:rPr>
                      <w:rFonts w:hint="eastAsia" w:ascii="Times New Roman" w:hAnsi="Times New Roman" w:eastAsia="宋体" w:cs="Times New Roman"/>
                      <w:b w:val="0"/>
                      <w:bCs/>
                      <w:color w:val="000000"/>
                      <w:sz w:val="21"/>
                      <w:szCs w:val="21"/>
                      <w:u w:val="none"/>
                      <w:vertAlign w:val="subscript"/>
                      <w:lang w:val="en-US" w:eastAsia="zh-CN"/>
                    </w:rPr>
                    <w:t>2</w:t>
                  </w:r>
                  <w:r>
                    <w:rPr>
                      <w:rFonts w:hint="eastAsia" w:ascii="Times New Roman" w:hAnsi="Times New Roman" w:eastAsia="宋体" w:cs="Times New Roman"/>
                      <w:b w:val="0"/>
                      <w:bCs/>
                      <w:color w:val="000000"/>
                      <w:sz w:val="21"/>
                      <w:szCs w:val="21"/>
                      <w:u w:val="none"/>
                      <w:lang w:val="en-US" w:eastAsia="zh-CN"/>
                    </w:rPr>
                    <w:t>、NOx排放浓度分别不高于：</w:t>
                  </w:r>
                </w:p>
                <w:p w14:paraId="186DB9C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vertAlign w:val="superscript"/>
                      <w:lang w:val="en-US" w:eastAsia="zh-CN"/>
                    </w:rPr>
                  </w:pPr>
                  <w:r>
                    <w:rPr>
                      <w:rFonts w:hint="eastAsia" w:ascii="Times New Roman" w:hAnsi="Times New Roman" w:eastAsia="宋体" w:cs="Times New Roman"/>
                      <w:b w:val="0"/>
                      <w:bCs/>
                      <w:color w:val="000000"/>
                      <w:sz w:val="21"/>
                      <w:szCs w:val="21"/>
                      <w:u w:val="none"/>
                      <w:lang w:val="en-US" w:eastAsia="zh-CN"/>
                    </w:rPr>
                    <w:t>燃气：5、10、50/30</w:t>
                  </w:r>
                  <w:r>
                    <w:rPr>
                      <w:rFonts w:hint="eastAsia" w:ascii="Times New Roman" w:hAnsi="Times New Roman" w:eastAsia="宋体" w:cs="Times New Roman"/>
                      <w:b w:val="0"/>
                      <w:bCs/>
                      <w:color w:val="000000"/>
                      <w:sz w:val="21"/>
                      <w:szCs w:val="21"/>
                      <w:u w:val="none"/>
                      <w:vertAlign w:val="superscript"/>
                      <w:lang w:val="en-US" w:eastAsia="zh-CN"/>
                    </w:rPr>
                    <w:t>【4】</w:t>
                  </w:r>
                  <w:r>
                    <w:rPr>
                      <w:rFonts w:hint="eastAsia" w:ascii="Times New Roman" w:hAnsi="Times New Roman" w:eastAsia="宋体" w:cs="Times New Roman"/>
                      <w:b w:val="0"/>
                      <w:bCs/>
                      <w:color w:val="000000"/>
                      <w:sz w:val="21"/>
                      <w:szCs w:val="21"/>
                      <w:u w:val="none"/>
                      <w:lang w:val="en-US" w:eastAsia="zh-CN"/>
                    </w:rPr>
                    <w:t>mg/m</w:t>
                  </w:r>
                  <w:r>
                    <w:rPr>
                      <w:rFonts w:hint="eastAsia" w:ascii="Times New Roman" w:hAnsi="Times New Roman" w:eastAsia="宋体" w:cs="Times New Roman"/>
                      <w:b w:val="0"/>
                      <w:bCs/>
                      <w:color w:val="000000"/>
                      <w:sz w:val="21"/>
                      <w:szCs w:val="21"/>
                      <w:u w:val="none"/>
                      <w:vertAlign w:val="superscript"/>
                      <w:lang w:val="en-US" w:eastAsia="zh-CN"/>
                    </w:rPr>
                    <w:t>3</w:t>
                  </w:r>
                </w:p>
                <w:p w14:paraId="20C2860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（基准含氧量：3.5%）</w:t>
                  </w:r>
                  <w:r>
                    <w:rPr>
                      <w:rFonts w:hint="eastAsia" w:cs="Times New Roman"/>
                      <w:b w:val="0"/>
                      <w:bCs/>
                      <w:color w:val="000000"/>
                      <w:sz w:val="21"/>
                      <w:szCs w:val="21"/>
                      <w:u w:val="none"/>
                      <w:lang w:val="en-US" w:eastAsia="zh-CN"/>
                    </w:rPr>
                    <w:t>。</w:t>
                  </w:r>
                </w:p>
              </w:tc>
              <w:tc>
                <w:tcPr>
                  <w:tcW w:w="1891" w:type="dxa"/>
                  <w:noWrap w:val="0"/>
                  <w:vAlign w:val="center"/>
                </w:tcPr>
                <w:p w14:paraId="7E0BD98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本项目不涉及。</w:t>
                  </w:r>
                </w:p>
              </w:tc>
              <w:tc>
                <w:tcPr>
                  <w:tcW w:w="651" w:type="dxa"/>
                  <w:noWrap w:val="0"/>
                  <w:vAlign w:val="center"/>
                </w:tcPr>
                <w:p w14:paraId="4B9EA32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w:t>
                  </w:r>
                </w:p>
              </w:tc>
            </w:tr>
            <w:tr w14:paraId="66867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vMerge w:val="continue"/>
                  <w:noWrap w:val="0"/>
                  <w:vAlign w:val="center"/>
                </w:tcPr>
                <w:p w14:paraId="7559045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p>
              </w:tc>
              <w:tc>
                <w:tcPr>
                  <w:tcW w:w="730" w:type="dxa"/>
                  <w:vMerge w:val="continue"/>
                  <w:noWrap w:val="0"/>
                  <w:vAlign w:val="center"/>
                </w:tcPr>
                <w:p w14:paraId="7D27141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p>
              </w:tc>
              <w:tc>
                <w:tcPr>
                  <w:tcW w:w="3763" w:type="dxa"/>
                  <w:noWrap w:val="0"/>
                  <w:vAlign w:val="center"/>
                </w:tcPr>
                <w:p w14:paraId="2927091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氨逃逸排放浓度不高于8mg/m</w:t>
                  </w:r>
                  <w:r>
                    <w:rPr>
                      <w:rFonts w:hint="eastAsia" w:ascii="Times New Roman" w:hAnsi="Times New Roman" w:eastAsia="宋体" w:cs="Times New Roman"/>
                      <w:b w:val="0"/>
                      <w:bCs/>
                      <w:color w:val="000000"/>
                      <w:sz w:val="21"/>
                      <w:szCs w:val="21"/>
                      <w:u w:val="none"/>
                      <w:vertAlign w:val="superscript"/>
                      <w:lang w:val="en-US" w:eastAsia="zh-CN"/>
                    </w:rPr>
                    <w:t>3</w:t>
                  </w:r>
                  <w:r>
                    <w:rPr>
                      <w:rFonts w:hint="eastAsia" w:ascii="Times New Roman" w:hAnsi="Times New Roman" w:eastAsia="宋体" w:cs="Times New Roman"/>
                      <w:b w:val="0"/>
                      <w:bCs/>
                      <w:color w:val="000000"/>
                      <w:sz w:val="21"/>
                      <w:szCs w:val="21"/>
                      <w:u w:val="none"/>
                      <w:lang w:val="en-US" w:eastAsia="zh-CN"/>
                    </w:rPr>
                    <w:t>（使用氨水、尿素作还原剂）</w:t>
                  </w:r>
                  <w:r>
                    <w:rPr>
                      <w:rFonts w:hint="eastAsia" w:cs="Times New Roman"/>
                      <w:b w:val="0"/>
                      <w:bCs/>
                      <w:color w:val="000000"/>
                      <w:sz w:val="21"/>
                      <w:szCs w:val="21"/>
                      <w:u w:val="none"/>
                      <w:lang w:val="en-US" w:eastAsia="zh-CN"/>
                    </w:rPr>
                    <w:t>。</w:t>
                  </w:r>
                </w:p>
              </w:tc>
              <w:tc>
                <w:tcPr>
                  <w:tcW w:w="1891" w:type="dxa"/>
                  <w:noWrap w:val="0"/>
                  <w:vAlign w:val="center"/>
                </w:tcPr>
                <w:p w14:paraId="01AC7AA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本项目不涉及。</w:t>
                  </w:r>
                </w:p>
              </w:tc>
              <w:tc>
                <w:tcPr>
                  <w:tcW w:w="651" w:type="dxa"/>
                  <w:noWrap w:val="0"/>
                  <w:vAlign w:val="center"/>
                </w:tcPr>
                <w:p w14:paraId="28670D0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w:t>
                  </w:r>
                </w:p>
              </w:tc>
            </w:tr>
            <w:tr w14:paraId="17C9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vMerge w:val="continue"/>
                  <w:noWrap w:val="0"/>
                  <w:vAlign w:val="center"/>
                </w:tcPr>
                <w:p w14:paraId="12F5B9B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p>
              </w:tc>
              <w:tc>
                <w:tcPr>
                  <w:tcW w:w="730" w:type="dxa"/>
                  <w:noWrap w:val="0"/>
                  <w:vAlign w:val="center"/>
                </w:tcPr>
                <w:p w14:paraId="5AC44F50">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加热炉、热处理炉、干燥炉</w:t>
                  </w:r>
                </w:p>
              </w:tc>
              <w:tc>
                <w:tcPr>
                  <w:tcW w:w="3763" w:type="dxa"/>
                  <w:noWrap w:val="0"/>
                  <w:vAlign w:val="center"/>
                </w:tcPr>
                <w:p w14:paraId="34BB441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 xml:space="preserve">PM、SO2、NOx 排放浓度分别不高于： </w:t>
                  </w:r>
                </w:p>
                <w:p w14:paraId="504DBFF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电窑：10 mg/m</w:t>
                  </w:r>
                  <w:r>
                    <w:rPr>
                      <w:rFonts w:hint="eastAsia" w:ascii="Times New Roman" w:hAnsi="Times New Roman" w:eastAsia="宋体" w:cs="Times New Roman"/>
                      <w:b w:val="0"/>
                      <w:bCs/>
                      <w:color w:val="000000"/>
                      <w:sz w:val="21"/>
                      <w:szCs w:val="21"/>
                      <w:u w:val="none"/>
                      <w:vertAlign w:val="superscript"/>
                      <w:lang w:val="en-US" w:eastAsia="zh-CN"/>
                    </w:rPr>
                    <w:t>3</w:t>
                  </w:r>
                  <w:r>
                    <w:rPr>
                      <w:rFonts w:hint="eastAsia" w:ascii="Times New Roman" w:hAnsi="Times New Roman" w:eastAsia="宋体" w:cs="Times New Roman"/>
                      <w:b w:val="0"/>
                      <w:bCs/>
                      <w:color w:val="000000"/>
                      <w:sz w:val="21"/>
                      <w:szCs w:val="21"/>
                      <w:u w:val="none"/>
                      <w:lang w:val="en-US" w:eastAsia="zh-CN"/>
                    </w:rPr>
                    <w:t>（PM）</w:t>
                  </w:r>
                  <w:r>
                    <w:rPr>
                      <w:rFonts w:hint="eastAsia" w:cs="Times New Roman"/>
                      <w:b w:val="0"/>
                      <w:bCs/>
                      <w:color w:val="000000"/>
                      <w:sz w:val="21"/>
                      <w:szCs w:val="21"/>
                      <w:u w:val="none"/>
                      <w:lang w:val="en-US" w:eastAsia="zh-CN"/>
                    </w:rPr>
                    <w:t>；</w:t>
                  </w:r>
                </w:p>
                <w:p w14:paraId="78802B2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燃气：10、35、50mg/m</w:t>
                  </w:r>
                  <w:r>
                    <w:rPr>
                      <w:rFonts w:hint="eastAsia" w:ascii="Times New Roman" w:hAnsi="Times New Roman" w:eastAsia="宋体" w:cs="Times New Roman"/>
                      <w:b w:val="0"/>
                      <w:bCs/>
                      <w:color w:val="000000"/>
                      <w:sz w:val="21"/>
                      <w:szCs w:val="21"/>
                      <w:u w:val="none"/>
                      <w:vertAlign w:val="superscript"/>
                      <w:lang w:val="en-US" w:eastAsia="zh-CN"/>
                    </w:rPr>
                    <w:t>3</w:t>
                  </w:r>
                  <w:r>
                    <w:rPr>
                      <w:rFonts w:hint="eastAsia" w:cs="Times New Roman"/>
                      <w:b w:val="0"/>
                      <w:bCs/>
                      <w:color w:val="000000"/>
                      <w:sz w:val="21"/>
                      <w:szCs w:val="21"/>
                      <w:u w:val="none"/>
                      <w:vertAlign w:val="superscript"/>
                      <w:lang w:val="en-US" w:eastAsia="zh-CN"/>
                    </w:rPr>
                    <w:t>；</w:t>
                  </w:r>
                </w:p>
                <w:p w14:paraId="5158C6F4">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（基准含氧量：燃气 3.5%，电窑和因工艺需要掺入空气/非密闭式生产的按实测浓度计）</w:t>
                  </w:r>
                  <w:r>
                    <w:rPr>
                      <w:rFonts w:hint="eastAsia" w:cs="Times New Roman"/>
                      <w:b w:val="0"/>
                      <w:bCs/>
                      <w:color w:val="000000"/>
                      <w:sz w:val="21"/>
                      <w:szCs w:val="21"/>
                      <w:u w:val="none"/>
                      <w:lang w:val="en-US" w:eastAsia="zh-CN"/>
                    </w:rPr>
                    <w:t>。</w:t>
                  </w:r>
                </w:p>
              </w:tc>
              <w:tc>
                <w:tcPr>
                  <w:tcW w:w="1891" w:type="dxa"/>
                  <w:noWrap w:val="0"/>
                  <w:vAlign w:val="center"/>
                </w:tcPr>
                <w:p w14:paraId="5E782C8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本项目</w:t>
                  </w:r>
                  <w:r>
                    <w:rPr>
                      <w:rFonts w:hint="eastAsia"/>
                      <w:snapToGrid w:val="0"/>
                      <w:color w:val="000000"/>
                      <w:sz w:val="21"/>
                      <w:szCs w:val="21"/>
                      <w:lang w:eastAsia="zh-CN"/>
                    </w:rPr>
                    <w:t>退火炉使用电加热，退火原料无油污，不涉及</w:t>
                  </w:r>
                  <w:r>
                    <w:rPr>
                      <w:rFonts w:hint="eastAsia" w:ascii="Times New Roman" w:hAnsi="Times New Roman" w:eastAsia="宋体" w:cs="Times New Roman"/>
                      <w:b w:val="0"/>
                      <w:bCs/>
                      <w:color w:val="000000"/>
                      <w:sz w:val="21"/>
                      <w:szCs w:val="21"/>
                      <w:u w:val="none"/>
                      <w:lang w:val="en-US" w:eastAsia="zh-CN"/>
                    </w:rPr>
                    <w:t>VOCs、PM、SO</w:t>
                  </w:r>
                  <w:r>
                    <w:rPr>
                      <w:rFonts w:hint="eastAsia" w:ascii="Times New Roman" w:hAnsi="Times New Roman" w:eastAsia="宋体" w:cs="Times New Roman"/>
                      <w:b w:val="0"/>
                      <w:bCs/>
                      <w:color w:val="000000"/>
                      <w:sz w:val="21"/>
                      <w:szCs w:val="21"/>
                      <w:u w:val="none"/>
                      <w:vertAlign w:val="subscript"/>
                      <w:lang w:val="en-US" w:eastAsia="zh-CN"/>
                    </w:rPr>
                    <w:t>2</w:t>
                  </w:r>
                  <w:r>
                    <w:rPr>
                      <w:rFonts w:hint="eastAsia" w:ascii="Times New Roman" w:hAnsi="Times New Roman" w:eastAsia="宋体" w:cs="Times New Roman"/>
                      <w:b w:val="0"/>
                      <w:bCs/>
                      <w:color w:val="000000"/>
                      <w:sz w:val="21"/>
                      <w:szCs w:val="21"/>
                      <w:u w:val="none"/>
                      <w:lang w:val="en-US" w:eastAsia="zh-CN"/>
                    </w:rPr>
                    <w:t>、NO</w:t>
                  </w:r>
                  <w:r>
                    <w:rPr>
                      <w:rFonts w:hint="eastAsia" w:ascii="Times New Roman" w:hAnsi="Times New Roman" w:eastAsia="宋体" w:cs="Times New Roman"/>
                      <w:b w:val="0"/>
                      <w:bCs/>
                      <w:color w:val="000000"/>
                      <w:sz w:val="21"/>
                      <w:szCs w:val="21"/>
                      <w:u w:val="none"/>
                      <w:vertAlign w:val="subscript"/>
                      <w:lang w:val="en-US" w:eastAsia="zh-CN"/>
                    </w:rPr>
                    <w:t>X</w:t>
                  </w:r>
                  <w:r>
                    <w:rPr>
                      <w:rFonts w:hint="eastAsia" w:ascii="Times New Roman" w:hAnsi="Times New Roman" w:eastAsia="宋体" w:cs="Times New Roman"/>
                      <w:b w:val="0"/>
                      <w:bCs/>
                      <w:color w:val="000000"/>
                      <w:sz w:val="21"/>
                      <w:szCs w:val="21"/>
                      <w:u w:val="none"/>
                      <w:lang w:val="en-US" w:eastAsia="zh-CN"/>
                    </w:rPr>
                    <w:t>产排。</w:t>
                  </w:r>
                </w:p>
              </w:tc>
              <w:tc>
                <w:tcPr>
                  <w:tcW w:w="651" w:type="dxa"/>
                  <w:noWrap w:val="0"/>
                  <w:vAlign w:val="center"/>
                </w:tcPr>
                <w:p w14:paraId="0222167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w:t>
                  </w:r>
                </w:p>
              </w:tc>
            </w:tr>
            <w:tr w14:paraId="496AB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vMerge w:val="continue"/>
                  <w:noWrap w:val="0"/>
                  <w:vAlign w:val="center"/>
                </w:tcPr>
                <w:p w14:paraId="75B323E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p>
              </w:tc>
              <w:tc>
                <w:tcPr>
                  <w:tcW w:w="730" w:type="dxa"/>
                  <w:noWrap w:val="0"/>
                  <w:vAlign w:val="center"/>
                </w:tcPr>
                <w:p w14:paraId="36E2A4C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其他炉窑</w:t>
                  </w:r>
                </w:p>
              </w:tc>
              <w:tc>
                <w:tcPr>
                  <w:tcW w:w="3763" w:type="dxa"/>
                  <w:noWrap w:val="0"/>
                  <w:vAlign w:val="center"/>
                </w:tcPr>
                <w:p w14:paraId="0BBD783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PM、SO</w:t>
                  </w:r>
                  <w:r>
                    <w:rPr>
                      <w:rFonts w:hint="eastAsia" w:ascii="Times New Roman" w:hAnsi="Times New Roman" w:eastAsia="宋体" w:cs="Times New Roman"/>
                      <w:b w:val="0"/>
                      <w:bCs/>
                      <w:color w:val="000000"/>
                      <w:sz w:val="21"/>
                      <w:szCs w:val="21"/>
                      <w:u w:val="none"/>
                      <w:vertAlign w:val="subscript"/>
                      <w:lang w:val="en-US" w:eastAsia="zh-CN"/>
                    </w:rPr>
                    <w:t>2</w:t>
                  </w:r>
                  <w:r>
                    <w:rPr>
                      <w:rFonts w:hint="eastAsia" w:ascii="Times New Roman" w:hAnsi="Times New Roman" w:eastAsia="宋体" w:cs="Times New Roman"/>
                      <w:b w:val="0"/>
                      <w:bCs/>
                      <w:color w:val="000000"/>
                      <w:sz w:val="21"/>
                      <w:szCs w:val="21"/>
                      <w:u w:val="none"/>
                      <w:lang w:val="en-US" w:eastAsia="zh-CN"/>
                    </w:rPr>
                    <w:t>、NOx排放浓度分别不高于 10、50、100mg/m</w:t>
                  </w:r>
                  <w:r>
                    <w:rPr>
                      <w:rFonts w:hint="eastAsia" w:ascii="Times New Roman" w:hAnsi="Times New Roman" w:eastAsia="宋体" w:cs="Times New Roman"/>
                      <w:b w:val="0"/>
                      <w:bCs/>
                      <w:color w:val="000000"/>
                      <w:sz w:val="21"/>
                      <w:szCs w:val="21"/>
                      <w:u w:val="none"/>
                      <w:vertAlign w:val="superscript"/>
                      <w:lang w:val="en-US" w:eastAsia="zh-CN"/>
                    </w:rPr>
                    <w:t>3</w:t>
                  </w:r>
                  <w:r>
                    <w:rPr>
                      <w:rFonts w:hint="eastAsia" w:ascii="Times New Roman" w:hAnsi="Times New Roman" w:eastAsia="宋体" w:cs="Times New Roman"/>
                      <w:b w:val="0"/>
                      <w:bCs/>
                      <w:color w:val="000000"/>
                      <w:sz w:val="21"/>
                      <w:szCs w:val="21"/>
                      <w:u w:val="none"/>
                      <w:lang w:val="en-US" w:eastAsia="zh-CN"/>
                    </w:rPr>
                    <w:t>（基准含氧量：9%）</w:t>
                  </w:r>
                  <w:r>
                    <w:rPr>
                      <w:rFonts w:hint="eastAsia" w:cs="Times New Roman"/>
                      <w:b w:val="0"/>
                      <w:bCs/>
                      <w:color w:val="000000"/>
                      <w:sz w:val="21"/>
                      <w:szCs w:val="21"/>
                      <w:u w:val="none"/>
                      <w:lang w:val="en-US" w:eastAsia="zh-CN"/>
                    </w:rPr>
                    <w:t>。</w:t>
                  </w:r>
                </w:p>
              </w:tc>
              <w:tc>
                <w:tcPr>
                  <w:tcW w:w="1891" w:type="dxa"/>
                  <w:noWrap w:val="0"/>
                  <w:vAlign w:val="center"/>
                </w:tcPr>
                <w:p w14:paraId="49326182">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本项目不涉及。</w:t>
                  </w:r>
                </w:p>
              </w:tc>
              <w:tc>
                <w:tcPr>
                  <w:tcW w:w="651" w:type="dxa"/>
                  <w:noWrap w:val="0"/>
                  <w:vAlign w:val="center"/>
                </w:tcPr>
                <w:p w14:paraId="46CE287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w:t>
                  </w:r>
                </w:p>
              </w:tc>
            </w:tr>
            <w:tr w14:paraId="28BAF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41" w:type="dxa"/>
                  <w:vMerge w:val="continue"/>
                  <w:noWrap w:val="0"/>
                  <w:vAlign w:val="center"/>
                </w:tcPr>
                <w:p w14:paraId="6CF53CDF">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p>
              </w:tc>
              <w:tc>
                <w:tcPr>
                  <w:tcW w:w="730" w:type="dxa"/>
                  <w:noWrap w:val="0"/>
                  <w:vAlign w:val="center"/>
                </w:tcPr>
                <w:p w14:paraId="69D5C49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其他工序</w:t>
                  </w:r>
                </w:p>
              </w:tc>
              <w:tc>
                <w:tcPr>
                  <w:tcW w:w="3763" w:type="dxa"/>
                  <w:noWrap w:val="0"/>
                  <w:vAlign w:val="center"/>
                </w:tcPr>
                <w:p w14:paraId="77AB590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PM 排放浓度不高于10mg/m</w:t>
                  </w:r>
                  <w:r>
                    <w:rPr>
                      <w:rFonts w:hint="eastAsia" w:ascii="Times New Roman" w:hAnsi="Times New Roman" w:eastAsia="宋体" w:cs="Times New Roman"/>
                      <w:b w:val="0"/>
                      <w:bCs/>
                      <w:color w:val="000000"/>
                      <w:sz w:val="21"/>
                      <w:szCs w:val="21"/>
                      <w:u w:val="none"/>
                      <w:vertAlign w:val="superscript"/>
                      <w:lang w:val="en-US" w:eastAsia="zh-CN"/>
                    </w:rPr>
                    <w:t>3</w:t>
                  </w:r>
                  <w:r>
                    <w:rPr>
                      <w:rFonts w:hint="eastAsia" w:cs="Times New Roman"/>
                      <w:b w:val="0"/>
                      <w:bCs/>
                      <w:color w:val="000000"/>
                      <w:sz w:val="21"/>
                      <w:szCs w:val="21"/>
                      <w:u w:val="none"/>
                      <w:vertAlign w:val="baseline"/>
                      <w:lang w:val="en-US" w:eastAsia="zh-CN"/>
                    </w:rPr>
                    <w:t>。</w:t>
                  </w:r>
                </w:p>
              </w:tc>
              <w:tc>
                <w:tcPr>
                  <w:tcW w:w="1891" w:type="dxa"/>
                  <w:noWrap w:val="0"/>
                  <w:vAlign w:val="center"/>
                </w:tcPr>
                <w:p w14:paraId="298CFE4B">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本项目不涉及。</w:t>
                  </w:r>
                </w:p>
              </w:tc>
              <w:tc>
                <w:tcPr>
                  <w:tcW w:w="651" w:type="dxa"/>
                  <w:noWrap w:val="0"/>
                  <w:vAlign w:val="center"/>
                </w:tcPr>
                <w:p w14:paraId="10AC09D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w:t>
                  </w:r>
                </w:p>
              </w:tc>
            </w:tr>
            <w:tr w14:paraId="4CDB7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71" w:type="dxa"/>
                  <w:gridSpan w:val="2"/>
                  <w:noWrap w:val="0"/>
                  <w:vAlign w:val="center"/>
                </w:tcPr>
                <w:p w14:paraId="571B85F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监测监控水平</w:t>
                  </w:r>
                </w:p>
              </w:tc>
              <w:tc>
                <w:tcPr>
                  <w:tcW w:w="3763" w:type="dxa"/>
                  <w:noWrap w:val="0"/>
                  <w:vAlign w:val="center"/>
                </w:tcPr>
                <w:p w14:paraId="20C6711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重点排污企业主要排放口</w:t>
                  </w:r>
                  <w:r>
                    <w:rPr>
                      <w:rFonts w:hint="eastAsia" w:ascii="Times New Roman" w:hAnsi="Times New Roman" w:eastAsia="宋体" w:cs="Times New Roman"/>
                      <w:b w:val="0"/>
                      <w:bCs/>
                      <w:color w:val="000000"/>
                      <w:sz w:val="21"/>
                      <w:szCs w:val="21"/>
                      <w:u w:val="none"/>
                      <w:vertAlign w:val="superscript"/>
                      <w:lang w:val="en-US" w:eastAsia="zh-CN"/>
                    </w:rPr>
                    <w:t>【6】</w:t>
                  </w:r>
                  <w:r>
                    <w:rPr>
                      <w:rFonts w:hint="eastAsia" w:ascii="Times New Roman" w:hAnsi="Times New Roman" w:eastAsia="宋体" w:cs="Times New Roman"/>
                      <w:b w:val="0"/>
                      <w:bCs/>
                      <w:color w:val="000000"/>
                      <w:sz w:val="21"/>
                      <w:szCs w:val="21"/>
                      <w:u w:val="none"/>
                      <w:lang w:val="en-US" w:eastAsia="zh-CN"/>
                    </w:rPr>
                    <w:t>安装CEMS，记录生产设施运行情况，并按要求与省厅联网；CEMS数据至少保存最近12个月的1分钟均值、36个月的1小时均值及60个月的日均值和月均值。（投产或安装时间不满一年以上的企业，以现有数据为准）。</w:t>
                  </w:r>
                </w:p>
              </w:tc>
              <w:tc>
                <w:tcPr>
                  <w:tcW w:w="1891" w:type="dxa"/>
                  <w:noWrap w:val="0"/>
                  <w:vAlign w:val="center"/>
                </w:tcPr>
                <w:p w14:paraId="5D7101C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企业不属于重点排污企业。</w:t>
                  </w:r>
                </w:p>
              </w:tc>
              <w:tc>
                <w:tcPr>
                  <w:tcW w:w="651" w:type="dxa"/>
                  <w:noWrap w:val="0"/>
                  <w:vAlign w:val="center"/>
                </w:tcPr>
                <w:p w14:paraId="1F072D4D">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center"/>
                    <w:textAlignment w:val="auto"/>
                    <w:rPr>
                      <w:rFonts w:hint="eastAsia" w:ascii="Times New Roman" w:hAnsi="Times New Roman" w:eastAsia="宋体" w:cs="Times New Roman"/>
                      <w:b w:val="0"/>
                      <w:bCs/>
                      <w:color w:val="000000"/>
                      <w:sz w:val="21"/>
                      <w:szCs w:val="21"/>
                      <w:u w:val="none"/>
                      <w:lang w:val="en-US" w:eastAsia="zh-CN"/>
                    </w:rPr>
                  </w:pPr>
                  <w:r>
                    <w:rPr>
                      <w:rFonts w:hint="eastAsia" w:ascii="Times New Roman" w:hAnsi="Times New Roman" w:eastAsia="宋体" w:cs="Times New Roman"/>
                      <w:b w:val="0"/>
                      <w:bCs/>
                      <w:color w:val="000000"/>
                      <w:sz w:val="21"/>
                      <w:szCs w:val="21"/>
                      <w:u w:val="none"/>
                      <w:lang w:val="en-US" w:eastAsia="zh-CN"/>
                    </w:rPr>
                    <w:t>/</w:t>
                  </w:r>
                </w:p>
              </w:tc>
            </w:tr>
          </w:tbl>
          <w:p w14:paraId="3D95F4B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520" w:lineRule="exact"/>
              <w:ind w:left="0" w:right="0" w:rightChars="0" w:firstLine="480" w:firstLineChars="200"/>
              <w:jc w:val="both"/>
              <w:textAlignment w:val="auto"/>
              <w:rPr>
                <w:rFonts w:hint="eastAsia" w:ascii="Times New Roman" w:hAnsi="Times New Roman" w:cs="Times New Roman"/>
                <w:b/>
                <w:color w:val="auto"/>
                <w:spacing w:val="0"/>
                <w:kern w:val="0"/>
                <w:sz w:val="24"/>
                <w:szCs w:val="24"/>
                <w:lang w:val="en-US" w:eastAsia="zh-CN"/>
              </w:rPr>
            </w:pPr>
            <w:r>
              <w:rPr>
                <w:rFonts w:hint="eastAsia" w:ascii="Times New Roman" w:hAnsi="Times New Roman" w:eastAsia="宋体" w:cs="Times New Roman"/>
                <w:color w:val="000000"/>
                <w:sz w:val="24"/>
                <w:szCs w:val="24"/>
                <w:lang w:val="en-US" w:eastAsia="zh-CN"/>
              </w:rPr>
              <w:t>由以上分析可知，本项目建成后可满足《河南省重污染天气通用行业应急减排措施制定技术指南（2024年修订稿）》中“涉锅炉/炉窑企业”的A级</w:t>
            </w:r>
            <w:r>
              <w:rPr>
                <w:rFonts w:hint="default" w:ascii="Times New Roman" w:hAnsi="Times New Roman" w:eastAsia="宋体" w:cs="Times New Roman"/>
                <w:color w:val="000000"/>
                <w:sz w:val="24"/>
                <w:szCs w:val="24"/>
                <w:lang w:val="pt-BR" w:eastAsia="zh-CN"/>
              </w:rPr>
              <w:t>绩效指标</w:t>
            </w:r>
            <w:r>
              <w:rPr>
                <w:rFonts w:hint="eastAsia" w:ascii="Times New Roman" w:hAnsi="Times New Roman" w:eastAsia="宋体" w:cs="Times New Roman"/>
                <w:color w:val="000000"/>
                <w:sz w:val="24"/>
                <w:szCs w:val="24"/>
                <w:lang w:val="en-US" w:eastAsia="zh-CN"/>
              </w:rPr>
              <w:t>要求。</w:t>
            </w:r>
          </w:p>
          <w:p w14:paraId="1E69169C">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leftChars="0" w:right="0" w:rightChars="0" w:firstLine="482" w:firstLineChars="200"/>
              <w:textAlignment w:val="auto"/>
              <w:rPr>
                <w:rFonts w:hint="default" w:ascii="Times New Roman" w:hAnsi="Times New Roman" w:eastAsia="黑体" w:cs="Times New Roman"/>
                <w:color w:val="auto"/>
                <w:spacing w:val="0"/>
                <w:sz w:val="24"/>
              </w:rPr>
            </w:pPr>
            <w:r>
              <w:rPr>
                <w:rFonts w:hint="eastAsia" w:cs="Times New Roman"/>
                <w:b/>
                <w:bCs/>
                <w:color w:val="auto"/>
                <w:spacing w:val="0"/>
                <w:sz w:val="24"/>
                <w:szCs w:val="32"/>
                <w:lang w:val="en-US" w:eastAsia="zh-CN"/>
              </w:rPr>
              <w:t>9、与河南省生态环境保护委员会办公室关于印发《河南省2026年蓝天保卫战实施方案》</w:t>
            </w:r>
            <w:r>
              <w:rPr>
                <w:rFonts w:hint="eastAsia" w:cs="Times New Roman"/>
                <w:b/>
                <w:bCs/>
                <w:color w:val="000000" w:themeColor="text1"/>
                <w:spacing w:val="0"/>
                <w:sz w:val="24"/>
                <w:szCs w:val="32"/>
                <w:lang w:val="en-US" w:eastAsia="zh-CN"/>
                <w14:textFill>
                  <w14:solidFill>
                    <w14:schemeClr w14:val="tx1"/>
                  </w14:solidFill>
                </w14:textFill>
              </w:rPr>
              <w:t>（豫环委办[2026]1号）、《河南省2026年碧水保卫战实施方案》（豫环委办〔2026〕4号）、《河南省2026年净土保卫战实施方案》（豫环委办[2026]6号）的通</w:t>
            </w:r>
            <w:r>
              <w:rPr>
                <w:rFonts w:hint="eastAsia" w:cs="Times New Roman"/>
                <w:b/>
                <w:bCs/>
                <w:color w:val="auto"/>
                <w:spacing w:val="0"/>
                <w:sz w:val="24"/>
                <w:szCs w:val="32"/>
                <w:lang w:val="en-US" w:eastAsia="zh-CN"/>
              </w:rPr>
              <w:t>知的相符性分析</w:t>
            </w:r>
          </w:p>
          <w:p w14:paraId="345DF296">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黑体" w:cs="Times New Roman"/>
                <w:color w:val="auto"/>
                <w:spacing w:val="0"/>
                <w:sz w:val="24"/>
              </w:rPr>
            </w:pPr>
            <w:r>
              <w:rPr>
                <w:rFonts w:hint="default" w:ascii="Times New Roman" w:hAnsi="Times New Roman" w:eastAsia="黑体" w:cs="Times New Roman"/>
                <w:color w:val="auto"/>
                <w:spacing w:val="0"/>
                <w:sz w:val="24"/>
              </w:rPr>
              <w:t>表</w:t>
            </w:r>
            <w:r>
              <w:rPr>
                <w:rFonts w:hint="default" w:ascii="Times New Roman" w:hAnsi="Times New Roman" w:eastAsia="黑体" w:cs="Times New Roman"/>
                <w:color w:val="auto"/>
                <w:spacing w:val="0"/>
                <w:sz w:val="24"/>
                <w:lang w:val="en-US" w:eastAsia="zh-CN"/>
              </w:rPr>
              <w:t>1-</w:t>
            </w:r>
            <w:r>
              <w:rPr>
                <w:rFonts w:hint="eastAsia" w:eastAsia="黑体" w:cs="Times New Roman"/>
                <w:color w:val="auto"/>
                <w:spacing w:val="0"/>
                <w:sz w:val="24"/>
                <w:lang w:val="en-US" w:eastAsia="zh-CN"/>
              </w:rPr>
              <w:t>8</w:t>
            </w:r>
            <w:r>
              <w:rPr>
                <w:rFonts w:hint="default" w:ascii="Times New Roman" w:hAnsi="Times New Roman" w:eastAsia="黑体" w:cs="Times New Roman"/>
                <w:color w:val="auto"/>
                <w:spacing w:val="0"/>
                <w:sz w:val="24"/>
              </w:rPr>
              <w:t xml:space="preserve">    </w:t>
            </w:r>
            <w:r>
              <w:rPr>
                <w:rFonts w:hint="eastAsia" w:eastAsia="黑体" w:cs="Times New Roman"/>
                <w:color w:val="auto"/>
                <w:spacing w:val="0"/>
                <w:sz w:val="24"/>
                <w:lang w:val="en-US" w:eastAsia="zh-CN"/>
              </w:rPr>
              <w:t xml:space="preserve">  </w:t>
            </w:r>
            <w:r>
              <w:rPr>
                <w:rFonts w:hint="default" w:ascii="Times New Roman" w:hAnsi="Times New Roman" w:eastAsia="黑体" w:cs="Times New Roman"/>
                <w:color w:val="auto"/>
                <w:spacing w:val="0"/>
                <w:sz w:val="24"/>
              </w:rPr>
              <w:t>与</w:t>
            </w:r>
            <w:r>
              <w:rPr>
                <w:rFonts w:hint="eastAsia" w:eastAsia="黑体" w:cs="Times New Roman"/>
                <w:color w:val="auto"/>
                <w:spacing w:val="0"/>
                <w:sz w:val="24"/>
                <w:lang w:val="en-US" w:eastAsia="zh-CN"/>
              </w:rPr>
              <w:t>《</w:t>
            </w:r>
            <w:r>
              <w:rPr>
                <w:rFonts w:hint="eastAsia" w:cs="Times New Roman"/>
                <w:b/>
                <w:bCs/>
                <w:color w:val="auto"/>
                <w:spacing w:val="0"/>
                <w:sz w:val="24"/>
                <w:szCs w:val="32"/>
                <w:lang w:val="en-US" w:eastAsia="zh-CN"/>
              </w:rPr>
              <w:t>河南省2026年实施方案</w:t>
            </w:r>
            <w:r>
              <w:rPr>
                <w:rFonts w:hint="eastAsia" w:eastAsia="黑体" w:cs="Times New Roman"/>
                <w:color w:val="auto"/>
                <w:spacing w:val="0"/>
                <w:sz w:val="24"/>
                <w:lang w:val="en-US" w:eastAsia="zh-CN"/>
              </w:rPr>
              <w:t>》</w:t>
            </w:r>
            <w:r>
              <w:rPr>
                <w:rFonts w:hint="default" w:ascii="Times New Roman" w:hAnsi="Times New Roman" w:eastAsia="黑体" w:cs="Times New Roman"/>
                <w:color w:val="auto"/>
                <w:spacing w:val="0"/>
                <w:sz w:val="24"/>
                <w:lang w:val="en-US" w:eastAsia="zh-CN"/>
              </w:rPr>
              <w:t>号</w:t>
            </w:r>
            <w:r>
              <w:rPr>
                <w:rFonts w:hint="default" w:ascii="Times New Roman" w:hAnsi="Times New Roman" w:eastAsia="黑体" w:cs="Times New Roman"/>
                <w:color w:val="auto"/>
                <w:spacing w:val="0"/>
                <w:sz w:val="24"/>
              </w:rPr>
              <w:t>对比</w:t>
            </w:r>
            <w:r>
              <w:rPr>
                <w:rFonts w:hint="default" w:ascii="Times New Roman" w:hAnsi="Times New Roman" w:eastAsia="黑体" w:cs="Times New Roman"/>
                <w:color w:val="auto"/>
                <w:spacing w:val="0"/>
                <w:sz w:val="24"/>
                <w:lang w:eastAsia="zh-CN"/>
              </w:rPr>
              <w:t>分析一览</w:t>
            </w:r>
            <w:r>
              <w:rPr>
                <w:rFonts w:hint="default" w:ascii="Times New Roman" w:hAnsi="Times New Roman" w:eastAsia="黑体" w:cs="Times New Roman"/>
                <w:color w:val="auto"/>
                <w:spacing w:val="0"/>
                <w:sz w:val="24"/>
              </w:rPr>
              <w:t>表</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7"/>
              <w:gridCol w:w="1987"/>
              <w:gridCol w:w="791"/>
            </w:tblGrid>
            <w:tr w14:paraId="4F3E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917" w:type="dxa"/>
                  <w:noWrap w:val="0"/>
                  <w:vAlign w:val="center"/>
                </w:tcPr>
                <w:p w14:paraId="14510C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pP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与本项目相关条文</w:t>
                  </w:r>
                </w:p>
              </w:tc>
              <w:tc>
                <w:tcPr>
                  <w:tcW w:w="1987" w:type="dxa"/>
                  <w:noWrap w:val="0"/>
                  <w:vAlign w:val="center"/>
                </w:tcPr>
                <w:p w14:paraId="0B970F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pP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本项目情况</w:t>
                  </w:r>
                </w:p>
              </w:tc>
              <w:tc>
                <w:tcPr>
                  <w:tcW w:w="791" w:type="dxa"/>
                  <w:noWrap w:val="0"/>
                  <w:vAlign w:val="center"/>
                </w:tcPr>
                <w:p w14:paraId="4EC6D1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pP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对比结果</w:t>
                  </w:r>
                </w:p>
              </w:tc>
            </w:tr>
            <w:tr w14:paraId="10CE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695" w:type="dxa"/>
                  <w:gridSpan w:val="3"/>
                  <w:noWrap w:val="0"/>
                  <w:vAlign w:val="center"/>
                </w:tcPr>
                <w:p w14:paraId="1DB424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bCs/>
                      <w:color w:val="000000" w:themeColor="text1"/>
                      <w:spacing w:val="0"/>
                      <w:sz w:val="21"/>
                      <w:szCs w:val="21"/>
                      <w:lang w:eastAsia="zh-CN"/>
                      <w14:textFill>
                        <w14:solidFill>
                          <w14:schemeClr w14:val="tx1"/>
                        </w14:solidFill>
                      </w14:textFill>
                    </w:rPr>
                    <w:t>《</w:t>
                  </w:r>
                  <w:r>
                    <w:rPr>
                      <w:rFonts w:hint="default" w:ascii="Times New Roman" w:hAnsi="Times New Roman" w:eastAsia="宋体" w:cs="Times New Roman"/>
                      <w:b/>
                      <w:bCs/>
                      <w:color w:val="000000" w:themeColor="text1"/>
                      <w:spacing w:val="0"/>
                      <w:sz w:val="21"/>
                      <w:szCs w:val="21"/>
                      <w14:textFill>
                        <w14:solidFill>
                          <w14:schemeClr w14:val="tx1"/>
                        </w14:solidFill>
                      </w14:textFill>
                    </w:rPr>
                    <w:t>河南省202</w:t>
                  </w:r>
                  <w:r>
                    <w:rPr>
                      <w:rFonts w:hint="eastAsia" w:cs="Times New Roman"/>
                      <w:b/>
                      <w:bCs/>
                      <w:color w:val="000000" w:themeColor="text1"/>
                      <w:spacing w:val="0"/>
                      <w:sz w:val="21"/>
                      <w:szCs w:val="21"/>
                      <w:lang w:val="en-US" w:eastAsia="zh-CN"/>
                      <w14:textFill>
                        <w14:solidFill>
                          <w14:schemeClr w14:val="tx1"/>
                        </w14:solidFill>
                      </w14:textFill>
                    </w:rPr>
                    <w:t>6</w:t>
                  </w:r>
                  <w:r>
                    <w:rPr>
                      <w:rFonts w:hint="default" w:ascii="Times New Roman" w:hAnsi="Times New Roman" w:eastAsia="宋体" w:cs="Times New Roman"/>
                      <w:b/>
                      <w:bCs/>
                      <w:color w:val="000000" w:themeColor="text1"/>
                      <w:spacing w:val="0"/>
                      <w:sz w:val="21"/>
                      <w:szCs w:val="21"/>
                      <w14:textFill>
                        <w14:solidFill>
                          <w14:schemeClr w14:val="tx1"/>
                        </w14:solidFill>
                      </w14:textFill>
                    </w:rPr>
                    <w:t>年蓝天保卫战实施方案</w:t>
                  </w:r>
                  <w:r>
                    <w:rPr>
                      <w:rFonts w:hint="eastAsia" w:cs="Times New Roman"/>
                      <w:b/>
                      <w:bCs/>
                      <w:color w:val="000000" w:themeColor="text1"/>
                      <w:spacing w:val="0"/>
                      <w:sz w:val="21"/>
                      <w:szCs w:val="21"/>
                      <w:lang w:eastAsia="zh-CN"/>
                      <w14:textFill>
                        <w14:solidFill>
                          <w14:schemeClr w14:val="tx1"/>
                        </w14:solidFill>
                      </w14:textFill>
                    </w:rPr>
                    <w:t>》</w:t>
                  </w:r>
                  <w:r>
                    <w:rPr>
                      <w:rFonts w:hint="eastAsia" w:cs="Times New Roman"/>
                      <w:b/>
                      <w:bCs/>
                      <w:color w:val="000000" w:themeColor="text1"/>
                      <w:spacing w:val="0"/>
                      <w:sz w:val="21"/>
                      <w:szCs w:val="21"/>
                      <w:lang w:val="en-US" w:eastAsia="zh-CN"/>
                      <w14:textFill>
                        <w14:solidFill>
                          <w14:schemeClr w14:val="tx1"/>
                        </w14:solidFill>
                      </w14:textFill>
                    </w:rPr>
                    <w:t>（豫环委办[2026]1号）</w:t>
                  </w:r>
                </w:p>
              </w:tc>
            </w:tr>
            <w:tr w14:paraId="1B54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17" w:type="dxa"/>
                  <w:shd w:val="clear" w:color="auto" w:fill="auto"/>
                  <w:noWrap w:val="0"/>
                  <w:vAlign w:val="center"/>
                </w:tcPr>
                <w:p w14:paraId="34F96F25">
                  <w:pPr>
                    <w:pStyle w:val="9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b w:val="0"/>
                      <w:bCs w:val="0"/>
                      <w:color w:val="000000" w:themeColor="text1"/>
                      <w:spacing w:val="0"/>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14.推动重点行业环境绩效创A。聚焦火电、垃圾发电、钢铁、焦化、水泥熟料、电解铝、氧化铝、平板玻璃、煤制氮肥、汽车整车制造等重点行业，建立全口径创A企业清单，修订完善环境绩效创A技术指南与标准，编制“一企一策”提升方案，从项目审批、资金奖补、差别化电价等方面给予政策激励，落实环保税减免政策、建立常态化的指导帮扶和动态调整机制。2026年12月底前，力争创建100家A级企业。</w:t>
                  </w:r>
                </w:p>
              </w:tc>
              <w:tc>
                <w:tcPr>
                  <w:tcW w:w="1987" w:type="dxa"/>
                  <w:shd w:val="clear" w:color="auto" w:fill="auto"/>
                  <w:noWrap w:val="0"/>
                  <w:vAlign w:val="center"/>
                </w:tcPr>
                <w:p w14:paraId="60348E31">
                  <w:pPr>
                    <w:pStyle w:val="9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b w:val="0"/>
                      <w:bCs w:val="0"/>
                      <w:color w:val="000000" w:themeColor="text1"/>
                      <w:spacing w:val="0"/>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本项目满足《河南省重污染天气通用行业应急减排措施制定技术指南》（2024年修订稿）</w:t>
                  </w:r>
                  <w:r>
                    <w:rPr>
                      <w:rFonts w:hint="eastAsia" w:cs="Times New Roman"/>
                      <w:b w:val="0"/>
                      <w:bCs w:val="0"/>
                      <w:color w:val="000000" w:themeColor="text1"/>
                      <w:spacing w:val="0"/>
                      <w:sz w:val="21"/>
                      <w:szCs w:val="21"/>
                      <w:lang w:val="en-US" w:eastAsia="zh-CN"/>
                      <w14:textFill>
                        <w14:solidFill>
                          <w14:schemeClr w14:val="tx1"/>
                        </w14:solidFill>
                      </w14:textFill>
                    </w:rPr>
                    <w:t>中</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涉锅炉/炉窑</w:t>
                  </w:r>
                  <w:r>
                    <w:rPr>
                      <w:rFonts w:hint="eastAsia" w:cs="Times New Roman"/>
                      <w:b w:val="0"/>
                      <w:bCs w:val="0"/>
                      <w:color w:val="000000" w:themeColor="text1"/>
                      <w:spacing w:val="0"/>
                      <w:sz w:val="21"/>
                      <w:szCs w:val="21"/>
                      <w:lang w:val="en-US" w:eastAsia="zh-CN"/>
                      <w14:textFill>
                        <w14:solidFill>
                          <w14:schemeClr w14:val="tx1"/>
                        </w14:solidFill>
                      </w14:textFill>
                    </w:rPr>
                    <w:t>A级</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企业绩效</w:t>
                  </w:r>
                  <w:r>
                    <w:rPr>
                      <w:rFonts w:hint="eastAsia" w:cs="Times New Roman"/>
                      <w:b w:val="0"/>
                      <w:bCs w:val="0"/>
                      <w:color w:val="000000" w:themeColor="text1"/>
                      <w:spacing w:val="0"/>
                      <w:sz w:val="21"/>
                      <w:szCs w:val="21"/>
                      <w:lang w:val="en-US" w:eastAsia="zh-CN"/>
                      <w14:textFill>
                        <w14:solidFill>
                          <w14:schemeClr w14:val="tx1"/>
                        </w14:solidFill>
                      </w14:textFill>
                    </w:rPr>
                    <w:t>分级</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指标基本要求。</w:t>
                  </w:r>
                </w:p>
              </w:tc>
              <w:tc>
                <w:tcPr>
                  <w:tcW w:w="791" w:type="dxa"/>
                  <w:noWrap w:val="0"/>
                  <w:vAlign w:val="center"/>
                </w:tcPr>
                <w:p w14:paraId="33D4E4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val="0"/>
                      <w:bCs w:val="0"/>
                      <w:snapToGrid w:val="0"/>
                      <w:color w:val="000000" w:themeColor="text1"/>
                      <w:spacing w:val="0"/>
                      <w:sz w:val="21"/>
                      <w:szCs w:val="21"/>
                      <w:u w:val="none"/>
                      <w:lang w:eastAsia="zh-CN"/>
                      <w14:textFill>
                        <w14:solidFill>
                          <w14:schemeClr w14:val="tx1"/>
                        </w14:solidFill>
                      </w14:textFill>
                    </w:rPr>
                    <w:t>符合</w:t>
                  </w:r>
                </w:p>
              </w:tc>
            </w:tr>
            <w:tr w14:paraId="270BF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17" w:type="dxa"/>
                  <w:shd w:val="clear" w:color="auto" w:fill="auto"/>
                  <w:noWrap w:val="0"/>
                  <w:vAlign w:val="center"/>
                </w:tcPr>
                <w:p w14:paraId="218E1BEC">
                  <w:pPr>
                    <w:pStyle w:val="9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b w:val="0"/>
                      <w:bCs w:val="0"/>
                      <w:color w:val="000000" w:themeColor="text1"/>
                      <w:spacing w:val="0"/>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17.实施VOCs综合治理。按照“可替尽替、应代尽代”的原则，加大工业涂装、包装印刷、家具制造、电子制造等重点行业VOCs含量原辅材料替代力度，采用符合有关VOCs含量限值标准的涂料、油墨、胶粘剂、清洗剂。推行活性炭更新更换“码上换”管理，2026年4月底前，采用活性炭吸附治理工艺的企业完成二维码登记、活性炭更换过程相关信息录入、一轮次活性炭更换，实现动态管理。持续开展VOCs治理突出问题排查整治，加强污染治理设施运行维护，强化无组织和非正常工况废气排放管控，提高废气收集效率，规范开展泄漏检测与修复(LDAR)，2026年9月底前，废水逸散的高浓度VOCs废气实现单独收集治理，挥发性有机液体储罐基本使用低泄漏的储罐呼吸阀、紧急泄压阀，汽车罐车基本使用自封式快速接头</w:t>
                  </w:r>
                  <w:r>
                    <w:rPr>
                      <w:rFonts w:hint="eastAsia" w:cs="Times New Roman"/>
                      <w:b w:val="0"/>
                      <w:bCs w:val="0"/>
                      <w:color w:val="000000" w:themeColor="text1"/>
                      <w:spacing w:val="0"/>
                      <w:sz w:val="21"/>
                      <w:szCs w:val="21"/>
                      <w:lang w:val="en-US" w:eastAsia="zh-CN"/>
                      <w14:textFill>
                        <w14:solidFill>
                          <w14:schemeClr w14:val="tx1"/>
                        </w14:solidFill>
                      </w14:textFill>
                    </w:rPr>
                    <w:t>。</w:t>
                  </w:r>
                </w:p>
              </w:tc>
              <w:tc>
                <w:tcPr>
                  <w:tcW w:w="1987" w:type="dxa"/>
                  <w:shd w:val="clear" w:color="auto" w:fill="auto"/>
                  <w:noWrap w:val="0"/>
                  <w:vAlign w:val="center"/>
                </w:tcPr>
                <w:p w14:paraId="1A840681">
                  <w:pPr>
                    <w:pStyle w:val="9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b w:val="0"/>
                      <w:bCs w:val="0"/>
                      <w:color w:val="000000" w:themeColor="text1"/>
                      <w:spacing w:val="0"/>
                      <w:kern w:val="2"/>
                      <w:sz w:val="21"/>
                      <w:szCs w:val="21"/>
                      <w:lang w:val="en-US" w:eastAsia="zh-CN" w:bidi="ar-SA"/>
                      <w14:textFill>
                        <w14:solidFill>
                          <w14:schemeClr w14:val="tx1"/>
                        </w14:solidFill>
                      </w14:textFill>
                    </w:rPr>
                  </w:pP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本项目</w:t>
                  </w:r>
                  <w:r>
                    <w:rPr>
                      <w:rFonts w:hint="eastAsia" w:cs="Times New Roman"/>
                      <w:b w:val="0"/>
                      <w:bCs w:val="0"/>
                      <w:color w:val="000000" w:themeColor="text1"/>
                      <w:spacing w:val="0"/>
                      <w:sz w:val="21"/>
                      <w:szCs w:val="21"/>
                      <w:lang w:val="en-US" w:eastAsia="zh-CN"/>
                      <w14:textFill>
                        <w14:solidFill>
                          <w14:schemeClr w14:val="tx1"/>
                        </w14:solidFill>
                      </w14:textFill>
                    </w:rPr>
                    <w:t>不涉及</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VOCs</w:t>
                  </w:r>
                  <w:r>
                    <w:rPr>
                      <w:rFonts w:hint="eastAsia" w:cs="Times New Roman"/>
                      <w:b w:val="0"/>
                      <w:bCs w:val="0"/>
                      <w:color w:val="000000" w:themeColor="text1"/>
                      <w:spacing w:val="0"/>
                      <w:sz w:val="21"/>
                      <w:szCs w:val="21"/>
                      <w:lang w:val="en-US" w:eastAsia="zh-CN"/>
                      <w14:textFill>
                        <w14:solidFill>
                          <w14:schemeClr w14:val="tx1"/>
                        </w14:solidFill>
                      </w14:textFill>
                    </w:rPr>
                    <w:t>。</w:t>
                  </w:r>
                </w:p>
              </w:tc>
              <w:tc>
                <w:tcPr>
                  <w:tcW w:w="791" w:type="dxa"/>
                  <w:noWrap w:val="0"/>
                  <w:vAlign w:val="center"/>
                </w:tcPr>
                <w:p w14:paraId="5F5546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val="0"/>
                      <w:bCs w:val="0"/>
                      <w:snapToGrid w:val="0"/>
                      <w:color w:val="000000" w:themeColor="text1"/>
                      <w:spacing w:val="0"/>
                      <w:sz w:val="21"/>
                      <w:szCs w:val="21"/>
                      <w:u w:val="none"/>
                      <w:lang w:eastAsia="zh-CN"/>
                      <w14:textFill>
                        <w14:solidFill>
                          <w14:schemeClr w14:val="tx1"/>
                        </w14:solidFill>
                      </w14:textFill>
                    </w:rPr>
                    <w:t>符合</w:t>
                  </w:r>
                </w:p>
              </w:tc>
            </w:tr>
            <w:tr w14:paraId="12A66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95" w:type="dxa"/>
                  <w:gridSpan w:val="3"/>
                  <w:noWrap w:val="0"/>
                  <w:vAlign w:val="center"/>
                </w:tcPr>
                <w:p w14:paraId="5563C1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snapToGrid w:val="0"/>
                      <w:color w:val="000000" w:themeColor="text1"/>
                      <w:spacing w:val="0"/>
                      <w:sz w:val="21"/>
                      <w:szCs w:val="21"/>
                      <w:u w:val="none"/>
                      <w14:textFill>
                        <w14:solidFill>
                          <w14:schemeClr w14:val="tx1"/>
                        </w14:solidFill>
                      </w14:textFill>
                    </w:rPr>
                  </w:pP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w:t>
                  </w:r>
                  <w:r>
                    <w:rPr>
                      <w:rFonts w:hint="default" w:ascii="Times New Roman" w:hAnsi="Times New Roman" w:eastAsia="宋体" w:cs="Times New Roman"/>
                      <w:b/>
                      <w:bCs/>
                      <w:color w:val="000000" w:themeColor="text1"/>
                      <w:spacing w:val="0"/>
                      <w:sz w:val="21"/>
                      <w:szCs w:val="21"/>
                      <w14:textFill>
                        <w14:solidFill>
                          <w14:schemeClr w14:val="tx1"/>
                        </w14:solidFill>
                      </w14:textFill>
                    </w:rPr>
                    <w:t>河南省202</w:t>
                  </w:r>
                  <w:r>
                    <w:rPr>
                      <w:rFonts w:hint="eastAsia" w:cs="Times New Roman"/>
                      <w:b/>
                      <w:bCs/>
                      <w:color w:val="000000" w:themeColor="text1"/>
                      <w:spacing w:val="0"/>
                      <w:sz w:val="21"/>
                      <w:szCs w:val="21"/>
                      <w:lang w:val="en-US" w:eastAsia="zh-CN"/>
                      <w14:textFill>
                        <w14:solidFill>
                          <w14:schemeClr w14:val="tx1"/>
                        </w14:solidFill>
                      </w14:textFill>
                    </w:rPr>
                    <w:t>6</w:t>
                  </w:r>
                  <w:r>
                    <w:rPr>
                      <w:rFonts w:hint="default" w:ascii="Times New Roman" w:hAnsi="Times New Roman" w:eastAsia="宋体" w:cs="Times New Roman"/>
                      <w:b/>
                      <w:bCs/>
                      <w:color w:val="000000" w:themeColor="text1"/>
                      <w:spacing w:val="0"/>
                      <w:sz w:val="21"/>
                      <w:szCs w:val="21"/>
                      <w14:textFill>
                        <w14:solidFill>
                          <w14:schemeClr w14:val="tx1"/>
                        </w14:solidFill>
                      </w14:textFill>
                    </w:rPr>
                    <w:t>年碧水保卫战实施方案</w:t>
                  </w: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w:t>
                  </w:r>
                  <w:r>
                    <w:rPr>
                      <w:rFonts w:hint="eastAsia" w:cs="Times New Roman"/>
                      <w:b/>
                      <w:bCs/>
                      <w:color w:val="000000" w:themeColor="text1"/>
                      <w:spacing w:val="0"/>
                      <w:sz w:val="21"/>
                      <w:szCs w:val="21"/>
                      <w:lang w:val="en-US" w:eastAsia="zh-CN"/>
                      <w14:textFill>
                        <w14:solidFill>
                          <w14:schemeClr w14:val="tx1"/>
                        </w14:solidFill>
                      </w14:textFill>
                    </w:rPr>
                    <w:t>（豫环委办[2026]4号）</w:t>
                  </w:r>
                </w:p>
              </w:tc>
            </w:tr>
            <w:tr w14:paraId="25204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17" w:type="dxa"/>
                  <w:noWrap w:val="0"/>
                  <w:vAlign w:val="center"/>
                </w:tcPr>
                <w:p w14:paraId="63CC9F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b w:val="0"/>
                      <w:bCs w:val="0"/>
                      <w:color w:val="000000" w:themeColor="text1"/>
                      <w:spacing w:val="0"/>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21"/>
                      <w:szCs w:val="21"/>
                      <w14:textFill>
                        <w14:solidFill>
                          <w14:schemeClr w14:val="tx1"/>
                        </w14:solidFill>
                      </w14:textFill>
                    </w:rPr>
                    <w:t>2.开展黄河流域总氮污染控制。加强黄河流域涉水重点排污单位环境监管，开展入黄支流水环境问题核查。加强黄河流域总氮污染控制，黄河干流及流域内伊洛河、沁河、金堤河等重要水体总氮浓度得到有效控制</w:t>
                  </w:r>
                  <w:r>
                    <w:rPr>
                      <w:rFonts w:hint="eastAsia" w:ascii="Times New Roman" w:hAnsi="Times New Roman" w:eastAsia="宋体" w:cs="Times New Roman"/>
                      <w:b w:val="0"/>
                      <w:bCs w:val="0"/>
                      <w:color w:val="000000" w:themeColor="text1"/>
                      <w:spacing w:val="0"/>
                      <w:sz w:val="21"/>
                      <w:szCs w:val="21"/>
                      <w:lang w:eastAsia="zh-CN"/>
                      <w14:textFill>
                        <w14:solidFill>
                          <w14:schemeClr w14:val="tx1"/>
                        </w14:solidFill>
                      </w14:textFill>
                    </w:rPr>
                    <w:t>。</w:t>
                  </w:r>
                </w:p>
              </w:tc>
              <w:tc>
                <w:tcPr>
                  <w:tcW w:w="1987" w:type="dxa"/>
                  <w:noWrap w:val="0"/>
                  <w:vAlign w:val="center"/>
                </w:tcPr>
                <w:p w14:paraId="5ABC1B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b w:val="0"/>
                      <w:bCs w:val="0"/>
                      <w:color w:val="000000" w:themeColor="text1"/>
                      <w:spacing w:val="0"/>
                      <w:sz w:val="21"/>
                      <w:szCs w:val="21"/>
                      <w:lang w:eastAsia="zh-CN"/>
                      <w14:textFill>
                        <w14:solidFill>
                          <w14:schemeClr w14:val="tx1"/>
                        </w14:solidFill>
                      </w14:textFill>
                    </w:rPr>
                  </w:pPr>
                  <w:r>
                    <w:rPr>
                      <w:rFonts w:hint="eastAsia" w:ascii="Times New Roman" w:hAnsi="Times New Roman" w:eastAsia="宋体" w:cs="Times New Roman"/>
                      <w:b w:val="0"/>
                      <w:bCs w:val="0"/>
                      <w:color w:val="000000" w:themeColor="text1"/>
                      <w:spacing w:val="0"/>
                      <w:sz w:val="21"/>
                      <w:szCs w:val="21"/>
                      <w:lang w:eastAsia="zh-CN"/>
                      <w14:textFill>
                        <w14:solidFill>
                          <w14:schemeClr w14:val="tx1"/>
                        </w14:solidFill>
                      </w14:textFill>
                    </w:rPr>
                    <w:t>本项目位于新乡市</w:t>
                  </w:r>
                  <w:r>
                    <w:rPr>
                      <w:rFonts w:hint="eastAsia" w:cs="Times New Roman"/>
                      <w:b w:val="0"/>
                      <w:bCs w:val="0"/>
                      <w:color w:val="000000" w:themeColor="text1"/>
                      <w:spacing w:val="0"/>
                      <w:sz w:val="21"/>
                      <w:szCs w:val="21"/>
                      <w:lang w:eastAsia="zh-CN"/>
                      <w14:textFill>
                        <w14:solidFill>
                          <w14:schemeClr w14:val="tx1"/>
                        </w14:solidFill>
                      </w14:textFill>
                    </w:rPr>
                    <w:t>翟坡镇东大阳堤村村西中央大道东侧</w:t>
                  </w:r>
                  <w:r>
                    <w:rPr>
                      <w:rFonts w:hint="eastAsia" w:ascii="Times New Roman" w:hAnsi="Times New Roman" w:eastAsia="宋体" w:cs="Times New Roman"/>
                      <w:b w:val="0"/>
                      <w:bCs w:val="0"/>
                      <w:color w:val="000000" w:themeColor="text1"/>
                      <w:spacing w:val="0"/>
                      <w:sz w:val="21"/>
                      <w:szCs w:val="21"/>
                      <w:lang w:eastAsia="zh-CN"/>
                      <w14:textFill>
                        <w14:solidFill>
                          <w14:schemeClr w14:val="tx1"/>
                        </w14:solidFill>
                      </w14:textFill>
                    </w:rPr>
                    <w:t>，属于</w:t>
                  </w:r>
                  <w:r>
                    <w:rPr>
                      <w:rFonts w:hint="eastAsia" w:cs="Times New Roman"/>
                      <w:b w:val="0"/>
                      <w:bCs w:val="0"/>
                      <w:color w:val="000000" w:themeColor="text1"/>
                      <w:spacing w:val="0"/>
                      <w:sz w:val="21"/>
                      <w:szCs w:val="21"/>
                      <w:lang w:eastAsia="zh-CN"/>
                      <w14:textFill>
                        <w14:solidFill>
                          <w14:schemeClr w14:val="tx1"/>
                        </w14:solidFill>
                      </w14:textFill>
                    </w:rPr>
                    <w:t>海</w:t>
                  </w:r>
                  <w:r>
                    <w:rPr>
                      <w:rFonts w:hint="eastAsia" w:ascii="Times New Roman" w:hAnsi="Times New Roman" w:eastAsia="宋体" w:cs="Times New Roman"/>
                      <w:b w:val="0"/>
                      <w:bCs w:val="0"/>
                      <w:color w:val="000000" w:themeColor="text1"/>
                      <w:spacing w:val="0"/>
                      <w:sz w:val="21"/>
                      <w:szCs w:val="21"/>
                      <w:lang w:eastAsia="zh-CN"/>
                      <w14:textFill>
                        <w14:solidFill>
                          <w14:schemeClr w14:val="tx1"/>
                        </w14:solidFill>
                      </w14:textFill>
                    </w:rPr>
                    <w:t>河流域，项目废水为生活污水，</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经化粪池处理后经污水管网排入</w:t>
                  </w:r>
                  <w:r>
                    <w:rPr>
                      <w:rFonts w:hint="eastAsia" w:cs="Times New Roman"/>
                      <w:b w:val="0"/>
                      <w:bCs w:val="0"/>
                      <w:color w:val="000000" w:themeColor="text1"/>
                      <w:spacing w:val="0"/>
                      <w:sz w:val="21"/>
                      <w:szCs w:val="21"/>
                      <w:lang w:val="en-US" w:eastAsia="zh-CN"/>
                      <w14:textFill>
                        <w14:solidFill>
                          <w14:schemeClr w14:val="tx1"/>
                        </w14:solidFill>
                      </w14:textFill>
                    </w:rPr>
                    <w:t>新乡县综合污水处理厂</w:t>
                  </w:r>
                  <w:r>
                    <w:rPr>
                      <w:rFonts w:hint="eastAsia" w:ascii="Times New Roman" w:hAnsi="Times New Roman" w:eastAsia="宋体" w:cs="Times New Roman"/>
                      <w:b w:val="0"/>
                      <w:bCs w:val="0"/>
                      <w:color w:val="000000" w:themeColor="text1"/>
                      <w:spacing w:val="0"/>
                      <w:sz w:val="21"/>
                      <w:szCs w:val="21"/>
                      <w:lang w:eastAsia="zh-CN"/>
                      <w14:textFill>
                        <w14:solidFill>
                          <w14:schemeClr w14:val="tx1"/>
                        </w14:solidFill>
                      </w14:textFill>
                    </w:rPr>
                    <w:t>进一步处理，不属于</w:t>
                  </w:r>
                  <w:r>
                    <w:rPr>
                      <w:rFonts w:hint="default" w:ascii="Times New Roman" w:hAnsi="Times New Roman" w:eastAsia="宋体" w:cs="Times New Roman"/>
                      <w:b w:val="0"/>
                      <w:bCs w:val="0"/>
                      <w:color w:val="000000" w:themeColor="text1"/>
                      <w:spacing w:val="0"/>
                      <w:sz w:val="21"/>
                      <w:szCs w:val="21"/>
                      <w14:textFill>
                        <w14:solidFill>
                          <w14:schemeClr w14:val="tx1"/>
                        </w14:solidFill>
                      </w14:textFill>
                    </w:rPr>
                    <w:t>涉水重点排污单位</w:t>
                  </w:r>
                  <w:r>
                    <w:rPr>
                      <w:rFonts w:hint="eastAsia" w:ascii="Times New Roman" w:hAnsi="Times New Roman" w:eastAsia="宋体" w:cs="Times New Roman"/>
                      <w:b w:val="0"/>
                      <w:bCs w:val="0"/>
                      <w:color w:val="000000" w:themeColor="text1"/>
                      <w:spacing w:val="0"/>
                      <w:sz w:val="21"/>
                      <w:szCs w:val="21"/>
                      <w:lang w:eastAsia="zh-CN"/>
                      <w14:textFill>
                        <w14:solidFill>
                          <w14:schemeClr w14:val="tx1"/>
                        </w14:solidFill>
                      </w14:textFill>
                    </w:rPr>
                    <w:t>。</w:t>
                  </w:r>
                </w:p>
              </w:tc>
              <w:tc>
                <w:tcPr>
                  <w:tcW w:w="791" w:type="dxa"/>
                  <w:noWrap w:val="0"/>
                  <w:vAlign w:val="center"/>
                </w:tcPr>
                <w:p w14:paraId="64463A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val="0"/>
                      <w:bCs w:val="0"/>
                      <w:snapToGrid w:val="0"/>
                      <w:color w:val="000000" w:themeColor="text1"/>
                      <w:spacing w:val="0"/>
                      <w:sz w:val="21"/>
                      <w:szCs w:val="21"/>
                      <w:u w:val="none"/>
                      <w:lang w:eastAsia="zh-CN"/>
                      <w14:textFill>
                        <w14:solidFill>
                          <w14:schemeClr w14:val="tx1"/>
                        </w14:solidFill>
                      </w14:textFill>
                    </w:rPr>
                    <w:t>符合</w:t>
                  </w:r>
                </w:p>
              </w:tc>
            </w:tr>
            <w:tr w14:paraId="40F60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17" w:type="dxa"/>
                  <w:noWrap w:val="0"/>
                  <w:vAlign w:val="center"/>
                </w:tcPr>
                <w:p w14:paraId="345212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000000" w:themeColor="text1"/>
                      <w:spacing w:val="0"/>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0"/>
                      <w:sz w:val="21"/>
                      <w:szCs w:val="21"/>
                      <w14:textFill>
                        <w14:solidFill>
                          <w14:schemeClr w14:val="tx1"/>
                        </w14:solidFill>
                      </w14:textFill>
                    </w:rPr>
                    <w:t>8.开展工业废水处理减污降碳协同增效试点。以废水可生化性较强的酒类、淀粉、酵母、食品加工等行业企业为重点，选取部分合作意愿强烈、减污降碳与经济效益突出、基础设施建设扎实的企业及其下游污水处理厂，实施工业废水协商间接排放，推动涉水企业、污水处理厂降本增效。到2026年年底，形成一批可复制、可推广的工业废水处理减污降碳协同增效典型经验。</w:t>
                  </w:r>
                </w:p>
              </w:tc>
              <w:tc>
                <w:tcPr>
                  <w:tcW w:w="1987" w:type="dxa"/>
                  <w:noWrap w:val="0"/>
                  <w:vAlign w:val="center"/>
                </w:tcPr>
                <w:p w14:paraId="5BC477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b w:val="0"/>
                      <w:bCs w:val="0"/>
                      <w:color w:val="000000" w:themeColor="text1"/>
                      <w:spacing w:val="0"/>
                      <w:sz w:val="21"/>
                      <w:szCs w:val="21"/>
                      <w:lang w:eastAsia="zh-CN"/>
                      <w14:textFill>
                        <w14:solidFill>
                          <w14:schemeClr w14:val="tx1"/>
                        </w14:solidFill>
                      </w14:textFill>
                    </w:rPr>
                  </w:pPr>
                  <w:r>
                    <w:rPr>
                      <w:rFonts w:hint="eastAsia" w:ascii="Times New Roman" w:hAnsi="Times New Roman" w:eastAsia="宋体" w:cs="Times New Roman"/>
                      <w:b w:val="0"/>
                      <w:bCs w:val="0"/>
                      <w:color w:val="000000" w:themeColor="text1"/>
                      <w:spacing w:val="0"/>
                      <w:sz w:val="21"/>
                      <w:szCs w:val="21"/>
                      <w:lang w:eastAsia="zh-CN"/>
                      <w14:textFill>
                        <w14:solidFill>
                          <w14:schemeClr w14:val="tx1"/>
                        </w14:solidFill>
                      </w14:textFill>
                    </w:rPr>
                    <w:t>本项目属于</w:t>
                  </w:r>
                  <w:r>
                    <w:rPr>
                      <w:rFonts w:hint="eastAsia" w:cs="Times New Roman"/>
                      <w:b w:val="0"/>
                      <w:bCs w:val="0"/>
                      <w:color w:val="000000" w:themeColor="text1"/>
                      <w:spacing w:val="0"/>
                      <w:sz w:val="21"/>
                      <w:szCs w:val="21"/>
                      <w:lang w:val="en-US" w:eastAsia="zh-CN"/>
                      <w14:textFill>
                        <w14:solidFill>
                          <w14:schemeClr w14:val="tx1"/>
                        </w14:solidFill>
                      </w14:textFill>
                    </w:rPr>
                    <w:t>机械零部件制造</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，不产生生产废水。</w:t>
                  </w:r>
                </w:p>
              </w:tc>
              <w:tc>
                <w:tcPr>
                  <w:tcW w:w="791" w:type="dxa"/>
                  <w:noWrap w:val="0"/>
                  <w:vAlign w:val="center"/>
                </w:tcPr>
                <w:p w14:paraId="4C76EE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val="0"/>
                      <w:bCs w:val="0"/>
                      <w:snapToGrid w:val="0"/>
                      <w:color w:val="000000" w:themeColor="text1"/>
                      <w:spacing w:val="0"/>
                      <w:sz w:val="21"/>
                      <w:szCs w:val="21"/>
                      <w:u w:val="none"/>
                      <w:lang w:eastAsia="zh-CN"/>
                      <w14:textFill>
                        <w14:solidFill>
                          <w14:schemeClr w14:val="tx1"/>
                        </w14:solidFill>
                      </w14:textFill>
                    </w:rPr>
                    <w:t>符合</w:t>
                  </w:r>
                </w:p>
              </w:tc>
            </w:tr>
            <w:tr w14:paraId="4D57F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17" w:type="dxa"/>
                  <w:noWrap w:val="0"/>
                  <w:vAlign w:val="center"/>
                </w:tcPr>
                <w:p w14:paraId="55B116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000000" w:themeColor="text1"/>
                      <w:spacing w:val="0"/>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0"/>
                      <w:sz w:val="21"/>
                      <w:szCs w:val="21"/>
                      <w14:textFill>
                        <w14:solidFill>
                          <w14:schemeClr w14:val="tx1"/>
                        </w14:solidFill>
                      </w14:textFill>
                    </w:rPr>
                    <w:t>19.强化水生态环境执法监管。紧盯黄河流域、南水北调中线工程水源地及总干渠沿线、大运河沿线、出省境河流断面等重点区域，健全完善跨部门、跨区域水生态环境保护执法联动机制。严格落实“双随机”监管机制，强化“非现场执法监管”，构建“智能分析、精准执法、全域闭环”的新型执法体系。大力推动针对排污许可事项执行情况、自行监测落实情况、执行报告落实情况等方面的非现场执法监管。指导督促新联网排污单位使用符合新标准要求的自动监测设备，鼓励已联网的排污单位对现有设备进行利旧改造。全面加强城镇（工业园区）污水处理厂、入河排污口、畜禽养殖场和重点涉水企业达标排放日常监督管理检查，严厉打击篡改、伪造自动监测数据或者干扰自动监测设施等逃避监管排放污染物的弄虚作假违法犯罪行为。严格落实生态环境损害</w:t>
                  </w:r>
                </w:p>
                <w:p w14:paraId="416665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eastAsia="宋体" w:cs="Times New Roman"/>
                      <w:b w:val="0"/>
                      <w:bCs w:val="0"/>
                      <w:color w:val="000000" w:themeColor="text1"/>
                      <w:spacing w:val="0"/>
                      <w:sz w:val="21"/>
                      <w:szCs w:val="21"/>
                      <w14:textFill>
                        <w14:solidFill>
                          <w14:schemeClr w14:val="tx1"/>
                        </w14:solidFill>
                      </w14:textFill>
                    </w:rPr>
                  </w:pPr>
                  <w:r>
                    <w:rPr>
                      <w:rFonts w:hint="default" w:ascii="Times New Roman" w:hAnsi="Times New Roman" w:eastAsia="宋体" w:cs="Times New Roman"/>
                      <w:b w:val="0"/>
                      <w:bCs w:val="0"/>
                      <w:color w:val="000000" w:themeColor="text1"/>
                      <w:spacing w:val="0"/>
                      <w:sz w:val="21"/>
                      <w:szCs w:val="21"/>
                      <w14:textFill>
                        <w14:solidFill>
                          <w14:schemeClr w14:val="tx1"/>
                        </w14:solidFill>
                      </w14:textFill>
                    </w:rPr>
                    <w:t>赔偿制度。</w:t>
                  </w:r>
                </w:p>
              </w:tc>
              <w:tc>
                <w:tcPr>
                  <w:tcW w:w="1987" w:type="dxa"/>
                  <w:noWrap w:val="0"/>
                  <w:vAlign w:val="center"/>
                </w:tcPr>
                <w:p w14:paraId="4BBB04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eastAsia="宋体" w:cs="Times New Roman"/>
                      <w:b w:val="0"/>
                      <w:bCs w:val="0"/>
                      <w:color w:val="000000" w:themeColor="text1"/>
                      <w:spacing w:val="0"/>
                      <w:sz w:val="21"/>
                      <w:szCs w:val="21"/>
                      <w:lang w:eastAsia="zh-CN"/>
                      <w14:textFill>
                        <w14:solidFill>
                          <w14:schemeClr w14:val="tx1"/>
                        </w14:solidFill>
                      </w14:textFill>
                    </w:rPr>
                  </w:pPr>
                  <w:r>
                    <w:rPr>
                      <w:rFonts w:hint="eastAsia" w:cs="Times New Roman"/>
                      <w:b w:val="0"/>
                      <w:bCs w:val="0"/>
                      <w:color w:val="000000"/>
                      <w:spacing w:val="0"/>
                      <w:sz w:val="21"/>
                      <w:szCs w:val="21"/>
                      <w:lang w:eastAsia="zh-CN"/>
                    </w:rPr>
                    <w:t>本项目位于</w:t>
                  </w:r>
                  <w:r>
                    <w:rPr>
                      <w:rFonts w:hint="eastAsia" w:cs="Times New Roman"/>
                      <w:b w:val="0"/>
                      <w:bCs w:val="0"/>
                      <w:color w:val="000000" w:themeColor="text1"/>
                      <w:spacing w:val="0"/>
                      <w:sz w:val="21"/>
                      <w:szCs w:val="21"/>
                      <w:lang w:eastAsia="zh-CN"/>
                      <w14:textFill>
                        <w14:solidFill>
                          <w14:schemeClr w14:val="tx1"/>
                        </w14:solidFill>
                      </w14:textFill>
                    </w:rPr>
                    <w:t>海河流域，</w:t>
                  </w:r>
                  <w:r>
                    <w:rPr>
                      <w:rFonts w:hint="eastAsia" w:cs="Times New Roman"/>
                      <w:b w:val="0"/>
                      <w:bCs w:val="0"/>
                      <w:color w:val="000000"/>
                      <w:spacing w:val="0"/>
                      <w:sz w:val="21"/>
                      <w:szCs w:val="21"/>
                      <w:lang w:eastAsia="zh-CN"/>
                    </w:rPr>
                    <w:t>不属于</w:t>
                  </w:r>
                  <w:r>
                    <w:rPr>
                      <w:rFonts w:hint="default" w:ascii="Times New Roman" w:hAnsi="Times New Roman" w:eastAsia="宋体" w:cs="Times New Roman"/>
                      <w:b w:val="0"/>
                      <w:bCs w:val="0"/>
                      <w:color w:val="000000"/>
                      <w:spacing w:val="0"/>
                      <w:sz w:val="21"/>
                      <w:szCs w:val="21"/>
                    </w:rPr>
                    <w:t>黄河流域、南水北调中线工程水源地及总干渠沿线、大运河沿线、出省境河流断面等重点区域</w:t>
                  </w:r>
                  <w:r>
                    <w:rPr>
                      <w:rFonts w:hint="eastAsia" w:ascii="Times New Roman" w:hAnsi="Times New Roman" w:eastAsia="宋体" w:cs="Times New Roman"/>
                      <w:b w:val="0"/>
                      <w:bCs w:val="0"/>
                      <w:color w:val="000000"/>
                      <w:spacing w:val="0"/>
                      <w:sz w:val="21"/>
                      <w:szCs w:val="21"/>
                      <w:lang w:eastAsia="zh-CN"/>
                    </w:rPr>
                    <w:t>，</w:t>
                  </w:r>
                  <w:r>
                    <w:rPr>
                      <w:rFonts w:hint="eastAsia" w:ascii="Times New Roman" w:hAnsi="Times New Roman" w:eastAsia="宋体" w:cs="Times New Roman"/>
                      <w:b w:val="0"/>
                      <w:bCs w:val="0"/>
                      <w:color w:val="000000" w:themeColor="text1"/>
                      <w:spacing w:val="0"/>
                      <w:sz w:val="21"/>
                      <w:szCs w:val="21"/>
                      <w:lang w:eastAsia="zh-CN"/>
                      <w14:textFill>
                        <w14:solidFill>
                          <w14:schemeClr w14:val="tx1"/>
                        </w14:solidFill>
                      </w14:textFill>
                    </w:rPr>
                    <w:t>生活污水，</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经化粪池处理后经污水管网排入</w:t>
                  </w:r>
                  <w:r>
                    <w:rPr>
                      <w:rFonts w:hint="eastAsia" w:cs="Times New Roman"/>
                      <w:b w:val="0"/>
                      <w:bCs w:val="0"/>
                      <w:color w:val="000000" w:themeColor="text1"/>
                      <w:spacing w:val="0"/>
                      <w:sz w:val="21"/>
                      <w:szCs w:val="21"/>
                      <w:lang w:val="en-US" w:eastAsia="zh-CN"/>
                      <w14:textFill>
                        <w14:solidFill>
                          <w14:schemeClr w14:val="tx1"/>
                        </w14:solidFill>
                      </w14:textFill>
                    </w:rPr>
                    <w:t>新乡县综合污水处理厂进一步</w:t>
                  </w:r>
                  <w:r>
                    <w:rPr>
                      <w:rFonts w:hint="default" w:ascii="Times New Roman" w:hAnsi="Times New Roman" w:eastAsia="宋体" w:cs="Times New Roman"/>
                      <w:color w:val="000000"/>
                      <w:sz w:val="21"/>
                      <w:szCs w:val="21"/>
                      <w:lang w:val="pt-BR" w:eastAsia="zh-CN"/>
                    </w:rPr>
                    <w:t>处理</w:t>
                  </w:r>
                  <w:r>
                    <w:rPr>
                      <w:rFonts w:hint="eastAsia" w:ascii="Times New Roman" w:hAnsi="Times New Roman" w:eastAsia="宋体" w:cs="Times New Roman"/>
                      <w:color w:val="000000"/>
                      <w:sz w:val="21"/>
                      <w:szCs w:val="21"/>
                      <w:lang w:val="pt-BR" w:eastAsia="zh-CN"/>
                    </w:rPr>
                    <w:t>，</w:t>
                  </w:r>
                  <w:r>
                    <w:rPr>
                      <w:rFonts w:hint="eastAsia" w:cs="Times New Roman"/>
                      <w:b w:val="0"/>
                      <w:bCs w:val="0"/>
                      <w:color w:val="000000"/>
                      <w:spacing w:val="0"/>
                      <w:sz w:val="21"/>
                      <w:szCs w:val="21"/>
                      <w:lang w:eastAsia="zh-CN"/>
                    </w:rPr>
                    <w:t>严格执行</w:t>
                  </w:r>
                  <w:r>
                    <w:rPr>
                      <w:rFonts w:hint="default" w:ascii="Times New Roman" w:hAnsi="Times New Roman" w:eastAsia="宋体" w:cs="Times New Roman"/>
                      <w:b w:val="0"/>
                      <w:bCs w:val="0"/>
                      <w:color w:val="000000"/>
                      <w:spacing w:val="0"/>
                      <w:sz w:val="21"/>
                      <w:szCs w:val="21"/>
                    </w:rPr>
                    <w:t>排污许可</w:t>
                  </w:r>
                  <w:r>
                    <w:rPr>
                      <w:rFonts w:hint="eastAsia" w:cs="Times New Roman"/>
                      <w:b w:val="0"/>
                      <w:bCs w:val="0"/>
                      <w:color w:val="000000"/>
                      <w:spacing w:val="0"/>
                      <w:sz w:val="21"/>
                      <w:szCs w:val="21"/>
                      <w:lang w:eastAsia="zh-CN"/>
                    </w:rPr>
                    <w:t>、</w:t>
                  </w:r>
                  <w:r>
                    <w:rPr>
                      <w:rFonts w:hint="default" w:ascii="Times New Roman" w:hAnsi="Times New Roman" w:eastAsia="宋体" w:cs="Times New Roman"/>
                      <w:b w:val="0"/>
                      <w:bCs w:val="0"/>
                      <w:color w:val="000000"/>
                      <w:spacing w:val="0"/>
                      <w:sz w:val="21"/>
                      <w:szCs w:val="21"/>
                    </w:rPr>
                    <w:t>自行监测</w:t>
                  </w:r>
                  <w:r>
                    <w:rPr>
                      <w:rFonts w:hint="eastAsia" w:cs="Times New Roman"/>
                      <w:b w:val="0"/>
                      <w:bCs w:val="0"/>
                      <w:color w:val="000000"/>
                      <w:spacing w:val="0"/>
                      <w:sz w:val="21"/>
                      <w:szCs w:val="21"/>
                      <w:lang w:eastAsia="zh-CN"/>
                    </w:rPr>
                    <w:t>、</w:t>
                  </w:r>
                  <w:r>
                    <w:rPr>
                      <w:rFonts w:hint="default" w:ascii="Times New Roman" w:hAnsi="Times New Roman" w:eastAsia="宋体" w:cs="Times New Roman"/>
                      <w:b w:val="0"/>
                      <w:bCs w:val="0"/>
                      <w:color w:val="000000"/>
                      <w:spacing w:val="0"/>
                      <w:sz w:val="21"/>
                      <w:szCs w:val="21"/>
                    </w:rPr>
                    <w:t>执行报告</w:t>
                  </w:r>
                  <w:r>
                    <w:rPr>
                      <w:rFonts w:hint="eastAsia" w:cs="Times New Roman"/>
                      <w:b w:val="0"/>
                      <w:bCs w:val="0"/>
                      <w:color w:val="000000"/>
                      <w:spacing w:val="0"/>
                      <w:sz w:val="21"/>
                      <w:szCs w:val="21"/>
                      <w:lang w:eastAsia="zh-CN"/>
                    </w:rPr>
                    <w:t>要求。</w:t>
                  </w:r>
                </w:p>
              </w:tc>
              <w:tc>
                <w:tcPr>
                  <w:tcW w:w="791" w:type="dxa"/>
                  <w:noWrap w:val="0"/>
                  <w:vAlign w:val="center"/>
                </w:tcPr>
                <w:p w14:paraId="0B163C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val="0"/>
                      <w:bCs w:val="0"/>
                      <w:snapToGrid w:val="0"/>
                      <w:color w:val="000000" w:themeColor="text1"/>
                      <w:spacing w:val="0"/>
                      <w:sz w:val="21"/>
                      <w:szCs w:val="21"/>
                      <w:u w:val="none"/>
                      <w:lang w:eastAsia="zh-CN"/>
                      <w14:textFill>
                        <w14:solidFill>
                          <w14:schemeClr w14:val="tx1"/>
                        </w14:solidFill>
                      </w14:textFill>
                    </w:rPr>
                    <w:t>符合</w:t>
                  </w:r>
                </w:p>
              </w:tc>
            </w:tr>
            <w:tr w14:paraId="3FF5B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95" w:type="dxa"/>
                  <w:gridSpan w:val="3"/>
                  <w:noWrap w:val="0"/>
                  <w:vAlign w:val="center"/>
                </w:tcPr>
                <w:p w14:paraId="6585F4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bCs/>
                      <w:color w:val="000000" w:themeColor="text1"/>
                      <w:spacing w:val="0"/>
                      <w:sz w:val="21"/>
                      <w:szCs w:val="21"/>
                      <w:lang w:val="en-US" w:eastAsia="zh-CN"/>
                      <w14:textFill>
                        <w14:solidFill>
                          <w14:schemeClr w14:val="tx1"/>
                        </w14:solidFill>
                      </w14:textFill>
                    </w:rPr>
                    <w:t>《河南省2026年净土保卫战实施方案》（豫环委办[2026]6号）</w:t>
                  </w:r>
                </w:p>
              </w:tc>
            </w:tr>
            <w:tr w14:paraId="53CA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17" w:type="dxa"/>
                  <w:noWrap w:val="0"/>
                  <w:vAlign w:val="center"/>
                </w:tcPr>
                <w:p w14:paraId="04A178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eastAsia" w:ascii="Times New Roman" w:hAnsi="Times New Roman" w:eastAsia="宋体" w:cs="Times New Roman"/>
                      <w:b w:val="0"/>
                      <w:bCs w:val="0"/>
                      <w:color w:val="000000" w:themeColor="text1"/>
                      <w:spacing w:val="0"/>
                      <w:sz w:val="21"/>
                      <w:szCs w:val="21"/>
                      <w:lang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21"/>
                      <w:szCs w:val="21"/>
                      <w14:textFill>
                        <w14:solidFill>
                          <w14:schemeClr w14:val="tx1"/>
                        </w14:solidFill>
                      </w14:textFill>
                    </w:rPr>
                    <w:t>4</w:t>
                  </w:r>
                  <w:r>
                    <w:rPr>
                      <w:rFonts w:hint="eastAsia" w:cs="Times New Roman"/>
                      <w:b w:val="0"/>
                      <w:bCs w:val="0"/>
                      <w:color w:val="000000" w:themeColor="text1"/>
                      <w:spacing w:val="0"/>
                      <w:sz w:val="21"/>
                      <w:szCs w:val="21"/>
                      <w:lang w:eastAsia="zh-CN"/>
                      <w14:textFill>
                        <w14:solidFill>
                          <w14:schemeClr w14:val="tx1"/>
                        </w14:solidFill>
                      </w14:textFill>
                    </w:rPr>
                    <w:t>、</w:t>
                  </w:r>
                  <w:r>
                    <w:rPr>
                      <w:rFonts w:hint="default" w:ascii="Times New Roman" w:hAnsi="Times New Roman" w:eastAsia="宋体" w:cs="Times New Roman"/>
                      <w:b w:val="0"/>
                      <w:bCs w:val="0"/>
                      <w:color w:val="000000" w:themeColor="text1"/>
                      <w:spacing w:val="0"/>
                      <w:sz w:val="21"/>
                      <w:szCs w:val="21"/>
                      <w14:textFill>
                        <w14:solidFill>
                          <w14:schemeClr w14:val="tx1"/>
                        </w14:solidFill>
                      </w14:textFill>
                    </w:rPr>
                    <w:t>严格建设用地准入管理。强化对土地用途变更、收储、供应、使用权变更等环节的监管，依法应当开展土壤污染状况调查的地块须在土地储备入库前完成调查，将调查结果作为土地供应的必备要件。组织开展半年、年度建设用地安全利用核算。进一步完善建设用地土壤环境质量数据与国土空间规划“一张图”专题图层，编制《河南省土壤环境质量数据与国土空间规划数据联动共享与应用办法》，实现数据交互、动态更新，把叠图结果作为供地的前置条件，从体制机制上确保建设用地安全利用。(省自然资源厅、生态环境厅按职责分工负责)</w:t>
                  </w:r>
                  <w:r>
                    <w:rPr>
                      <w:rFonts w:hint="eastAsia" w:cs="Times New Roman"/>
                      <w:b w:val="0"/>
                      <w:bCs w:val="0"/>
                      <w:color w:val="000000" w:themeColor="text1"/>
                      <w:spacing w:val="0"/>
                      <w:sz w:val="21"/>
                      <w:szCs w:val="21"/>
                      <w:lang w:eastAsia="zh-CN"/>
                      <w14:textFill>
                        <w14:solidFill>
                          <w14:schemeClr w14:val="tx1"/>
                        </w14:solidFill>
                      </w14:textFill>
                    </w:rPr>
                    <w:t>。</w:t>
                  </w:r>
                </w:p>
              </w:tc>
              <w:tc>
                <w:tcPr>
                  <w:tcW w:w="1987" w:type="dxa"/>
                  <w:noWrap w:val="0"/>
                  <w:vAlign w:val="center"/>
                </w:tcPr>
                <w:p w14:paraId="4FD826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cs="Times New Roman"/>
                      <w:b w:val="0"/>
                      <w:bCs w:val="0"/>
                      <w:color w:val="000000" w:themeColor="text1"/>
                      <w:spacing w:val="0"/>
                      <w:sz w:val="21"/>
                      <w:szCs w:val="21"/>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本项目</w:t>
                  </w:r>
                  <w:r>
                    <w:rPr>
                      <w:rFonts w:hint="eastAsia" w:cs="Times New Roman"/>
                      <w:color w:val="000000" w:themeColor="text1"/>
                      <w:sz w:val="21"/>
                      <w:szCs w:val="21"/>
                      <w:highlight w:val="none"/>
                      <w:vertAlign w:val="baseline"/>
                      <w:lang w:val="en-US" w:eastAsia="zh-CN"/>
                      <w14:textFill>
                        <w14:solidFill>
                          <w14:schemeClr w14:val="tx1"/>
                        </w14:solidFill>
                      </w14:textFill>
                    </w:rPr>
                    <w:t>不新增用地，</w:t>
                  </w: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所在地属于工业用地。</w:t>
                  </w:r>
                </w:p>
              </w:tc>
              <w:tc>
                <w:tcPr>
                  <w:tcW w:w="791" w:type="dxa"/>
                  <w:noWrap w:val="0"/>
                  <w:vAlign w:val="center"/>
                </w:tcPr>
                <w:p w14:paraId="7654D3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val="0"/>
                      <w:bCs w:val="0"/>
                      <w:snapToGrid w:val="0"/>
                      <w:color w:val="000000" w:themeColor="text1"/>
                      <w:spacing w:val="0"/>
                      <w:sz w:val="21"/>
                      <w:szCs w:val="21"/>
                      <w:u w:val="none"/>
                      <w:lang w:eastAsia="zh-CN"/>
                      <w14:textFill>
                        <w14:solidFill>
                          <w14:schemeClr w14:val="tx1"/>
                        </w14:solidFill>
                      </w14:textFill>
                    </w:rPr>
                    <w:t>符合</w:t>
                  </w:r>
                </w:p>
              </w:tc>
            </w:tr>
          </w:tbl>
          <w:p w14:paraId="3D8C02C2">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ascii="Times New Roman" w:hAnsi="Times New Roman" w:cs="Times New Roman"/>
                <w:b/>
                <w:color w:val="000000" w:themeColor="text1"/>
                <w:spacing w:val="0"/>
                <w:kern w:val="0"/>
                <w:sz w:val="24"/>
                <w:szCs w:val="24"/>
                <w:lang w:val="en-US" w:eastAsia="zh-CN"/>
                <w14:textFill>
                  <w14:solidFill>
                    <w14:schemeClr w14:val="tx1"/>
                  </w14:solidFill>
                </w14:textFill>
              </w:rPr>
            </w:pPr>
            <w:r>
              <w:rPr>
                <w:rFonts w:hint="eastAsia" w:cs="Times New Roman"/>
                <w:b w:val="0"/>
                <w:bCs w:val="0"/>
                <w:color w:val="auto"/>
                <w:spacing w:val="0"/>
                <w:sz w:val="24"/>
                <w:szCs w:val="32"/>
                <w:lang w:val="en-US" w:eastAsia="zh-CN"/>
              </w:rPr>
              <w:t>由上表可知，本项目符合河南省生态环境保护委员会办公室关于印发《河南省2026年蓝天保卫战实施方案</w:t>
            </w:r>
            <w:r>
              <w:rPr>
                <w:rFonts w:hint="eastAsia" w:cs="Times New Roman"/>
                <w:b w:val="0"/>
                <w:bCs w:val="0"/>
                <w:color w:val="000000" w:themeColor="text1"/>
                <w:spacing w:val="0"/>
                <w:sz w:val="24"/>
                <w:szCs w:val="32"/>
                <w:lang w:val="en-US" w:eastAsia="zh-CN"/>
                <w14:textFill>
                  <w14:solidFill>
                    <w14:schemeClr w14:val="tx1"/>
                  </w14:solidFill>
                </w14:textFill>
              </w:rPr>
              <w:t>》（豫环委办[2026]1号）、《河南省2026年碧水保卫战实施方案》（豫环委办〔2026〕4号）、《河南省2026年净土保卫战实施方案》（豫环委办[2026]6号）相关要求。</w:t>
            </w:r>
          </w:p>
          <w:p w14:paraId="1C7157CA">
            <w:pPr>
              <w:keepNext w:val="0"/>
              <w:keepLines w:val="0"/>
              <w:pageBreakBefore w:val="0"/>
              <w:widowControl w:val="0"/>
              <w:kinsoku/>
              <w:wordWrap/>
              <w:overflowPunct/>
              <w:topLinePunct w:val="0"/>
              <w:autoSpaceDE/>
              <w:autoSpaceDN/>
              <w:bidi w:val="0"/>
              <w:adjustRightInd w:val="0"/>
              <w:snapToGrid w:val="0"/>
              <w:spacing w:line="520" w:lineRule="exact"/>
              <w:ind w:firstLine="482" w:firstLineChars="200"/>
              <w:textAlignment w:val="auto"/>
              <w:rPr>
                <w:rFonts w:hint="eastAsia" w:ascii="Times New Roman" w:hAnsi="Times New Roman" w:eastAsia="宋体" w:cs="Times New Roman"/>
                <w:b/>
                <w:bCs w:val="0"/>
                <w:color w:val="000000" w:themeColor="text1"/>
                <w:spacing w:val="0"/>
                <w:kern w:val="0"/>
                <w:sz w:val="24"/>
                <w:szCs w:val="24"/>
                <w:highlight w:val="yellow"/>
                <w:u w:val="none"/>
                <w:lang w:eastAsia="zh-CN"/>
                <w14:textFill>
                  <w14:solidFill>
                    <w14:schemeClr w14:val="tx1"/>
                  </w14:solidFill>
                </w14:textFill>
              </w:rPr>
            </w:pPr>
            <w:r>
              <w:rPr>
                <w:rFonts w:hint="eastAsia" w:cs="Times New Roman"/>
                <w:b/>
                <w:bCs w:val="0"/>
                <w:color w:val="000000" w:themeColor="text1"/>
                <w:spacing w:val="0"/>
                <w:kern w:val="0"/>
                <w:sz w:val="24"/>
                <w:szCs w:val="24"/>
                <w:lang w:val="en-US" w:eastAsia="zh-CN"/>
                <w14:textFill>
                  <w14:solidFill>
                    <w14:schemeClr w14:val="tx1"/>
                  </w14:solidFill>
                </w14:textFill>
              </w:rPr>
              <w:t>10</w:t>
            </w:r>
            <w:r>
              <w:rPr>
                <w:rFonts w:hint="eastAsia" w:ascii="Times New Roman" w:hAnsi="Times New Roman" w:cs="Times New Roman"/>
                <w:b/>
                <w:bCs w:val="0"/>
                <w:color w:val="000000" w:themeColor="text1"/>
                <w:spacing w:val="0"/>
                <w:kern w:val="0"/>
                <w:sz w:val="24"/>
                <w:szCs w:val="24"/>
                <w:lang w:val="en-US" w:eastAsia="zh-CN"/>
                <w14:textFill>
                  <w14:solidFill>
                    <w14:schemeClr w14:val="tx1"/>
                  </w14:solidFill>
                </w14:textFill>
              </w:rPr>
              <w:t>、</w:t>
            </w:r>
            <w:r>
              <w:rPr>
                <w:rFonts w:hint="eastAsia"/>
                <w:b/>
                <w:bCs w:val="0"/>
                <w:color w:val="000000" w:themeColor="text1"/>
                <w:spacing w:val="0"/>
                <w:kern w:val="0"/>
                <w:sz w:val="24"/>
                <w:u w:val="none"/>
                <w14:textFill>
                  <w14:solidFill>
                    <w14:schemeClr w14:val="tx1"/>
                  </w14:solidFill>
                </w14:textFill>
              </w:rPr>
              <w:t>与</w:t>
            </w:r>
            <w:r>
              <w:rPr>
                <w:rFonts w:hint="default" w:ascii="Times New Roman" w:hAnsi="Times New Roman" w:eastAsia="宋体" w:cs="Times New Roman"/>
                <w:b/>
                <w:bCs w:val="0"/>
                <w:color w:val="000000" w:themeColor="text1"/>
                <w:spacing w:val="0"/>
                <w:kern w:val="0"/>
                <w:sz w:val="24"/>
                <w:szCs w:val="24"/>
                <w:u w:val="none"/>
                <w14:textFill>
                  <w14:solidFill>
                    <w14:schemeClr w14:val="tx1"/>
                  </w14:solidFill>
                </w14:textFill>
              </w:rPr>
              <w:t>新乡市生态环境保护委员会办公室关于印发</w:t>
            </w:r>
            <w:r>
              <w:rPr>
                <w:rFonts w:hint="eastAsia" w:cs="Times New Roman"/>
                <w:b/>
                <w:bCs w:val="0"/>
                <w:color w:val="000000" w:themeColor="text1"/>
                <w:spacing w:val="0"/>
                <w:sz w:val="24"/>
                <w:szCs w:val="24"/>
                <w:lang w:val="en-US" w:eastAsia="zh-CN"/>
                <w14:textFill>
                  <w14:solidFill>
                    <w14:schemeClr w14:val="tx1"/>
                  </w14:solidFill>
                </w14:textFill>
              </w:rPr>
              <w:t>《新乡市2026年蓝天保卫战实施方案》</w:t>
            </w:r>
            <w:r>
              <w:rPr>
                <w:rFonts w:hint="eastAsia" w:cs="Times New Roman"/>
                <w:b/>
                <w:bCs w:val="0"/>
                <w:snapToGrid w:val="0"/>
                <w:color w:val="000000" w:themeColor="text1"/>
                <w:spacing w:val="0"/>
                <w:sz w:val="24"/>
                <w:szCs w:val="24"/>
                <w:u w:val="none"/>
                <w:lang w:eastAsia="zh-CN"/>
                <w14:textFill>
                  <w14:solidFill>
                    <w14:schemeClr w14:val="tx1"/>
                  </w14:solidFill>
                </w14:textFill>
              </w:rPr>
              <w:t>（新环委办</w:t>
            </w:r>
            <w:r>
              <w:rPr>
                <w:rFonts w:hint="eastAsia" w:cs="Times New Roman"/>
                <w:b/>
                <w:bCs w:val="0"/>
                <w:snapToGrid w:val="0"/>
                <w:color w:val="000000" w:themeColor="text1"/>
                <w:spacing w:val="0"/>
                <w:sz w:val="24"/>
                <w:szCs w:val="24"/>
                <w:u w:val="none"/>
                <w:lang w:val="en-US" w:eastAsia="zh-CN"/>
                <w14:textFill>
                  <w14:solidFill>
                    <w14:schemeClr w14:val="tx1"/>
                  </w14:solidFill>
                </w14:textFill>
              </w:rPr>
              <w:t>[</w:t>
            </w:r>
            <w:r>
              <w:rPr>
                <w:rFonts w:hint="eastAsia" w:ascii="Times New Roman" w:hAnsi="Times New Roman" w:cs="Times New Roman"/>
                <w:b/>
                <w:bCs w:val="0"/>
                <w:snapToGrid w:val="0"/>
                <w:color w:val="000000" w:themeColor="text1"/>
                <w:spacing w:val="0"/>
                <w:sz w:val="24"/>
                <w:szCs w:val="24"/>
                <w:u w:val="none"/>
                <w:lang w:val="en-US" w:eastAsia="zh-CN"/>
                <w14:textFill>
                  <w14:solidFill>
                    <w14:schemeClr w14:val="tx1"/>
                  </w14:solidFill>
                </w14:textFill>
              </w:rPr>
              <w:t>2026</w:t>
            </w:r>
            <w:r>
              <w:rPr>
                <w:rFonts w:hint="eastAsia" w:cs="Times New Roman"/>
                <w:b/>
                <w:bCs w:val="0"/>
                <w:snapToGrid w:val="0"/>
                <w:color w:val="000000" w:themeColor="text1"/>
                <w:spacing w:val="0"/>
                <w:sz w:val="24"/>
                <w:szCs w:val="24"/>
                <w:u w:val="none"/>
                <w:lang w:val="en-US" w:eastAsia="zh-CN"/>
                <w14:textFill>
                  <w14:solidFill>
                    <w14:schemeClr w14:val="tx1"/>
                  </w14:solidFill>
                </w14:textFill>
              </w:rPr>
              <w:t>]</w:t>
            </w:r>
            <w:r>
              <w:rPr>
                <w:rFonts w:hint="eastAsia" w:ascii="Times New Roman" w:hAnsi="Times New Roman" w:cs="Times New Roman"/>
                <w:b/>
                <w:bCs w:val="0"/>
                <w:snapToGrid w:val="0"/>
                <w:color w:val="000000" w:themeColor="text1"/>
                <w:spacing w:val="0"/>
                <w:sz w:val="24"/>
                <w:szCs w:val="24"/>
                <w:u w:val="none"/>
                <w:lang w:val="en-US" w:eastAsia="zh-CN"/>
                <w14:textFill>
                  <w14:solidFill>
                    <w14:schemeClr w14:val="tx1"/>
                  </w14:solidFill>
                </w14:textFill>
              </w:rPr>
              <w:t>18</w:t>
            </w:r>
            <w:r>
              <w:rPr>
                <w:rFonts w:hint="eastAsia" w:cs="Times New Roman"/>
                <w:b/>
                <w:bCs w:val="0"/>
                <w:snapToGrid w:val="0"/>
                <w:color w:val="000000" w:themeColor="text1"/>
                <w:spacing w:val="0"/>
                <w:sz w:val="24"/>
                <w:szCs w:val="24"/>
                <w:u w:val="none"/>
                <w:lang w:val="en-US" w:eastAsia="zh-CN"/>
                <w14:textFill>
                  <w14:solidFill>
                    <w14:schemeClr w14:val="tx1"/>
                  </w14:solidFill>
                </w14:textFill>
              </w:rPr>
              <w:t>号</w:t>
            </w:r>
            <w:r>
              <w:rPr>
                <w:rFonts w:hint="eastAsia" w:cs="Times New Roman"/>
                <w:b/>
                <w:bCs w:val="0"/>
                <w:snapToGrid w:val="0"/>
                <w:color w:val="000000" w:themeColor="text1"/>
                <w:spacing w:val="0"/>
                <w:sz w:val="24"/>
                <w:szCs w:val="24"/>
                <w:u w:val="none"/>
                <w:lang w:eastAsia="zh-CN"/>
                <w14:textFill>
                  <w14:solidFill>
                    <w14:schemeClr w14:val="tx1"/>
                  </w14:solidFill>
                </w14:textFill>
              </w:rPr>
              <w:t>）、</w:t>
            </w:r>
            <w:r>
              <w:rPr>
                <w:rFonts w:hint="eastAsia" w:cs="Times New Roman"/>
                <w:b/>
                <w:bCs w:val="0"/>
                <w:color w:val="000000" w:themeColor="text1"/>
                <w:spacing w:val="0"/>
                <w:sz w:val="24"/>
                <w:szCs w:val="24"/>
                <w:lang w:val="en-US" w:eastAsia="zh-CN"/>
                <w14:textFill>
                  <w14:solidFill>
                    <w14:schemeClr w14:val="tx1"/>
                  </w14:solidFill>
                </w14:textFill>
              </w:rPr>
              <w:t>《新乡市2026年碧水保卫战实施方案》</w:t>
            </w:r>
            <w:r>
              <w:rPr>
                <w:rFonts w:hint="eastAsia" w:cs="Times New Roman"/>
                <w:b/>
                <w:bCs w:val="0"/>
                <w:snapToGrid w:val="0"/>
                <w:color w:val="000000" w:themeColor="text1"/>
                <w:spacing w:val="0"/>
                <w:sz w:val="24"/>
                <w:szCs w:val="24"/>
                <w:u w:val="none"/>
                <w:lang w:eastAsia="zh-CN"/>
                <w14:textFill>
                  <w14:solidFill>
                    <w14:schemeClr w14:val="tx1"/>
                  </w14:solidFill>
                </w14:textFill>
              </w:rPr>
              <w:t>（新环委办</w:t>
            </w:r>
            <w:r>
              <w:rPr>
                <w:rFonts w:hint="eastAsia" w:cs="Times New Roman"/>
                <w:b/>
                <w:bCs w:val="0"/>
                <w:snapToGrid w:val="0"/>
                <w:color w:val="000000" w:themeColor="text1"/>
                <w:spacing w:val="0"/>
                <w:sz w:val="24"/>
                <w:szCs w:val="24"/>
                <w:u w:val="none"/>
                <w:lang w:val="en-US" w:eastAsia="zh-CN"/>
                <w14:textFill>
                  <w14:solidFill>
                    <w14:schemeClr w14:val="tx1"/>
                  </w14:solidFill>
                </w14:textFill>
              </w:rPr>
              <w:t>[</w:t>
            </w:r>
            <w:r>
              <w:rPr>
                <w:rFonts w:hint="eastAsia" w:ascii="Times New Roman" w:hAnsi="Times New Roman" w:cs="Times New Roman"/>
                <w:b/>
                <w:bCs w:val="0"/>
                <w:snapToGrid w:val="0"/>
                <w:color w:val="000000" w:themeColor="text1"/>
                <w:spacing w:val="0"/>
                <w:sz w:val="24"/>
                <w:szCs w:val="24"/>
                <w:u w:val="none"/>
                <w:lang w:val="en-US" w:eastAsia="zh-CN"/>
                <w14:textFill>
                  <w14:solidFill>
                    <w14:schemeClr w14:val="tx1"/>
                  </w14:solidFill>
                </w14:textFill>
              </w:rPr>
              <w:t>2026</w:t>
            </w:r>
            <w:r>
              <w:rPr>
                <w:rFonts w:hint="eastAsia" w:cs="Times New Roman"/>
                <w:b/>
                <w:bCs w:val="0"/>
                <w:snapToGrid w:val="0"/>
                <w:color w:val="000000" w:themeColor="text1"/>
                <w:spacing w:val="0"/>
                <w:sz w:val="24"/>
                <w:szCs w:val="24"/>
                <w:u w:val="none"/>
                <w:lang w:val="en-US" w:eastAsia="zh-CN"/>
                <w14:textFill>
                  <w14:solidFill>
                    <w14:schemeClr w14:val="tx1"/>
                  </w14:solidFill>
                </w14:textFill>
              </w:rPr>
              <w:t>]</w:t>
            </w:r>
            <w:r>
              <w:rPr>
                <w:rFonts w:hint="eastAsia" w:ascii="Times New Roman" w:hAnsi="Times New Roman" w:cs="Times New Roman"/>
                <w:b/>
                <w:bCs w:val="0"/>
                <w:snapToGrid w:val="0"/>
                <w:color w:val="000000" w:themeColor="text1"/>
                <w:spacing w:val="0"/>
                <w:sz w:val="24"/>
                <w:szCs w:val="24"/>
                <w:u w:val="none"/>
                <w:lang w:val="en-US" w:eastAsia="zh-CN"/>
                <w14:textFill>
                  <w14:solidFill>
                    <w14:schemeClr w14:val="tx1"/>
                  </w14:solidFill>
                </w14:textFill>
              </w:rPr>
              <w:t>1</w:t>
            </w:r>
            <w:r>
              <w:rPr>
                <w:rFonts w:hint="eastAsia" w:cs="Times New Roman"/>
                <w:b/>
                <w:bCs w:val="0"/>
                <w:snapToGrid w:val="0"/>
                <w:color w:val="000000" w:themeColor="text1"/>
                <w:spacing w:val="0"/>
                <w:sz w:val="24"/>
                <w:szCs w:val="24"/>
                <w:u w:val="none"/>
                <w:lang w:val="en-US" w:eastAsia="zh-CN"/>
                <w14:textFill>
                  <w14:solidFill>
                    <w14:schemeClr w14:val="tx1"/>
                  </w14:solidFill>
                </w14:textFill>
              </w:rPr>
              <w:t>7号</w:t>
            </w:r>
            <w:r>
              <w:rPr>
                <w:rFonts w:hint="eastAsia" w:cs="Times New Roman"/>
                <w:b/>
                <w:bCs w:val="0"/>
                <w:snapToGrid w:val="0"/>
                <w:color w:val="000000" w:themeColor="text1"/>
                <w:spacing w:val="0"/>
                <w:sz w:val="24"/>
                <w:szCs w:val="24"/>
                <w:u w:val="none"/>
                <w:lang w:eastAsia="zh-CN"/>
                <w14:textFill>
                  <w14:solidFill>
                    <w14:schemeClr w14:val="tx1"/>
                  </w14:solidFill>
                </w14:textFill>
              </w:rPr>
              <w:t>）</w:t>
            </w:r>
            <w:r>
              <w:rPr>
                <w:rFonts w:hint="eastAsia" w:cs="Times New Roman"/>
                <w:b/>
                <w:bCs w:val="0"/>
                <w:color w:val="000000" w:themeColor="text1"/>
                <w:spacing w:val="0"/>
                <w:sz w:val="24"/>
                <w:szCs w:val="24"/>
                <w:lang w:val="en-US" w:eastAsia="zh-CN"/>
                <w14:textFill>
                  <w14:solidFill>
                    <w14:schemeClr w14:val="tx1"/>
                  </w14:solidFill>
                </w14:textFill>
              </w:rPr>
              <w:t>、《新乡市2026年净土保卫战实施方案》</w:t>
            </w:r>
            <w:r>
              <w:rPr>
                <w:rFonts w:hint="eastAsia" w:cs="Times New Roman"/>
                <w:b/>
                <w:bCs w:val="0"/>
                <w:snapToGrid w:val="0"/>
                <w:color w:val="000000" w:themeColor="text1"/>
                <w:spacing w:val="0"/>
                <w:sz w:val="24"/>
                <w:szCs w:val="24"/>
                <w:u w:val="none"/>
                <w:lang w:eastAsia="zh-CN"/>
                <w14:textFill>
                  <w14:solidFill>
                    <w14:schemeClr w14:val="tx1"/>
                  </w14:solidFill>
                </w14:textFill>
              </w:rPr>
              <w:t>（新环委办</w:t>
            </w:r>
            <w:r>
              <w:rPr>
                <w:rFonts w:hint="eastAsia" w:cs="Times New Roman"/>
                <w:b/>
                <w:bCs w:val="0"/>
                <w:snapToGrid w:val="0"/>
                <w:color w:val="000000" w:themeColor="text1"/>
                <w:spacing w:val="0"/>
                <w:sz w:val="24"/>
                <w:szCs w:val="24"/>
                <w:u w:val="none"/>
                <w:lang w:val="en-US" w:eastAsia="zh-CN"/>
                <w14:textFill>
                  <w14:solidFill>
                    <w14:schemeClr w14:val="tx1"/>
                  </w14:solidFill>
                </w14:textFill>
              </w:rPr>
              <w:t>[</w:t>
            </w:r>
            <w:r>
              <w:rPr>
                <w:rFonts w:hint="eastAsia" w:ascii="Times New Roman" w:hAnsi="Times New Roman" w:cs="Times New Roman"/>
                <w:b/>
                <w:bCs w:val="0"/>
                <w:snapToGrid w:val="0"/>
                <w:color w:val="000000" w:themeColor="text1"/>
                <w:spacing w:val="0"/>
                <w:sz w:val="24"/>
                <w:szCs w:val="24"/>
                <w:u w:val="none"/>
                <w:lang w:val="en-US" w:eastAsia="zh-CN"/>
                <w14:textFill>
                  <w14:solidFill>
                    <w14:schemeClr w14:val="tx1"/>
                  </w14:solidFill>
                </w14:textFill>
              </w:rPr>
              <w:t>2026</w:t>
            </w:r>
            <w:r>
              <w:rPr>
                <w:rFonts w:hint="eastAsia" w:cs="Times New Roman"/>
                <w:b/>
                <w:bCs w:val="0"/>
                <w:snapToGrid w:val="0"/>
                <w:color w:val="000000" w:themeColor="text1"/>
                <w:spacing w:val="0"/>
                <w:sz w:val="24"/>
                <w:szCs w:val="24"/>
                <w:u w:val="none"/>
                <w:lang w:val="en-US" w:eastAsia="zh-CN"/>
                <w14:textFill>
                  <w14:solidFill>
                    <w14:schemeClr w14:val="tx1"/>
                  </w14:solidFill>
                </w14:textFill>
              </w:rPr>
              <w:t>]20号</w:t>
            </w:r>
            <w:r>
              <w:rPr>
                <w:rFonts w:hint="eastAsia" w:cs="Times New Roman"/>
                <w:b/>
                <w:bCs w:val="0"/>
                <w:snapToGrid w:val="0"/>
                <w:color w:val="000000" w:themeColor="text1"/>
                <w:spacing w:val="0"/>
                <w:sz w:val="24"/>
                <w:szCs w:val="24"/>
                <w:u w:val="none"/>
                <w:lang w:eastAsia="zh-CN"/>
                <w14:textFill>
                  <w14:solidFill>
                    <w14:schemeClr w14:val="tx1"/>
                  </w14:solidFill>
                </w14:textFill>
              </w:rPr>
              <w:t>）、</w:t>
            </w:r>
            <w:r>
              <w:rPr>
                <w:rFonts w:hint="eastAsia" w:cs="Times New Roman"/>
                <w:b/>
                <w:bCs w:val="0"/>
                <w:color w:val="000000" w:themeColor="text1"/>
                <w:spacing w:val="0"/>
                <w:sz w:val="24"/>
                <w:szCs w:val="24"/>
                <w:lang w:val="en-US" w:eastAsia="zh-CN"/>
                <w14:textFill>
                  <w14:solidFill>
                    <w14:schemeClr w14:val="tx1"/>
                  </w14:solidFill>
                </w14:textFill>
              </w:rPr>
              <w:t>《新乡市2026年柴油货车污染治理攻坚战实施方案》的通知</w:t>
            </w:r>
            <w:r>
              <w:rPr>
                <w:rFonts w:hint="eastAsia" w:cs="Times New Roman"/>
                <w:b/>
                <w:bCs w:val="0"/>
                <w:snapToGrid w:val="0"/>
                <w:color w:val="000000" w:themeColor="text1"/>
                <w:spacing w:val="0"/>
                <w:sz w:val="24"/>
                <w:szCs w:val="24"/>
                <w:u w:val="none"/>
                <w:lang w:eastAsia="zh-CN"/>
                <w14:textFill>
                  <w14:solidFill>
                    <w14:schemeClr w14:val="tx1"/>
                  </w14:solidFill>
                </w14:textFill>
              </w:rPr>
              <w:t>（新环委办</w:t>
            </w:r>
            <w:r>
              <w:rPr>
                <w:rFonts w:hint="eastAsia" w:cs="Times New Roman"/>
                <w:b/>
                <w:bCs w:val="0"/>
                <w:snapToGrid w:val="0"/>
                <w:color w:val="000000" w:themeColor="text1"/>
                <w:spacing w:val="0"/>
                <w:sz w:val="24"/>
                <w:szCs w:val="24"/>
                <w:u w:val="none"/>
                <w:lang w:val="en-US" w:eastAsia="zh-CN"/>
                <w14:textFill>
                  <w14:solidFill>
                    <w14:schemeClr w14:val="tx1"/>
                  </w14:solidFill>
                </w14:textFill>
              </w:rPr>
              <w:t>[</w:t>
            </w:r>
            <w:r>
              <w:rPr>
                <w:rFonts w:hint="eastAsia" w:ascii="Times New Roman" w:hAnsi="Times New Roman" w:cs="Times New Roman"/>
                <w:b/>
                <w:bCs w:val="0"/>
                <w:snapToGrid w:val="0"/>
                <w:color w:val="000000" w:themeColor="text1"/>
                <w:spacing w:val="0"/>
                <w:sz w:val="24"/>
                <w:szCs w:val="24"/>
                <w:u w:val="none"/>
                <w:lang w:val="en-US" w:eastAsia="zh-CN"/>
                <w14:textFill>
                  <w14:solidFill>
                    <w14:schemeClr w14:val="tx1"/>
                  </w14:solidFill>
                </w14:textFill>
              </w:rPr>
              <w:t>2026</w:t>
            </w:r>
            <w:r>
              <w:rPr>
                <w:rFonts w:hint="eastAsia" w:cs="Times New Roman"/>
                <w:b/>
                <w:bCs w:val="0"/>
                <w:snapToGrid w:val="0"/>
                <w:color w:val="000000" w:themeColor="text1"/>
                <w:spacing w:val="0"/>
                <w:sz w:val="24"/>
                <w:szCs w:val="24"/>
                <w:u w:val="none"/>
                <w:lang w:val="en-US" w:eastAsia="zh-CN"/>
                <w14:textFill>
                  <w14:solidFill>
                    <w14:schemeClr w14:val="tx1"/>
                  </w14:solidFill>
                </w14:textFill>
              </w:rPr>
              <w:t>]21号</w:t>
            </w:r>
            <w:r>
              <w:rPr>
                <w:rFonts w:hint="eastAsia" w:cs="Times New Roman"/>
                <w:b/>
                <w:bCs w:val="0"/>
                <w:snapToGrid w:val="0"/>
                <w:color w:val="000000" w:themeColor="text1"/>
                <w:spacing w:val="0"/>
                <w:sz w:val="24"/>
                <w:szCs w:val="24"/>
                <w:u w:val="none"/>
                <w:lang w:eastAsia="zh-CN"/>
                <w14:textFill>
                  <w14:solidFill>
                    <w14:schemeClr w14:val="tx1"/>
                  </w14:solidFill>
                </w14:textFill>
              </w:rPr>
              <w:t>）</w:t>
            </w:r>
            <w:r>
              <w:rPr>
                <w:rFonts w:hint="default" w:ascii="Times New Roman" w:hAnsi="Times New Roman" w:eastAsia="宋体" w:cs="Times New Roman"/>
                <w:b/>
                <w:bCs w:val="0"/>
                <w:color w:val="000000" w:themeColor="text1"/>
                <w:spacing w:val="0"/>
                <w:kern w:val="0"/>
                <w:sz w:val="24"/>
                <w:szCs w:val="24"/>
                <w:highlight w:val="none"/>
                <w:u w:val="none"/>
                <w14:textFill>
                  <w14:solidFill>
                    <w14:schemeClr w14:val="tx1"/>
                  </w14:solidFill>
                </w14:textFill>
              </w:rPr>
              <w:t>相符性分析</w:t>
            </w:r>
            <w:r>
              <w:rPr>
                <w:rFonts w:hint="eastAsia" w:cs="Times New Roman"/>
                <w:b/>
                <w:bCs w:val="0"/>
                <w:color w:val="000000" w:themeColor="text1"/>
                <w:spacing w:val="0"/>
                <w:kern w:val="0"/>
                <w:sz w:val="24"/>
                <w:szCs w:val="24"/>
                <w:highlight w:val="none"/>
                <w:u w:val="none"/>
                <w:lang w:eastAsia="zh-CN"/>
                <w14:textFill>
                  <w14:solidFill>
                    <w14:schemeClr w14:val="tx1"/>
                  </w14:solidFill>
                </w14:textFill>
              </w:rPr>
              <w:t>。</w:t>
            </w:r>
          </w:p>
          <w:p w14:paraId="6F0487C8">
            <w:pPr>
              <w:keepNext w:val="0"/>
              <w:keepLines w:val="0"/>
              <w:suppressLineNumbers w:val="0"/>
              <w:spacing w:before="0" w:beforeAutospacing="0" w:after="0" w:afterAutospacing="0" w:line="460" w:lineRule="exact"/>
              <w:ind w:left="0" w:right="0" w:firstLine="480" w:firstLineChars="200"/>
              <w:rPr>
                <w:rFonts w:hint="default" w:ascii="Times New Roman" w:hAnsi="Times New Roman" w:eastAsia="黑体" w:cs="Times New Roman"/>
                <w:bCs/>
                <w:color w:val="FF0000"/>
                <w:spacing w:val="0"/>
                <w:sz w:val="24"/>
                <w:lang w:val="en-US" w:eastAsia="zh-CN"/>
              </w:rPr>
            </w:pPr>
            <w:r>
              <w:rPr>
                <w:rFonts w:hint="default" w:ascii="Times New Roman" w:hAnsi="Times New Roman" w:eastAsia="黑体" w:cs="Times New Roman"/>
                <w:b w:val="0"/>
                <w:bCs w:val="0"/>
                <w:color w:val="000000" w:themeColor="text1"/>
                <w:spacing w:val="0"/>
                <w:kern w:val="0"/>
                <w:sz w:val="24"/>
                <w:szCs w:val="24"/>
                <w:u w:val="none"/>
                <w14:textFill>
                  <w14:solidFill>
                    <w14:schemeClr w14:val="tx1"/>
                  </w14:solidFill>
                </w14:textFill>
              </w:rPr>
              <w:t>表</w:t>
            </w:r>
            <w:r>
              <w:rPr>
                <w:rFonts w:hint="default" w:ascii="Times New Roman" w:hAnsi="Times New Roman" w:eastAsia="黑体" w:cs="Times New Roman"/>
                <w:b w:val="0"/>
                <w:bCs w:val="0"/>
                <w:color w:val="000000" w:themeColor="text1"/>
                <w:spacing w:val="0"/>
                <w:kern w:val="0"/>
                <w:sz w:val="24"/>
                <w:szCs w:val="24"/>
                <w:u w:val="none"/>
                <w:lang w:val="en-US" w:eastAsia="zh-CN"/>
                <w14:textFill>
                  <w14:solidFill>
                    <w14:schemeClr w14:val="tx1"/>
                  </w14:solidFill>
                </w14:textFill>
              </w:rPr>
              <w:t>1-</w:t>
            </w:r>
            <w:r>
              <w:rPr>
                <w:rFonts w:hint="eastAsia" w:eastAsia="黑体" w:cs="Times New Roman"/>
                <w:b w:val="0"/>
                <w:bCs w:val="0"/>
                <w:color w:val="000000" w:themeColor="text1"/>
                <w:spacing w:val="0"/>
                <w:kern w:val="0"/>
                <w:sz w:val="24"/>
                <w:szCs w:val="24"/>
                <w:u w:val="none"/>
                <w:lang w:val="en-US" w:eastAsia="zh-CN"/>
                <w14:textFill>
                  <w14:solidFill>
                    <w14:schemeClr w14:val="tx1"/>
                  </w14:solidFill>
                </w14:textFill>
              </w:rPr>
              <w:t xml:space="preserve">9 </w:t>
            </w:r>
            <w:r>
              <w:rPr>
                <w:rFonts w:hint="default" w:ascii="Times New Roman" w:hAnsi="Times New Roman" w:eastAsia="黑体" w:cs="Times New Roman"/>
                <w:b w:val="0"/>
                <w:bCs w:val="0"/>
                <w:color w:val="000000" w:themeColor="text1"/>
                <w:spacing w:val="0"/>
                <w:kern w:val="0"/>
                <w:sz w:val="24"/>
                <w:szCs w:val="24"/>
                <w:u w:val="none"/>
                <w:lang w:val="en-US" w:eastAsia="zh-CN"/>
                <w14:textFill>
                  <w14:solidFill>
                    <w14:schemeClr w14:val="tx1"/>
                  </w14:solidFill>
                </w14:textFill>
              </w:rPr>
              <w:t xml:space="preserve">   </w:t>
            </w:r>
            <w:r>
              <w:rPr>
                <w:rFonts w:hint="default" w:ascii="Times New Roman" w:hAnsi="Times New Roman" w:eastAsia="黑体" w:cs="Times New Roman"/>
                <w:bCs/>
                <w:color w:val="000000" w:themeColor="text1"/>
                <w:spacing w:val="0"/>
                <w:sz w:val="24"/>
                <w:lang w:val="en-US" w:eastAsia="zh-CN"/>
                <w14:textFill>
                  <w14:solidFill>
                    <w14:schemeClr w14:val="tx1"/>
                  </w14:solidFill>
                </w14:textFill>
              </w:rPr>
              <w:t>与</w:t>
            </w:r>
            <w:r>
              <w:rPr>
                <w:rFonts w:hint="eastAsia" w:eastAsia="黑体" w:cs="Times New Roman"/>
                <w:bCs/>
                <w:color w:val="000000" w:themeColor="text1"/>
                <w:spacing w:val="0"/>
                <w:sz w:val="24"/>
                <w:lang w:val="en-US" w:eastAsia="zh-CN"/>
                <w14:textFill>
                  <w14:solidFill>
                    <w14:schemeClr w14:val="tx1"/>
                  </w14:solidFill>
                </w14:textFill>
              </w:rPr>
              <w:t>《新乡市2026年实施方案》</w:t>
            </w:r>
            <w:r>
              <w:rPr>
                <w:rFonts w:hint="default" w:ascii="Times New Roman" w:hAnsi="Times New Roman" w:eastAsia="黑体" w:cs="Times New Roman"/>
                <w:bCs/>
                <w:color w:val="000000" w:themeColor="text1"/>
                <w:spacing w:val="0"/>
                <w:sz w:val="24"/>
                <w:lang w:val="en-US" w:eastAsia="zh-CN"/>
                <w14:textFill>
                  <w14:solidFill>
                    <w14:schemeClr w14:val="tx1"/>
                  </w14:solidFill>
                </w14:textFill>
              </w:rPr>
              <w:t>的相符性分析</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17"/>
              <w:gridCol w:w="1987"/>
              <w:gridCol w:w="791"/>
            </w:tblGrid>
            <w:tr w14:paraId="649BD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17" w:type="dxa"/>
                  <w:noWrap w:val="0"/>
                  <w:vAlign w:val="center"/>
                </w:tcPr>
                <w:p w14:paraId="281CCB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pP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与本项目相关条文</w:t>
                  </w:r>
                </w:p>
              </w:tc>
              <w:tc>
                <w:tcPr>
                  <w:tcW w:w="1987" w:type="dxa"/>
                  <w:noWrap w:val="0"/>
                  <w:vAlign w:val="center"/>
                </w:tcPr>
                <w:p w14:paraId="69E2B9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pP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本项目情况</w:t>
                  </w:r>
                </w:p>
              </w:tc>
              <w:tc>
                <w:tcPr>
                  <w:tcW w:w="791" w:type="dxa"/>
                  <w:noWrap w:val="0"/>
                  <w:vAlign w:val="center"/>
                </w:tcPr>
                <w:p w14:paraId="216F7F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pP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对比结果</w:t>
                  </w:r>
                </w:p>
              </w:tc>
            </w:tr>
            <w:tr w14:paraId="4A5A8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695" w:type="dxa"/>
                  <w:gridSpan w:val="3"/>
                  <w:noWrap w:val="0"/>
                  <w:vAlign w:val="center"/>
                </w:tcPr>
                <w:p w14:paraId="36038C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val="0"/>
                      <w:bCs w:val="0"/>
                      <w:snapToGrid w:val="0"/>
                      <w:color w:val="000000" w:themeColor="text1"/>
                      <w:spacing w:val="0"/>
                      <w:sz w:val="21"/>
                      <w:szCs w:val="21"/>
                      <w:u w:val="none"/>
                      <w:lang w:eastAsia="zh-CN"/>
                      <w14:textFill>
                        <w14:solidFill>
                          <w14:schemeClr w14:val="tx1"/>
                        </w14:solidFill>
                      </w14:textFill>
                    </w:rPr>
                  </w:pP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w:t>
                  </w:r>
                  <w:r>
                    <w:rPr>
                      <w:rFonts w:hint="default" w:ascii="Times New Roman" w:hAnsi="Times New Roman" w:eastAsia="宋体" w:cs="Times New Roman"/>
                      <w:b/>
                      <w:bCs/>
                      <w:color w:val="000000" w:themeColor="text1"/>
                      <w:spacing w:val="0"/>
                      <w:sz w:val="21"/>
                      <w:szCs w:val="21"/>
                      <w:lang w:val="en-US" w:eastAsia="zh-CN"/>
                      <w14:textFill>
                        <w14:solidFill>
                          <w14:schemeClr w14:val="tx1"/>
                        </w14:solidFill>
                      </w14:textFill>
                    </w:rPr>
                    <w:t>新乡市202</w:t>
                  </w:r>
                  <w:r>
                    <w:rPr>
                      <w:rFonts w:hint="eastAsia" w:cs="Times New Roman"/>
                      <w:b/>
                      <w:bCs/>
                      <w:color w:val="000000" w:themeColor="text1"/>
                      <w:spacing w:val="0"/>
                      <w:sz w:val="21"/>
                      <w:szCs w:val="21"/>
                      <w:lang w:val="en-US" w:eastAsia="zh-CN"/>
                      <w14:textFill>
                        <w14:solidFill>
                          <w14:schemeClr w14:val="tx1"/>
                        </w14:solidFill>
                      </w14:textFill>
                    </w:rPr>
                    <w:t>6</w:t>
                  </w:r>
                  <w:r>
                    <w:rPr>
                      <w:rFonts w:hint="default" w:ascii="Times New Roman" w:hAnsi="Times New Roman" w:eastAsia="宋体" w:cs="Times New Roman"/>
                      <w:b/>
                      <w:bCs/>
                      <w:color w:val="000000" w:themeColor="text1"/>
                      <w:spacing w:val="0"/>
                      <w:sz w:val="21"/>
                      <w:szCs w:val="21"/>
                      <w:lang w:val="en-US" w:eastAsia="zh-CN"/>
                      <w14:textFill>
                        <w14:solidFill>
                          <w14:schemeClr w14:val="tx1"/>
                        </w14:solidFill>
                      </w14:textFill>
                    </w:rPr>
                    <w:t>年蓝天保卫战实施方案</w:t>
                  </w: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w:t>
                  </w:r>
                  <w:r>
                    <w:rPr>
                      <w:rFonts w:hint="eastAsia" w:cs="Times New Roman"/>
                      <w:b/>
                      <w:bCs/>
                      <w:snapToGrid w:val="0"/>
                      <w:color w:val="000000" w:themeColor="text1"/>
                      <w:spacing w:val="0"/>
                      <w:sz w:val="21"/>
                      <w:szCs w:val="21"/>
                      <w:u w:val="none"/>
                      <w:lang w:eastAsia="zh-CN"/>
                      <w14:textFill>
                        <w14:solidFill>
                          <w14:schemeClr w14:val="tx1"/>
                        </w14:solidFill>
                      </w14:textFill>
                    </w:rPr>
                    <w:t>（新环委办</w:t>
                  </w:r>
                  <w:r>
                    <w:rPr>
                      <w:rFonts w:hint="eastAsia" w:cs="Times New Roman"/>
                      <w:b/>
                      <w:bCs/>
                      <w:snapToGrid w:val="0"/>
                      <w:color w:val="000000" w:themeColor="text1"/>
                      <w:spacing w:val="0"/>
                      <w:sz w:val="21"/>
                      <w:szCs w:val="21"/>
                      <w:u w:val="none"/>
                      <w:lang w:val="en-US" w:eastAsia="zh-CN"/>
                      <w14:textFill>
                        <w14:solidFill>
                          <w14:schemeClr w14:val="tx1"/>
                        </w14:solidFill>
                      </w14:textFill>
                    </w:rPr>
                    <w:t>[</w:t>
                  </w:r>
                  <w:r>
                    <w:rPr>
                      <w:rFonts w:hint="eastAsia" w:ascii="Times New Roman" w:hAnsi="Times New Roman" w:cs="Times New Roman"/>
                      <w:b/>
                      <w:bCs/>
                      <w:snapToGrid w:val="0"/>
                      <w:color w:val="000000" w:themeColor="text1"/>
                      <w:spacing w:val="0"/>
                      <w:sz w:val="21"/>
                      <w:szCs w:val="21"/>
                      <w:u w:val="none"/>
                      <w:lang w:val="en-US" w:eastAsia="zh-CN"/>
                      <w14:textFill>
                        <w14:solidFill>
                          <w14:schemeClr w14:val="tx1"/>
                        </w14:solidFill>
                      </w14:textFill>
                    </w:rPr>
                    <w:t>2026</w:t>
                  </w:r>
                  <w:r>
                    <w:rPr>
                      <w:rFonts w:hint="eastAsia" w:cs="Times New Roman"/>
                      <w:b/>
                      <w:bCs/>
                      <w:snapToGrid w:val="0"/>
                      <w:color w:val="000000" w:themeColor="text1"/>
                      <w:spacing w:val="0"/>
                      <w:sz w:val="21"/>
                      <w:szCs w:val="21"/>
                      <w:u w:val="none"/>
                      <w:lang w:val="en-US" w:eastAsia="zh-CN"/>
                      <w14:textFill>
                        <w14:solidFill>
                          <w14:schemeClr w14:val="tx1"/>
                        </w14:solidFill>
                      </w14:textFill>
                    </w:rPr>
                    <w:t>]</w:t>
                  </w:r>
                  <w:r>
                    <w:rPr>
                      <w:rFonts w:hint="eastAsia" w:ascii="Times New Roman" w:hAnsi="Times New Roman" w:cs="Times New Roman"/>
                      <w:b/>
                      <w:bCs/>
                      <w:snapToGrid w:val="0"/>
                      <w:color w:val="000000" w:themeColor="text1"/>
                      <w:spacing w:val="0"/>
                      <w:sz w:val="21"/>
                      <w:szCs w:val="21"/>
                      <w:u w:val="none"/>
                      <w:lang w:val="en-US" w:eastAsia="zh-CN"/>
                      <w14:textFill>
                        <w14:solidFill>
                          <w14:schemeClr w14:val="tx1"/>
                        </w14:solidFill>
                      </w14:textFill>
                    </w:rPr>
                    <w:t>18号</w:t>
                  </w:r>
                  <w:r>
                    <w:rPr>
                      <w:rFonts w:hint="eastAsia" w:cs="Times New Roman"/>
                      <w:b/>
                      <w:bCs/>
                      <w:snapToGrid w:val="0"/>
                      <w:color w:val="000000" w:themeColor="text1"/>
                      <w:spacing w:val="0"/>
                      <w:sz w:val="21"/>
                      <w:szCs w:val="21"/>
                      <w:u w:val="none"/>
                      <w:lang w:eastAsia="zh-CN"/>
                      <w14:textFill>
                        <w14:solidFill>
                          <w14:schemeClr w14:val="tx1"/>
                        </w14:solidFill>
                      </w14:textFill>
                    </w:rPr>
                    <w:t>）</w:t>
                  </w:r>
                </w:p>
              </w:tc>
            </w:tr>
            <w:tr w14:paraId="264E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7" w:type="dxa"/>
                  <w:noWrap w:val="0"/>
                  <w:vAlign w:val="center"/>
                </w:tcPr>
                <w:p w14:paraId="247A72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eastAsia="宋体" w:cs="Times New Roman"/>
                      <w:b w:val="0"/>
                      <w:bCs w:val="0"/>
                      <w:snapToGrid w:val="0"/>
                      <w:color w:val="000000" w:themeColor="text1"/>
                      <w:spacing w:val="0"/>
                      <w:sz w:val="21"/>
                      <w:szCs w:val="21"/>
                      <w:u w:val="none"/>
                      <w:lang w:val="en-US" w:eastAsia="zh-CN"/>
                      <w14:textFill>
                        <w14:solidFill>
                          <w14:schemeClr w14:val="tx1"/>
                        </w14:solidFill>
                      </w14:textFill>
                    </w:rPr>
                  </w:pP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15.推动重点行业企业环境绩效等级提升。聚焦火电、垃圾发电、水泥熟料、煤制氮肥、耐火材料、日用玻璃、烧结砖瓦、砂石骨料、炭素、铸造、石灰窑及商砼(沥青)搅拌站等重点行业，按照“轻重缓急”原则，建立梯度化培育提升清单。对照绩效分级技术指南，编制“一企一策”提标改造方案，强化全过程监督帮扶指导。2026年底，全市创建A、B级及绩效引领性企业50家，其中A级企业不少于8家。严格按照国家和省级相关政策规定，在项目审批、环保税减免、资金奖补、差别化电价等方面给予支持，充分发挥标杆企业示范引领作用。</w:t>
                  </w:r>
                </w:p>
              </w:tc>
              <w:tc>
                <w:tcPr>
                  <w:tcW w:w="1987" w:type="dxa"/>
                  <w:noWrap w:val="0"/>
                  <w:vAlign w:val="center"/>
                </w:tcPr>
                <w:p w14:paraId="7B98D097">
                  <w:pPr>
                    <w:keepNext w:val="0"/>
                    <w:keepLines w:val="0"/>
                    <w:suppressLineNumbers w:val="0"/>
                    <w:spacing w:before="0" w:beforeAutospacing="0" w:after="0" w:afterAutospacing="0" w:line="240" w:lineRule="auto"/>
                    <w:ind w:left="0" w:leftChars="0" w:right="0" w:firstLine="0" w:firstLineChars="0"/>
                    <w:rPr>
                      <w:rFonts w:hint="eastAsia" w:cs="Times New Roman"/>
                      <w:b w:val="0"/>
                      <w:bCs w:val="0"/>
                      <w:snapToGrid w:val="0"/>
                      <w:color w:val="000000" w:themeColor="text1"/>
                      <w:spacing w:val="0"/>
                      <w:sz w:val="21"/>
                      <w:szCs w:val="21"/>
                      <w:u w:val="none"/>
                      <w:lang w:eastAsia="zh-CN"/>
                      <w14:textFill>
                        <w14:solidFill>
                          <w14:schemeClr w14:val="tx1"/>
                        </w14:solidFill>
                      </w14:textFill>
                    </w:rPr>
                  </w:pP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本项目满足《河南省重污染天气通用行业应急减排措施制定技术指南》（2024年修订稿）</w:t>
                  </w:r>
                  <w:r>
                    <w:rPr>
                      <w:rFonts w:hint="eastAsia" w:cs="Times New Roman"/>
                      <w:b w:val="0"/>
                      <w:bCs w:val="0"/>
                      <w:color w:val="000000" w:themeColor="text1"/>
                      <w:spacing w:val="0"/>
                      <w:sz w:val="21"/>
                      <w:szCs w:val="21"/>
                      <w:lang w:val="en-US" w:eastAsia="zh-CN"/>
                      <w14:textFill>
                        <w14:solidFill>
                          <w14:schemeClr w14:val="tx1"/>
                        </w14:solidFill>
                      </w14:textFill>
                    </w:rPr>
                    <w:t>中</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涉锅炉/炉窑</w:t>
                  </w:r>
                  <w:r>
                    <w:rPr>
                      <w:rFonts w:hint="eastAsia" w:cs="Times New Roman"/>
                      <w:b w:val="0"/>
                      <w:bCs w:val="0"/>
                      <w:color w:val="000000" w:themeColor="text1"/>
                      <w:spacing w:val="0"/>
                      <w:sz w:val="21"/>
                      <w:szCs w:val="21"/>
                      <w:lang w:val="en-US" w:eastAsia="zh-CN"/>
                      <w14:textFill>
                        <w14:solidFill>
                          <w14:schemeClr w14:val="tx1"/>
                        </w14:solidFill>
                      </w14:textFill>
                    </w:rPr>
                    <w:t>A级</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企业绩效</w:t>
                  </w:r>
                  <w:r>
                    <w:rPr>
                      <w:rFonts w:hint="eastAsia" w:cs="Times New Roman"/>
                      <w:b w:val="0"/>
                      <w:bCs w:val="0"/>
                      <w:color w:val="000000" w:themeColor="text1"/>
                      <w:spacing w:val="0"/>
                      <w:sz w:val="21"/>
                      <w:szCs w:val="21"/>
                      <w:lang w:val="en-US" w:eastAsia="zh-CN"/>
                      <w14:textFill>
                        <w14:solidFill>
                          <w14:schemeClr w14:val="tx1"/>
                        </w14:solidFill>
                      </w14:textFill>
                    </w:rPr>
                    <w:t>分级</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指标基本要求</w:t>
                  </w:r>
                </w:p>
              </w:tc>
              <w:tc>
                <w:tcPr>
                  <w:tcW w:w="791" w:type="dxa"/>
                  <w:noWrap w:val="0"/>
                  <w:vAlign w:val="center"/>
                </w:tcPr>
                <w:p w14:paraId="5AC94F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ascii="Times New Roman" w:hAnsi="Times New Roman" w:eastAsia="宋体"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val="0"/>
                      <w:bCs w:val="0"/>
                      <w:snapToGrid w:val="0"/>
                      <w:color w:val="000000" w:themeColor="text1"/>
                      <w:spacing w:val="0"/>
                      <w:sz w:val="21"/>
                      <w:szCs w:val="21"/>
                      <w:u w:val="none"/>
                      <w:lang w:eastAsia="zh-CN"/>
                      <w14:textFill>
                        <w14:solidFill>
                          <w14:schemeClr w14:val="tx1"/>
                        </w14:solidFill>
                      </w14:textFill>
                    </w:rPr>
                    <w:t>相符</w:t>
                  </w:r>
                </w:p>
              </w:tc>
            </w:tr>
            <w:tr w14:paraId="43194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7" w:type="dxa"/>
                  <w:noWrap w:val="0"/>
                  <w:vAlign w:val="center"/>
                </w:tcPr>
                <w:p w14:paraId="451D70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pP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18.实施挥发性有机物(VOCs)综合治理。严格遵循“可替尽替、应代尽代”原则，进一步加大工业涂装、包装印刷、家具制造、电子制造等重点行业低VOCs含量原辅材料替代力度，全面采用符合相关VOCs含量限值标准的涂料、油墨、胶粘剂及清洗剂。全面推行活性炭更新更换“码上换”管理模式，2026年4月底前，所有采用活性炭吸附治理工艺的企业完成二维码登记、活性炭更换相关信息录入及一轮次活性炭更换工作，实现活性炭更换动态管控。持续推进VOCs治理突出问题排查整治工作，加强污染治理设施日常运行维护，强化无组织及非正常工况废气排放管控，提升废气收集效率，规范开展泄漏检测与修复(LDAR)工作。2026年9月底前，实现废水逸散高浓度VOCs废气单独收集治理，挥发性有机液体储罐基本采用低泄漏储罐呼吸阀、紧急泄压阀，汽车罐车基本配备自封式快速接头。</w:t>
                  </w:r>
                </w:p>
              </w:tc>
              <w:tc>
                <w:tcPr>
                  <w:tcW w:w="1987" w:type="dxa"/>
                  <w:noWrap w:val="0"/>
                  <w:vAlign w:val="center"/>
                </w:tcPr>
                <w:p w14:paraId="6A7A47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bCs/>
                      <w:color w:val="000000" w:themeColor="text1"/>
                      <w:spacing w:val="0"/>
                      <w:sz w:val="21"/>
                      <w:szCs w:val="21"/>
                      <w:lang w:eastAsia="zh-CN"/>
                      <w14:textFill>
                        <w14:solidFill>
                          <w14:schemeClr w14:val="tx1"/>
                        </w14:solidFill>
                      </w14:textFill>
                    </w:rPr>
                  </w:pPr>
                  <w:r>
                    <w:rPr>
                      <w:rFonts w:hint="eastAsia" w:ascii="Times New Roman" w:hAnsi="Times New Roman" w:eastAsia="宋体" w:cs="Times New Roman"/>
                      <w:b w:val="0"/>
                      <w:bCs w:val="0"/>
                      <w:color w:val="000000" w:themeColor="text1"/>
                      <w:spacing w:val="0"/>
                      <w:sz w:val="21"/>
                      <w:szCs w:val="21"/>
                      <w:lang w:eastAsia="zh-CN"/>
                      <w14:textFill>
                        <w14:solidFill>
                          <w14:schemeClr w14:val="tx1"/>
                        </w14:solidFill>
                      </w14:textFill>
                    </w:rPr>
                    <w:t>本项目</w:t>
                  </w:r>
                  <w:r>
                    <w:rPr>
                      <w:rFonts w:hint="eastAsia" w:cs="Times New Roman"/>
                      <w:color w:val="000000" w:themeColor="text1"/>
                      <w:spacing w:val="0"/>
                      <w:sz w:val="21"/>
                      <w:szCs w:val="21"/>
                      <w:lang w:val="en-US" w:eastAsia="zh-CN"/>
                      <w14:textFill>
                        <w14:solidFill>
                          <w14:schemeClr w14:val="tx1"/>
                        </w14:solidFill>
                      </w14:textFill>
                    </w:rPr>
                    <w:t>不涉及</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VOCs</w:t>
                  </w:r>
                  <w:r>
                    <w:rPr>
                      <w:rFonts w:hint="eastAsia" w:cs="Times New Roman"/>
                      <w:b w:val="0"/>
                      <w:bCs w:val="0"/>
                      <w:color w:val="000000" w:themeColor="text1"/>
                      <w:spacing w:val="0"/>
                      <w:sz w:val="21"/>
                      <w:szCs w:val="21"/>
                      <w:lang w:val="en-US" w:eastAsia="zh-CN"/>
                      <w14:textFill>
                        <w14:solidFill>
                          <w14:schemeClr w14:val="tx1"/>
                        </w14:solidFill>
                      </w14:textFill>
                    </w:rPr>
                    <w:t>。</w:t>
                  </w:r>
                </w:p>
              </w:tc>
              <w:tc>
                <w:tcPr>
                  <w:tcW w:w="791" w:type="dxa"/>
                  <w:noWrap w:val="0"/>
                  <w:vAlign w:val="center"/>
                </w:tcPr>
                <w:p w14:paraId="5200F0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val="0"/>
                      <w:bCs w:val="0"/>
                      <w:snapToGrid w:val="0"/>
                      <w:color w:val="000000" w:themeColor="text1"/>
                      <w:spacing w:val="0"/>
                      <w:sz w:val="21"/>
                      <w:szCs w:val="21"/>
                      <w:u w:val="none"/>
                      <w:lang w:eastAsia="zh-CN"/>
                      <w14:textFill>
                        <w14:solidFill>
                          <w14:schemeClr w14:val="tx1"/>
                        </w14:solidFill>
                      </w14:textFill>
                    </w:rPr>
                    <w:t>相符</w:t>
                  </w:r>
                </w:p>
              </w:tc>
            </w:tr>
            <w:tr w14:paraId="3560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917" w:type="dxa"/>
                  <w:noWrap w:val="0"/>
                  <w:vAlign w:val="center"/>
                </w:tcPr>
                <w:p w14:paraId="559B21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pP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28.提升环境监测监控能力建设水平。推进水泥、火电、煤制氮肥等重点行业企业完善DCS系统，将生产工况、治污设施运行、污染物排放等在线监测及视频监控相关数据信息，与省、市生态环境部门联网共享，实现全流程、全时段监控监管。稳步提升数据质量、预警能力与监测整体效能。强化监测站点管理，扎实做好自动监测站基础保障与运维质控工作，确保设备稳定运行、数据真实准确，坚决防范人为干扰。严格执行《生态环境监测条例》，强化污染源监测监管，组织开展排污单位监督性监测与自行监测专项检查，持续规范企业自行监测行为。</w:t>
                  </w:r>
                </w:p>
              </w:tc>
              <w:tc>
                <w:tcPr>
                  <w:tcW w:w="1987" w:type="dxa"/>
                  <w:noWrap w:val="0"/>
                  <w:vAlign w:val="center"/>
                </w:tcPr>
                <w:p w14:paraId="4F3B85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rFonts w:hint="eastAsia" w:ascii="Times New Roman" w:hAnsi="Times New Roman" w:eastAsia="宋体" w:cs="Times New Roman"/>
                      <w:b w:val="0"/>
                      <w:bCs w:val="0"/>
                      <w:color w:val="000000" w:themeColor="text1"/>
                      <w:spacing w:val="0"/>
                      <w:sz w:val="21"/>
                      <w:szCs w:val="21"/>
                      <w:lang w:eastAsia="zh-CN"/>
                      <w14:textFill>
                        <w14:solidFill>
                          <w14:schemeClr w14:val="tx1"/>
                        </w14:solidFill>
                      </w14:textFill>
                    </w:rPr>
                  </w:pP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本项目属于机械零部件加工，满足《河南省重污染天气通用行业应急减排措施制定技术指南》（2024年修订稿）</w:t>
                  </w:r>
                  <w:r>
                    <w:rPr>
                      <w:rFonts w:hint="eastAsia" w:cs="Times New Roman"/>
                      <w:b w:val="0"/>
                      <w:bCs w:val="0"/>
                      <w:color w:val="000000" w:themeColor="text1"/>
                      <w:spacing w:val="0"/>
                      <w:sz w:val="21"/>
                      <w:szCs w:val="21"/>
                      <w:lang w:val="en-US" w:eastAsia="zh-CN"/>
                      <w14:textFill>
                        <w14:solidFill>
                          <w14:schemeClr w14:val="tx1"/>
                        </w14:solidFill>
                      </w14:textFill>
                    </w:rPr>
                    <w:t>中</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涉锅炉/炉窑</w:t>
                  </w:r>
                  <w:r>
                    <w:rPr>
                      <w:rFonts w:hint="eastAsia" w:cs="Times New Roman"/>
                      <w:b w:val="0"/>
                      <w:bCs w:val="0"/>
                      <w:color w:val="000000" w:themeColor="text1"/>
                      <w:spacing w:val="0"/>
                      <w:sz w:val="21"/>
                      <w:szCs w:val="21"/>
                      <w:lang w:val="en-US" w:eastAsia="zh-CN"/>
                      <w14:textFill>
                        <w14:solidFill>
                          <w14:schemeClr w14:val="tx1"/>
                        </w14:solidFill>
                      </w14:textFill>
                    </w:rPr>
                    <w:t>A级</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企业绩效</w:t>
                  </w:r>
                  <w:r>
                    <w:rPr>
                      <w:rFonts w:hint="eastAsia" w:cs="Times New Roman"/>
                      <w:b w:val="0"/>
                      <w:bCs w:val="0"/>
                      <w:color w:val="000000" w:themeColor="text1"/>
                      <w:spacing w:val="0"/>
                      <w:sz w:val="21"/>
                      <w:szCs w:val="21"/>
                      <w:lang w:val="en-US" w:eastAsia="zh-CN"/>
                      <w14:textFill>
                        <w14:solidFill>
                          <w14:schemeClr w14:val="tx1"/>
                        </w14:solidFill>
                      </w14:textFill>
                    </w:rPr>
                    <w:t>分级</w:t>
                  </w:r>
                  <w:r>
                    <w:rPr>
                      <w:rFonts w:hint="eastAsia" w:ascii="Times New Roman" w:hAnsi="Times New Roman" w:eastAsia="宋体" w:cs="Times New Roman"/>
                      <w:b w:val="0"/>
                      <w:bCs w:val="0"/>
                      <w:color w:val="000000" w:themeColor="text1"/>
                      <w:spacing w:val="0"/>
                      <w:sz w:val="21"/>
                      <w:szCs w:val="21"/>
                      <w:lang w:val="en-US" w:eastAsia="zh-CN"/>
                      <w14:textFill>
                        <w14:solidFill>
                          <w14:schemeClr w14:val="tx1"/>
                        </w14:solidFill>
                      </w14:textFill>
                    </w:rPr>
                    <w:t>指标基本要求</w:t>
                  </w:r>
                  <w:r>
                    <w:rPr>
                      <w:rFonts w:hint="eastAsia" w:cs="Times New Roman"/>
                      <w:b w:val="0"/>
                      <w:bCs w:val="0"/>
                      <w:color w:val="000000" w:themeColor="text1"/>
                      <w:spacing w:val="0"/>
                      <w:sz w:val="21"/>
                      <w:szCs w:val="21"/>
                      <w:lang w:val="en-US" w:eastAsia="zh-CN"/>
                      <w14:textFill>
                        <w14:solidFill>
                          <w14:schemeClr w14:val="tx1"/>
                        </w14:solidFill>
                      </w14:textFill>
                    </w:rPr>
                    <w:t>。</w:t>
                  </w:r>
                </w:p>
              </w:tc>
              <w:tc>
                <w:tcPr>
                  <w:tcW w:w="791" w:type="dxa"/>
                  <w:noWrap w:val="0"/>
                  <w:vAlign w:val="center"/>
                </w:tcPr>
                <w:p w14:paraId="46E2D5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center"/>
                    <w:textAlignment w:val="auto"/>
                    <w:rPr>
                      <w:rFonts w:hint="eastAsia"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val="0"/>
                      <w:bCs w:val="0"/>
                      <w:snapToGrid w:val="0"/>
                      <w:color w:val="000000" w:themeColor="text1"/>
                      <w:spacing w:val="0"/>
                      <w:sz w:val="21"/>
                      <w:szCs w:val="21"/>
                      <w:u w:val="none"/>
                      <w:lang w:eastAsia="zh-CN"/>
                      <w14:textFill>
                        <w14:solidFill>
                          <w14:schemeClr w14:val="tx1"/>
                        </w14:solidFill>
                      </w14:textFill>
                    </w:rPr>
                    <w:t>相符</w:t>
                  </w:r>
                </w:p>
              </w:tc>
            </w:tr>
            <w:tr w14:paraId="2F6E5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95" w:type="dxa"/>
                  <w:gridSpan w:val="3"/>
                  <w:noWrap w:val="0"/>
                  <w:vAlign w:val="center"/>
                </w:tcPr>
                <w:p w14:paraId="7895A3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snapToGrid w:val="0"/>
                      <w:color w:val="000000" w:themeColor="text1"/>
                      <w:spacing w:val="0"/>
                      <w:sz w:val="21"/>
                      <w:szCs w:val="21"/>
                      <w:u w:val="none"/>
                      <w14:textFill>
                        <w14:solidFill>
                          <w14:schemeClr w14:val="tx1"/>
                        </w14:solidFill>
                      </w14:textFill>
                    </w:rPr>
                  </w:pP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w:t>
                  </w:r>
                  <w:r>
                    <w:rPr>
                      <w:rFonts w:hint="default" w:ascii="Times New Roman" w:hAnsi="Times New Roman" w:eastAsia="宋体" w:cs="Times New Roman"/>
                      <w:b/>
                      <w:bCs/>
                      <w:i w:val="0"/>
                      <w:iCs w:val="0"/>
                      <w:color w:val="000000" w:themeColor="text1"/>
                      <w:spacing w:val="0"/>
                      <w:sz w:val="21"/>
                      <w:szCs w:val="21"/>
                      <w:lang w:eastAsia="zh-CN"/>
                      <w14:textFill>
                        <w14:solidFill>
                          <w14:schemeClr w14:val="tx1"/>
                        </w14:solidFill>
                      </w14:textFill>
                    </w:rPr>
                    <w:t>新乡市</w:t>
                  </w:r>
                  <w:r>
                    <w:rPr>
                      <w:rFonts w:hint="default" w:ascii="Times New Roman" w:hAnsi="Times New Roman" w:eastAsia="宋体" w:cs="Times New Roman"/>
                      <w:b/>
                      <w:bCs/>
                      <w:i w:val="0"/>
                      <w:iCs w:val="0"/>
                      <w:color w:val="000000" w:themeColor="text1"/>
                      <w:spacing w:val="0"/>
                      <w:sz w:val="21"/>
                      <w:szCs w:val="21"/>
                      <w:lang w:val="en-US" w:eastAsia="zh-CN"/>
                      <w14:textFill>
                        <w14:solidFill>
                          <w14:schemeClr w14:val="tx1"/>
                        </w14:solidFill>
                      </w14:textFill>
                    </w:rPr>
                    <w:t>202</w:t>
                  </w:r>
                  <w:r>
                    <w:rPr>
                      <w:rFonts w:hint="eastAsia" w:cs="Times New Roman"/>
                      <w:b/>
                      <w:bCs/>
                      <w:i w:val="0"/>
                      <w:iCs w:val="0"/>
                      <w:color w:val="000000" w:themeColor="text1"/>
                      <w:spacing w:val="0"/>
                      <w:sz w:val="21"/>
                      <w:szCs w:val="21"/>
                      <w:lang w:val="en-US" w:eastAsia="zh-CN"/>
                      <w14:textFill>
                        <w14:solidFill>
                          <w14:schemeClr w14:val="tx1"/>
                        </w14:solidFill>
                      </w14:textFill>
                    </w:rPr>
                    <w:t>6</w:t>
                  </w:r>
                  <w:r>
                    <w:rPr>
                      <w:rFonts w:hint="default" w:ascii="Times New Roman" w:hAnsi="Times New Roman" w:eastAsia="宋体" w:cs="Times New Roman"/>
                      <w:b/>
                      <w:bCs/>
                      <w:i w:val="0"/>
                      <w:iCs w:val="0"/>
                      <w:color w:val="000000" w:themeColor="text1"/>
                      <w:spacing w:val="0"/>
                      <w:sz w:val="21"/>
                      <w:szCs w:val="21"/>
                      <w:lang w:val="en-US" w:eastAsia="zh-CN"/>
                      <w14:textFill>
                        <w14:solidFill>
                          <w14:schemeClr w14:val="tx1"/>
                        </w14:solidFill>
                      </w14:textFill>
                    </w:rPr>
                    <w:t>年碧水保卫战实施方案</w:t>
                  </w: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w:t>
                  </w:r>
                  <w:r>
                    <w:rPr>
                      <w:rFonts w:hint="eastAsia" w:cs="Times New Roman"/>
                      <w:b/>
                      <w:bCs/>
                      <w:snapToGrid w:val="0"/>
                      <w:color w:val="000000" w:themeColor="text1"/>
                      <w:spacing w:val="0"/>
                      <w:sz w:val="21"/>
                      <w:szCs w:val="21"/>
                      <w:u w:val="none"/>
                      <w:lang w:eastAsia="zh-CN"/>
                      <w14:textFill>
                        <w14:solidFill>
                          <w14:schemeClr w14:val="tx1"/>
                        </w14:solidFill>
                      </w14:textFill>
                    </w:rPr>
                    <w:t>（新环委办</w:t>
                  </w:r>
                  <w:r>
                    <w:rPr>
                      <w:rFonts w:hint="eastAsia" w:cs="Times New Roman"/>
                      <w:b/>
                      <w:bCs/>
                      <w:snapToGrid w:val="0"/>
                      <w:color w:val="000000" w:themeColor="text1"/>
                      <w:spacing w:val="0"/>
                      <w:sz w:val="21"/>
                      <w:szCs w:val="21"/>
                      <w:u w:val="none"/>
                      <w:lang w:val="en-US" w:eastAsia="zh-CN"/>
                      <w14:textFill>
                        <w14:solidFill>
                          <w14:schemeClr w14:val="tx1"/>
                        </w14:solidFill>
                      </w14:textFill>
                    </w:rPr>
                    <w:t>[</w:t>
                  </w:r>
                  <w:r>
                    <w:rPr>
                      <w:rFonts w:hint="eastAsia" w:ascii="Times New Roman" w:hAnsi="Times New Roman" w:cs="Times New Roman"/>
                      <w:b/>
                      <w:bCs/>
                      <w:snapToGrid w:val="0"/>
                      <w:color w:val="000000" w:themeColor="text1"/>
                      <w:spacing w:val="0"/>
                      <w:sz w:val="21"/>
                      <w:szCs w:val="21"/>
                      <w:u w:val="none"/>
                      <w:lang w:val="en-US" w:eastAsia="zh-CN"/>
                      <w14:textFill>
                        <w14:solidFill>
                          <w14:schemeClr w14:val="tx1"/>
                        </w14:solidFill>
                      </w14:textFill>
                    </w:rPr>
                    <w:t>2026</w:t>
                  </w:r>
                  <w:r>
                    <w:rPr>
                      <w:rFonts w:hint="eastAsia" w:cs="Times New Roman"/>
                      <w:b/>
                      <w:bCs/>
                      <w:snapToGrid w:val="0"/>
                      <w:color w:val="000000" w:themeColor="text1"/>
                      <w:spacing w:val="0"/>
                      <w:sz w:val="21"/>
                      <w:szCs w:val="21"/>
                      <w:u w:val="none"/>
                      <w:lang w:val="en-US" w:eastAsia="zh-CN"/>
                      <w14:textFill>
                        <w14:solidFill>
                          <w14:schemeClr w14:val="tx1"/>
                        </w14:solidFill>
                      </w14:textFill>
                    </w:rPr>
                    <w:t>]</w:t>
                  </w:r>
                  <w:r>
                    <w:rPr>
                      <w:rFonts w:hint="eastAsia" w:ascii="Times New Roman" w:hAnsi="Times New Roman" w:cs="Times New Roman"/>
                      <w:b/>
                      <w:bCs/>
                      <w:snapToGrid w:val="0"/>
                      <w:color w:val="000000" w:themeColor="text1"/>
                      <w:spacing w:val="0"/>
                      <w:sz w:val="21"/>
                      <w:szCs w:val="21"/>
                      <w:u w:val="none"/>
                      <w:lang w:val="en-US" w:eastAsia="zh-CN"/>
                      <w14:textFill>
                        <w14:solidFill>
                          <w14:schemeClr w14:val="tx1"/>
                        </w14:solidFill>
                      </w14:textFill>
                    </w:rPr>
                    <w:t>1</w:t>
                  </w:r>
                  <w:r>
                    <w:rPr>
                      <w:rFonts w:hint="eastAsia" w:cs="Times New Roman"/>
                      <w:b/>
                      <w:bCs/>
                      <w:snapToGrid w:val="0"/>
                      <w:color w:val="000000" w:themeColor="text1"/>
                      <w:spacing w:val="0"/>
                      <w:sz w:val="21"/>
                      <w:szCs w:val="21"/>
                      <w:u w:val="none"/>
                      <w:lang w:val="en-US" w:eastAsia="zh-CN"/>
                      <w14:textFill>
                        <w14:solidFill>
                          <w14:schemeClr w14:val="tx1"/>
                        </w14:solidFill>
                      </w14:textFill>
                    </w:rPr>
                    <w:t>7号</w:t>
                  </w:r>
                  <w:r>
                    <w:rPr>
                      <w:rFonts w:hint="eastAsia" w:cs="Times New Roman"/>
                      <w:b/>
                      <w:bCs/>
                      <w:snapToGrid w:val="0"/>
                      <w:color w:val="000000" w:themeColor="text1"/>
                      <w:spacing w:val="0"/>
                      <w:sz w:val="21"/>
                      <w:szCs w:val="21"/>
                      <w:u w:val="none"/>
                      <w:lang w:eastAsia="zh-CN"/>
                      <w14:textFill>
                        <w14:solidFill>
                          <w14:schemeClr w14:val="tx1"/>
                        </w14:solidFill>
                      </w14:textFill>
                    </w:rPr>
                    <w:t>）</w:t>
                  </w:r>
                </w:p>
              </w:tc>
            </w:tr>
            <w:tr w14:paraId="44A7D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4917" w:type="dxa"/>
                  <w:noWrap w:val="0"/>
                  <w:vAlign w:val="center"/>
                </w:tcPr>
                <w:p w14:paraId="245C77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pP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5</w:t>
                  </w:r>
                  <w:r>
                    <w:rPr>
                      <w:rFonts w:hint="eastAsia" w:cs="Times New Roman"/>
                      <w:bCs w:val="0"/>
                      <w:color w:val="000000" w:themeColor="text1"/>
                      <w:spacing w:val="0"/>
                      <w:sz w:val="21"/>
                      <w:szCs w:val="21"/>
                      <w:lang w:val="en-US" w:eastAsia="zh-CN"/>
                      <w14:textFill>
                        <w14:solidFill>
                          <w14:schemeClr w14:val="tx1"/>
                        </w14:solidFill>
                      </w14:textFill>
                    </w:rPr>
                    <w:t>、</w:t>
                  </w: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提升城镇污水收集处理效能。完善落实排水管网周期性检测评估制度，开展城镇污水收集系统问题排查，建立污水管网和污水处理厂问题清单</w:t>
                  </w:r>
                  <w:r>
                    <w:rPr>
                      <w:rFonts w:hint="eastAsia" w:cs="Times New Roman"/>
                      <w:bCs w:val="0"/>
                      <w:color w:val="000000" w:themeColor="text1"/>
                      <w:spacing w:val="0"/>
                      <w:sz w:val="21"/>
                      <w:szCs w:val="21"/>
                      <w:lang w:val="en-US" w:eastAsia="zh-CN"/>
                      <w14:textFill>
                        <w14:solidFill>
                          <w14:schemeClr w14:val="tx1"/>
                        </w14:solidFill>
                      </w14:textFill>
                    </w:rPr>
                    <w:t>；</w:t>
                  </w: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因地制宜推进雨污分流改造，持续推动雨污管网混接错接改造、破损修复和更新改造，持续提升污水处理厂BOD进水浓度</w:t>
                  </w:r>
                  <w:r>
                    <w:rPr>
                      <w:rFonts w:hint="eastAsia" w:cs="Times New Roman"/>
                      <w:bCs w:val="0"/>
                      <w:color w:val="000000" w:themeColor="text1"/>
                      <w:spacing w:val="0"/>
                      <w:sz w:val="21"/>
                      <w:szCs w:val="21"/>
                      <w:lang w:val="en-US" w:eastAsia="zh-CN"/>
                      <w14:textFill>
                        <w14:solidFill>
                          <w14:schemeClr w14:val="tx1"/>
                        </w14:solidFill>
                      </w14:textFill>
                    </w:rPr>
                    <w:t>；</w:t>
                  </w: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开展溢流污染控制，汛期前对城区雨污水管网、低洼区域、泵站前池、河道堆放垃圾等实施清淤(清理)，进一步减少污染物入河总量</w:t>
                  </w:r>
                  <w:r>
                    <w:rPr>
                      <w:rFonts w:hint="eastAsia" w:cs="Times New Roman"/>
                      <w:bCs w:val="0"/>
                      <w:color w:val="000000" w:themeColor="text1"/>
                      <w:spacing w:val="0"/>
                      <w:sz w:val="21"/>
                      <w:szCs w:val="21"/>
                      <w:lang w:val="en-US" w:eastAsia="zh-CN"/>
                      <w14:textFill>
                        <w14:solidFill>
                          <w14:schemeClr w14:val="tx1"/>
                        </w14:solidFill>
                      </w14:textFill>
                    </w:rPr>
                    <w:t>；</w:t>
                  </w: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充分发挥检察机关的公益诉讼职能，推动有关县(市、区)建成区雨污水管网控源截污工作。2026年底前，获嘉县亢村镇生活污水处理厂及配套管网项目、凤泉区大块镇污水处理厂扩容改造工程、长垣市分流改造工程、孟庄镇雨污分流改造工程全部建成</w:t>
                  </w:r>
                  <w:r>
                    <w:rPr>
                      <w:rFonts w:hint="eastAsia" w:cs="Times New Roman"/>
                      <w:bCs w:val="0"/>
                      <w:color w:val="000000" w:themeColor="text1"/>
                      <w:spacing w:val="0"/>
                      <w:sz w:val="21"/>
                      <w:szCs w:val="21"/>
                      <w:lang w:val="en-US" w:eastAsia="zh-CN"/>
                      <w14:textFill>
                        <w14:solidFill>
                          <w14:schemeClr w14:val="tx1"/>
                        </w14:solidFill>
                      </w14:textFill>
                    </w:rPr>
                    <w:t>；</w:t>
                  </w: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长垣市第二污水处理厂三期扩建工程、辉县市常村镇污水处理厂、原阳县第二污水处理厂、凤泉区污水处理厂、平原示范区城西污水处理厂等开工建设</w:t>
                  </w:r>
                  <w:r>
                    <w:rPr>
                      <w:rFonts w:hint="eastAsia" w:cs="Times New Roman"/>
                      <w:bCs w:val="0"/>
                      <w:color w:val="000000" w:themeColor="text1"/>
                      <w:spacing w:val="0"/>
                      <w:sz w:val="21"/>
                      <w:szCs w:val="21"/>
                      <w:lang w:val="en-US" w:eastAsia="zh-CN"/>
                      <w14:textFill>
                        <w14:solidFill>
                          <w14:schemeClr w14:val="tx1"/>
                        </w14:solidFill>
                      </w14:textFill>
                    </w:rPr>
                    <w:t>。</w:t>
                  </w:r>
                </w:p>
              </w:tc>
              <w:tc>
                <w:tcPr>
                  <w:tcW w:w="1987" w:type="dxa"/>
                  <w:noWrap w:val="0"/>
                  <w:vAlign w:val="center"/>
                </w:tcPr>
                <w:p w14:paraId="3438CE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color w:val="000000" w:themeColor="text1"/>
                      <w:spacing w:val="0"/>
                      <w:sz w:val="21"/>
                      <w:szCs w:val="21"/>
                      <w14:textFill>
                        <w14:solidFill>
                          <w14:schemeClr w14:val="tx1"/>
                        </w14:solidFill>
                      </w14:textFill>
                    </w:rPr>
                  </w:pPr>
                  <w:r>
                    <w:rPr>
                      <w:color w:val="000000" w:themeColor="text1"/>
                      <w:spacing w:val="0"/>
                      <w:sz w:val="21"/>
                      <w:szCs w:val="21"/>
                      <w14:textFill>
                        <w14:solidFill>
                          <w14:schemeClr w14:val="tx1"/>
                        </w14:solidFill>
                      </w14:textFill>
                    </w:rPr>
                    <w:t>本项目</w:t>
                  </w:r>
                  <w:r>
                    <w:rPr>
                      <w:rFonts w:hint="eastAsia"/>
                      <w:color w:val="000000" w:themeColor="text1"/>
                      <w:sz w:val="21"/>
                      <w:szCs w:val="21"/>
                      <w14:textFill>
                        <w14:solidFill>
                          <w14:schemeClr w14:val="tx1"/>
                        </w14:solidFill>
                      </w14:textFill>
                    </w:rPr>
                    <w:t>生活污水经化粪池处</w:t>
                  </w:r>
                  <w:r>
                    <w:rPr>
                      <w:rFonts w:hint="eastAsia"/>
                      <w:color w:val="000000" w:themeColor="text1"/>
                      <w:sz w:val="21"/>
                      <w:szCs w:val="21"/>
                      <w:lang w:eastAsia="zh-CN"/>
                      <w14:textFill>
                        <w14:solidFill>
                          <w14:schemeClr w14:val="tx1"/>
                        </w14:solidFill>
                      </w14:textFill>
                    </w:rPr>
                    <w:t>理后排入污水管网进入新乡县综合污水处理厂。</w:t>
                  </w:r>
                </w:p>
              </w:tc>
              <w:tc>
                <w:tcPr>
                  <w:tcW w:w="791" w:type="dxa"/>
                  <w:noWrap w:val="0"/>
                  <w:vAlign w:val="center"/>
                </w:tcPr>
                <w:p w14:paraId="0AAC48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val="0"/>
                      <w:bCs w:val="0"/>
                      <w:snapToGrid w:val="0"/>
                      <w:color w:val="000000" w:themeColor="text1"/>
                      <w:spacing w:val="0"/>
                      <w:sz w:val="21"/>
                      <w:szCs w:val="21"/>
                      <w:u w:val="none"/>
                      <w:lang w:eastAsia="zh-CN"/>
                      <w14:textFill>
                        <w14:solidFill>
                          <w14:schemeClr w14:val="tx1"/>
                        </w14:solidFill>
                      </w14:textFill>
                    </w:rPr>
                    <w:t>符合</w:t>
                  </w:r>
                </w:p>
              </w:tc>
            </w:tr>
            <w:tr w14:paraId="60729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695" w:type="dxa"/>
                  <w:gridSpan w:val="3"/>
                  <w:noWrap w:val="0"/>
                  <w:vAlign w:val="center"/>
                </w:tcPr>
                <w:p w14:paraId="165192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val="0"/>
                      <w:bCs w:val="0"/>
                      <w:snapToGrid w:val="0"/>
                      <w:color w:val="000000" w:themeColor="text1"/>
                      <w:spacing w:val="0"/>
                      <w:sz w:val="21"/>
                      <w:szCs w:val="21"/>
                      <w:u w:val="none"/>
                      <w:lang w:eastAsia="zh-CN"/>
                      <w14:textFill>
                        <w14:solidFill>
                          <w14:schemeClr w14:val="tx1"/>
                        </w14:solidFill>
                      </w14:textFill>
                    </w:rPr>
                  </w:pP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w:t>
                  </w:r>
                  <w:r>
                    <w:rPr>
                      <w:rFonts w:hint="default" w:ascii="Times New Roman" w:hAnsi="Times New Roman" w:eastAsia="宋体" w:cs="Times New Roman"/>
                      <w:b/>
                      <w:bCs/>
                      <w:i w:val="0"/>
                      <w:iCs w:val="0"/>
                      <w:color w:val="000000" w:themeColor="text1"/>
                      <w:spacing w:val="0"/>
                      <w:sz w:val="21"/>
                      <w:szCs w:val="21"/>
                      <w:lang w:eastAsia="zh-CN"/>
                      <w14:textFill>
                        <w14:solidFill>
                          <w14:schemeClr w14:val="tx1"/>
                        </w14:solidFill>
                      </w14:textFill>
                    </w:rPr>
                    <w:t>新乡市</w:t>
                  </w:r>
                  <w:r>
                    <w:rPr>
                      <w:rFonts w:hint="default" w:ascii="Times New Roman" w:hAnsi="Times New Roman" w:eastAsia="宋体" w:cs="Times New Roman"/>
                      <w:b/>
                      <w:bCs/>
                      <w:i w:val="0"/>
                      <w:iCs w:val="0"/>
                      <w:color w:val="000000" w:themeColor="text1"/>
                      <w:spacing w:val="0"/>
                      <w:sz w:val="21"/>
                      <w:szCs w:val="21"/>
                      <w:lang w:val="en-US" w:eastAsia="zh-CN"/>
                      <w14:textFill>
                        <w14:solidFill>
                          <w14:schemeClr w14:val="tx1"/>
                        </w14:solidFill>
                      </w14:textFill>
                    </w:rPr>
                    <w:t>202</w:t>
                  </w:r>
                  <w:r>
                    <w:rPr>
                      <w:rFonts w:hint="eastAsia" w:cs="Times New Roman"/>
                      <w:b/>
                      <w:bCs/>
                      <w:i w:val="0"/>
                      <w:iCs w:val="0"/>
                      <w:color w:val="000000" w:themeColor="text1"/>
                      <w:spacing w:val="0"/>
                      <w:sz w:val="21"/>
                      <w:szCs w:val="21"/>
                      <w:lang w:val="en-US" w:eastAsia="zh-CN"/>
                      <w14:textFill>
                        <w14:solidFill>
                          <w14:schemeClr w14:val="tx1"/>
                        </w14:solidFill>
                      </w14:textFill>
                    </w:rPr>
                    <w:t>6</w:t>
                  </w:r>
                  <w:r>
                    <w:rPr>
                      <w:rFonts w:hint="default" w:ascii="Times New Roman" w:hAnsi="Times New Roman" w:eastAsia="宋体" w:cs="Times New Roman"/>
                      <w:b/>
                      <w:bCs/>
                      <w:i w:val="0"/>
                      <w:iCs w:val="0"/>
                      <w:color w:val="000000" w:themeColor="text1"/>
                      <w:spacing w:val="0"/>
                      <w:sz w:val="21"/>
                      <w:szCs w:val="21"/>
                      <w:lang w:val="en-US" w:eastAsia="zh-CN"/>
                      <w14:textFill>
                        <w14:solidFill>
                          <w14:schemeClr w14:val="tx1"/>
                        </w14:solidFill>
                      </w14:textFill>
                    </w:rPr>
                    <w:t>年</w:t>
                  </w:r>
                  <w:r>
                    <w:rPr>
                      <w:rFonts w:hint="eastAsia" w:cs="Times New Roman"/>
                      <w:b/>
                      <w:bCs/>
                      <w:i w:val="0"/>
                      <w:iCs w:val="0"/>
                      <w:color w:val="000000" w:themeColor="text1"/>
                      <w:spacing w:val="0"/>
                      <w:sz w:val="21"/>
                      <w:szCs w:val="21"/>
                      <w:lang w:val="en-US" w:eastAsia="zh-CN"/>
                      <w14:textFill>
                        <w14:solidFill>
                          <w14:schemeClr w14:val="tx1"/>
                        </w14:solidFill>
                      </w14:textFill>
                    </w:rPr>
                    <w:t>净土</w:t>
                  </w:r>
                  <w:r>
                    <w:rPr>
                      <w:rFonts w:hint="default" w:ascii="Times New Roman" w:hAnsi="Times New Roman" w:eastAsia="宋体" w:cs="Times New Roman"/>
                      <w:b/>
                      <w:bCs/>
                      <w:i w:val="0"/>
                      <w:iCs w:val="0"/>
                      <w:color w:val="000000" w:themeColor="text1"/>
                      <w:spacing w:val="0"/>
                      <w:sz w:val="21"/>
                      <w:szCs w:val="21"/>
                      <w:lang w:val="en-US" w:eastAsia="zh-CN"/>
                      <w14:textFill>
                        <w14:solidFill>
                          <w14:schemeClr w14:val="tx1"/>
                        </w14:solidFill>
                      </w14:textFill>
                    </w:rPr>
                    <w:t>保卫战实施方案</w:t>
                  </w: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w:t>
                  </w:r>
                  <w:r>
                    <w:rPr>
                      <w:rFonts w:hint="eastAsia" w:cs="Times New Roman"/>
                      <w:b/>
                      <w:bCs/>
                      <w:snapToGrid w:val="0"/>
                      <w:color w:val="000000" w:themeColor="text1"/>
                      <w:spacing w:val="0"/>
                      <w:sz w:val="21"/>
                      <w:szCs w:val="21"/>
                      <w:u w:val="none"/>
                      <w:lang w:eastAsia="zh-CN"/>
                      <w14:textFill>
                        <w14:solidFill>
                          <w14:schemeClr w14:val="tx1"/>
                        </w14:solidFill>
                      </w14:textFill>
                    </w:rPr>
                    <w:t>（新环委办</w:t>
                  </w:r>
                  <w:r>
                    <w:rPr>
                      <w:rFonts w:hint="eastAsia" w:cs="Times New Roman"/>
                      <w:b/>
                      <w:bCs/>
                      <w:snapToGrid w:val="0"/>
                      <w:color w:val="000000" w:themeColor="text1"/>
                      <w:spacing w:val="0"/>
                      <w:sz w:val="21"/>
                      <w:szCs w:val="21"/>
                      <w:u w:val="none"/>
                      <w:lang w:val="en-US" w:eastAsia="zh-CN"/>
                      <w14:textFill>
                        <w14:solidFill>
                          <w14:schemeClr w14:val="tx1"/>
                        </w14:solidFill>
                      </w14:textFill>
                    </w:rPr>
                    <w:t>[</w:t>
                  </w:r>
                  <w:r>
                    <w:rPr>
                      <w:rFonts w:hint="eastAsia" w:ascii="Times New Roman" w:hAnsi="Times New Roman" w:cs="Times New Roman"/>
                      <w:b/>
                      <w:bCs/>
                      <w:snapToGrid w:val="0"/>
                      <w:color w:val="000000" w:themeColor="text1"/>
                      <w:spacing w:val="0"/>
                      <w:sz w:val="21"/>
                      <w:szCs w:val="21"/>
                      <w:u w:val="none"/>
                      <w:lang w:val="en-US" w:eastAsia="zh-CN"/>
                      <w14:textFill>
                        <w14:solidFill>
                          <w14:schemeClr w14:val="tx1"/>
                        </w14:solidFill>
                      </w14:textFill>
                    </w:rPr>
                    <w:t>2026</w:t>
                  </w:r>
                  <w:r>
                    <w:rPr>
                      <w:rFonts w:hint="eastAsia" w:cs="Times New Roman"/>
                      <w:b/>
                      <w:bCs/>
                      <w:snapToGrid w:val="0"/>
                      <w:color w:val="000000" w:themeColor="text1"/>
                      <w:spacing w:val="0"/>
                      <w:sz w:val="21"/>
                      <w:szCs w:val="21"/>
                      <w:u w:val="none"/>
                      <w:lang w:val="en-US" w:eastAsia="zh-CN"/>
                      <w14:textFill>
                        <w14:solidFill>
                          <w14:schemeClr w14:val="tx1"/>
                        </w14:solidFill>
                      </w14:textFill>
                    </w:rPr>
                    <w:t>]20号</w:t>
                  </w:r>
                  <w:r>
                    <w:rPr>
                      <w:rFonts w:hint="eastAsia" w:cs="Times New Roman"/>
                      <w:b/>
                      <w:bCs/>
                      <w:snapToGrid w:val="0"/>
                      <w:color w:val="000000" w:themeColor="text1"/>
                      <w:spacing w:val="0"/>
                      <w:sz w:val="21"/>
                      <w:szCs w:val="21"/>
                      <w:u w:val="none"/>
                      <w:lang w:eastAsia="zh-CN"/>
                      <w14:textFill>
                        <w14:solidFill>
                          <w14:schemeClr w14:val="tx1"/>
                        </w14:solidFill>
                      </w14:textFill>
                    </w:rPr>
                    <w:t>）</w:t>
                  </w:r>
                </w:p>
              </w:tc>
            </w:tr>
            <w:tr w14:paraId="3CCD1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4917" w:type="dxa"/>
                  <w:noWrap w:val="0"/>
                  <w:vAlign w:val="center"/>
                </w:tcPr>
                <w:p w14:paraId="1E47E4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both"/>
                    <w:textAlignment w:val="auto"/>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pP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3</w:t>
                  </w:r>
                  <w:r>
                    <w:rPr>
                      <w:rFonts w:hint="eastAsia" w:cs="Times New Roman"/>
                      <w:bCs w:val="0"/>
                      <w:color w:val="000000" w:themeColor="text1"/>
                      <w:spacing w:val="0"/>
                      <w:sz w:val="21"/>
                      <w:szCs w:val="21"/>
                      <w:lang w:val="en-US" w:eastAsia="zh-CN"/>
                      <w14:textFill>
                        <w14:solidFill>
                          <w14:schemeClr w14:val="tx1"/>
                        </w14:solidFill>
                      </w14:textFill>
                    </w:rPr>
                    <w:t>、</w:t>
                  </w: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严格建设用地准入管理。资源规划部门强化对土地用途变更、收储、供应、使用权变更等环节的监管，依法应当开展土壤污染状况调查的地块须在土地储备入库前完成调查，将调查结果作为土地供应的必备要件。生态环境部门做好土壤污染状况调查报告审查工作，加强土壤污染状况调查从业单位的信用管理，组织开展半年、年度建设用地安全利用核算。</w:t>
                  </w:r>
                </w:p>
              </w:tc>
              <w:tc>
                <w:tcPr>
                  <w:tcW w:w="1987" w:type="dxa"/>
                  <w:noWrap w:val="0"/>
                  <w:vAlign w:val="center"/>
                </w:tcPr>
                <w:p w14:paraId="313E4C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leftChars="0" w:right="0" w:rightChars="0" w:firstLine="0" w:firstLineChars="0"/>
                    <w:jc w:val="both"/>
                    <w:textAlignment w:val="auto"/>
                    <w:rPr>
                      <w:color w:val="000000" w:themeColor="text1"/>
                      <w:spacing w:val="0"/>
                      <w:sz w:val="21"/>
                      <w:szCs w:val="21"/>
                      <w14:textFill>
                        <w14:solidFill>
                          <w14:schemeClr w14:val="tx1"/>
                        </w14:solidFill>
                      </w14:textFill>
                    </w:rPr>
                  </w:pPr>
                  <w:r>
                    <w:rPr>
                      <w:rFonts w:hint="default" w:ascii="Times New Roman" w:hAnsi="Times New Roman" w:eastAsia="宋体" w:cs="Times New Roman"/>
                      <w:color w:val="000000" w:themeColor="text1"/>
                      <w:sz w:val="21"/>
                      <w:szCs w:val="21"/>
                      <w:highlight w:val="none"/>
                      <w:vertAlign w:val="baseline"/>
                      <w:lang w:val="en-US" w:eastAsia="zh-CN"/>
                      <w14:textFill>
                        <w14:solidFill>
                          <w14:schemeClr w14:val="tx1"/>
                        </w14:solidFill>
                      </w14:textFill>
                    </w:rPr>
                    <w:t>本项目所在地属于工业用地。</w:t>
                  </w:r>
                </w:p>
              </w:tc>
              <w:tc>
                <w:tcPr>
                  <w:tcW w:w="791" w:type="dxa"/>
                  <w:noWrap w:val="0"/>
                  <w:vAlign w:val="center"/>
                </w:tcPr>
                <w:p w14:paraId="42C122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ascii="Times New Roman" w:hAnsi="Times New Roman" w:eastAsia="宋体"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val="0"/>
                      <w:bCs w:val="0"/>
                      <w:snapToGrid w:val="0"/>
                      <w:color w:val="000000" w:themeColor="text1"/>
                      <w:spacing w:val="0"/>
                      <w:sz w:val="21"/>
                      <w:szCs w:val="21"/>
                      <w:u w:val="none"/>
                      <w:lang w:eastAsia="zh-CN"/>
                      <w14:textFill>
                        <w14:solidFill>
                          <w14:schemeClr w14:val="tx1"/>
                        </w14:solidFill>
                      </w14:textFill>
                    </w:rPr>
                    <w:t>符合</w:t>
                  </w:r>
                </w:p>
              </w:tc>
            </w:tr>
            <w:tr w14:paraId="46364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95" w:type="dxa"/>
                  <w:gridSpan w:val="3"/>
                  <w:noWrap w:val="0"/>
                  <w:vAlign w:val="center"/>
                </w:tcPr>
                <w:p w14:paraId="38331C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宋体" w:cs="Times New Roman"/>
                      <w:b w:val="0"/>
                      <w:bCs w:val="0"/>
                      <w:snapToGrid w:val="0"/>
                      <w:color w:val="000000" w:themeColor="text1"/>
                      <w:spacing w:val="0"/>
                      <w:sz w:val="21"/>
                      <w:szCs w:val="21"/>
                      <w:u w:val="none"/>
                      <w14:textFill>
                        <w14:solidFill>
                          <w14:schemeClr w14:val="tx1"/>
                        </w14:solidFill>
                      </w14:textFill>
                    </w:rPr>
                  </w:pP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w:t>
                  </w:r>
                  <w:r>
                    <w:rPr>
                      <w:rFonts w:hint="default" w:ascii="Times New Roman" w:hAnsi="Times New Roman" w:eastAsia="宋体" w:cs="Times New Roman"/>
                      <w:b/>
                      <w:bCs/>
                      <w:color w:val="000000" w:themeColor="text1"/>
                      <w:spacing w:val="0"/>
                      <w:sz w:val="21"/>
                      <w:szCs w:val="21"/>
                      <w:lang w:eastAsia="zh-CN"/>
                      <w14:textFill>
                        <w14:solidFill>
                          <w14:schemeClr w14:val="tx1"/>
                        </w14:solidFill>
                      </w14:textFill>
                    </w:rPr>
                    <w:t>新乡市</w:t>
                  </w:r>
                  <w:r>
                    <w:rPr>
                      <w:rFonts w:hint="default" w:ascii="Times New Roman" w:hAnsi="Times New Roman" w:eastAsia="宋体" w:cs="Times New Roman"/>
                      <w:b/>
                      <w:bCs/>
                      <w:color w:val="000000" w:themeColor="text1"/>
                      <w:spacing w:val="0"/>
                      <w:sz w:val="21"/>
                      <w:szCs w:val="21"/>
                      <w:lang w:val="en-US" w:eastAsia="zh-CN"/>
                      <w14:textFill>
                        <w14:solidFill>
                          <w14:schemeClr w14:val="tx1"/>
                        </w14:solidFill>
                      </w14:textFill>
                    </w:rPr>
                    <w:t>202</w:t>
                  </w:r>
                  <w:r>
                    <w:rPr>
                      <w:rFonts w:hint="eastAsia" w:cs="Times New Roman"/>
                      <w:b/>
                      <w:bCs/>
                      <w:color w:val="000000" w:themeColor="text1"/>
                      <w:spacing w:val="0"/>
                      <w:sz w:val="21"/>
                      <w:szCs w:val="21"/>
                      <w:lang w:val="en-US" w:eastAsia="zh-CN"/>
                      <w14:textFill>
                        <w14:solidFill>
                          <w14:schemeClr w14:val="tx1"/>
                        </w14:solidFill>
                      </w14:textFill>
                    </w:rPr>
                    <w:t>6</w:t>
                  </w:r>
                  <w:r>
                    <w:rPr>
                      <w:rFonts w:hint="default" w:ascii="Times New Roman" w:hAnsi="Times New Roman" w:eastAsia="宋体" w:cs="Times New Roman"/>
                      <w:b/>
                      <w:bCs/>
                      <w:color w:val="000000" w:themeColor="text1"/>
                      <w:spacing w:val="0"/>
                      <w:sz w:val="21"/>
                      <w:szCs w:val="21"/>
                      <w:lang w:val="en-US" w:eastAsia="zh-CN"/>
                      <w14:textFill>
                        <w14:solidFill>
                          <w14:schemeClr w14:val="tx1"/>
                        </w14:solidFill>
                      </w14:textFill>
                    </w:rPr>
                    <w:t>年柴油货车污染治理攻坚战实施方案</w:t>
                  </w:r>
                  <w:r>
                    <w:rPr>
                      <w:rFonts w:hint="default" w:ascii="Times New Roman" w:hAnsi="Times New Roman" w:eastAsia="宋体" w:cs="Times New Roman"/>
                      <w:b/>
                      <w:bCs/>
                      <w:snapToGrid w:val="0"/>
                      <w:color w:val="000000" w:themeColor="text1"/>
                      <w:spacing w:val="0"/>
                      <w:sz w:val="21"/>
                      <w:szCs w:val="21"/>
                      <w:u w:val="none"/>
                      <w14:textFill>
                        <w14:solidFill>
                          <w14:schemeClr w14:val="tx1"/>
                        </w14:solidFill>
                      </w14:textFill>
                    </w:rPr>
                    <w:t>》</w:t>
                  </w:r>
                  <w:r>
                    <w:rPr>
                      <w:rFonts w:hint="eastAsia" w:cs="Times New Roman"/>
                      <w:b/>
                      <w:bCs/>
                      <w:snapToGrid w:val="0"/>
                      <w:color w:val="000000" w:themeColor="text1"/>
                      <w:spacing w:val="0"/>
                      <w:sz w:val="21"/>
                      <w:szCs w:val="21"/>
                      <w:u w:val="none"/>
                      <w:lang w:eastAsia="zh-CN"/>
                      <w14:textFill>
                        <w14:solidFill>
                          <w14:schemeClr w14:val="tx1"/>
                        </w14:solidFill>
                      </w14:textFill>
                    </w:rPr>
                    <w:t>（新环委办</w:t>
                  </w:r>
                  <w:r>
                    <w:rPr>
                      <w:rFonts w:hint="eastAsia" w:cs="Times New Roman"/>
                      <w:b/>
                      <w:bCs/>
                      <w:snapToGrid w:val="0"/>
                      <w:color w:val="000000" w:themeColor="text1"/>
                      <w:spacing w:val="0"/>
                      <w:sz w:val="21"/>
                      <w:szCs w:val="21"/>
                      <w:u w:val="none"/>
                      <w:lang w:val="en-US" w:eastAsia="zh-CN"/>
                      <w14:textFill>
                        <w14:solidFill>
                          <w14:schemeClr w14:val="tx1"/>
                        </w14:solidFill>
                      </w14:textFill>
                    </w:rPr>
                    <w:t>[</w:t>
                  </w:r>
                  <w:r>
                    <w:rPr>
                      <w:rFonts w:hint="eastAsia" w:ascii="Times New Roman" w:hAnsi="Times New Roman" w:cs="Times New Roman"/>
                      <w:b/>
                      <w:bCs/>
                      <w:snapToGrid w:val="0"/>
                      <w:color w:val="000000" w:themeColor="text1"/>
                      <w:spacing w:val="0"/>
                      <w:sz w:val="21"/>
                      <w:szCs w:val="21"/>
                      <w:u w:val="none"/>
                      <w:lang w:val="en-US" w:eastAsia="zh-CN"/>
                      <w14:textFill>
                        <w14:solidFill>
                          <w14:schemeClr w14:val="tx1"/>
                        </w14:solidFill>
                      </w14:textFill>
                    </w:rPr>
                    <w:t>2026</w:t>
                  </w:r>
                  <w:r>
                    <w:rPr>
                      <w:rFonts w:hint="eastAsia" w:cs="Times New Roman"/>
                      <w:b/>
                      <w:bCs/>
                      <w:snapToGrid w:val="0"/>
                      <w:color w:val="000000" w:themeColor="text1"/>
                      <w:spacing w:val="0"/>
                      <w:sz w:val="21"/>
                      <w:szCs w:val="21"/>
                      <w:u w:val="none"/>
                      <w:lang w:val="en-US" w:eastAsia="zh-CN"/>
                      <w14:textFill>
                        <w14:solidFill>
                          <w14:schemeClr w14:val="tx1"/>
                        </w14:solidFill>
                      </w14:textFill>
                    </w:rPr>
                    <w:t>]21号</w:t>
                  </w:r>
                  <w:r>
                    <w:rPr>
                      <w:rFonts w:hint="eastAsia" w:cs="Times New Roman"/>
                      <w:b/>
                      <w:bCs/>
                      <w:snapToGrid w:val="0"/>
                      <w:color w:val="000000" w:themeColor="text1"/>
                      <w:spacing w:val="0"/>
                      <w:sz w:val="21"/>
                      <w:szCs w:val="21"/>
                      <w:u w:val="none"/>
                      <w:lang w:eastAsia="zh-CN"/>
                      <w14:textFill>
                        <w14:solidFill>
                          <w14:schemeClr w14:val="tx1"/>
                        </w14:solidFill>
                      </w14:textFill>
                    </w:rPr>
                    <w:t>）</w:t>
                  </w:r>
                </w:p>
              </w:tc>
            </w:tr>
            <w:tr w14:paraId="099B0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17" w:type="dxa"/>
                  <w:noWrap w:val="0"/>
                  <w:vAlign w:val="center"/>
                </w:tcPr>
                <w:p w14:paraId="20B9C0B7">
                  <w:pPr>
                    <w:pStyle w:val="9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pP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3</w:t>
                  </w:r>
                  <w:r>
                    <w:rPr>
                      <w:rFonts w:hint="eastAsia" w:cs="Times New Roman"/>
                      <w:bCs w:val="0"/>
                      <w:color w:val="000000" w:themeColor="text1"/>
                      <w:spacing w:val="0"/>
                      <w:sz w:val="21"/>
                      <w:szCs w:val="21"/>
                      <w:lang w:val="en-US" w:eastAsia="zh-CN"/>
                      <w14:textFill>
                        <w14:solidFill>
                          <w14:schemeClr w14:val="tx1"/>
                        </w14:solidFill>
                      </w14:textFill>
                    </w:rPr>
                    <w:t>、</w:t>
                  </w: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大力推广新能源汽车。积极创建绿色物流区，扩大新能源车便利通行条件，政府类投资建设项目优先使用新能源车，加力推动重型货车和城市公共领域车辆新能源更新替代。支持有条件的县(市、区)开展运输通道、重点行业、重要领域、公共服务、指定区域等五类货运零排放试点。除特殊需求外，全市新增或更新的公交车、出租车、环卫车、渣土车、商砼车、校车、通勤车全面实现新能源化。科学划定并动态拓展市区绿色物流示范区，新增或更新物流配送车应使用新能源。城市中心城区内工业企业使用的货运车辆、内部运输车辆和非道路移动机械，在具备安全可靠使用条件的前提下，力争实现新能源化。高速公路、普通国省干线和环卫、物流等运营线路沿途建设重型货车超充或换电站。2026年，全市新增新能源重型货车900辆以上，城市环卫车、渣土车、商砼车、邮政车基本实现新能源化。</w:t>
                  </w:r>
                </w:p>
              </w:tc>
              <w:tc>
                <w:tcPr>
                  <w:tcW w:w="1987" w:type="dxa"/>
                  <w:noWrap w:val="0"/>
                  <w:vAlign w:val="center"/>
                </w:tcPr>
                <w:p w14:paraId="009A61C7">
                  <w:pPr>
                    <w:pStyle w:val="9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eastAsia"/>
                      <w:snapToGrid w:val="0"/>
                      <w:color w:val="000000" w:themeColor="text1"/>
                      <w:spacing w:val="0"/>
                      <w:sz w:val="21"/>
                      <w:szCs w:val="21"/>
                      <w14:textFill>
                        <w14:solidFill>
                          <w14:schemeClr w14:val="tx1"/>
                        </w14:solidFill>
                      </w14:textFill>
                    </w:rPr>
                  </w:pPr>
                  <w:r>
                    <w:rPr>
                      <w:rFonts w:hint="eastAsia"/>
                      <w:snapToGrid w:val="0"/>
                      <w:color w:val="000000" w:themeColor="text1"/>
                      <w:spacing w:val="0"/>
                      <w:sz w:val="21"/>
                      <w:szCs w:val="21"/>
                      <w14:textFill>
                        <w14:solidFill>
                          <w14:schemeClr w14:val="tx1"/>
                        </w14:solidFill>
                      </w14:textFill>
                    </w:rPr>
                    <w:t>本项目建成后</w:t>
                  </w:r>
                  <w:r>
                    <w:rPr>
                      <w:rFonts w:hint="eastAsia"/>
                      <w:color w:val="000000" w:themeColor="text1"/>
                      <w:spacing w:val="0"/>
                      <w:sz w:val="21"/>
                      <w:szCs w:val="21"/>
                      <w14:textFill>
                        <w14:solidFill>
                          <w14:schemeClr w14:val="tx1"/>
                        </w14:solidFill>
                      </w14:textFill>
                    </w:rPr>
                    <w:t>物料公路运输全部使用达到国五及以上排放标准重型载货车辆（含燃气）或新能源车辆。</w:t>
                  </w:r>
                </w:p>
              </w:tc>
              <w:tc>
                <w:tcPr>
                  <w:tcW w:w="791" w:type="dxa"/>
                  <w:noWrap w:val="0"/>
                  <w:vAlign w:val="center"/>
                </w:tcPr>
                <w:p w14:paraId="0C5DBB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val="0"/>
                      <w:bCs w:val="0"/>
                      <w:snapToGrid w:val="0"/>
                      <w:color w:val="000000" w:themeColor="text1"/>
                      <w:spacing w:val="0"/>
                      <w:sz w:val="21"/>
                      <w:szCs w:val="21"/>
                      <w:u w:val="none"/>
                      <w:lang w:eastAsia="zh-CN"/>
                      <w14:textFill>
                        <w14:solidFill>
                          <w14:schemeClr w14:val="tx1"/>
                        </w14:solidFill>
                      </w14:textFill>
                    </w:rPr>
                    <w:t>相符</w:t>
                  </w:r>
                </w:p>
              </w:tc>
            </w:tr>
            <w:tr w14:paraId="07966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17" w:type="dxa"/>
                  <w:noWrap w:val="0"/>
                  <w:vAlign w:val="center"/>
                </w:tcPr>
                <w:p w14:paraId="64DF749B">
                  <w:pPr>
                    <w:pStyle w:val="9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pP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11</w:t>
                  </w:r>
                  <w:r>
                    <w:rPr>
                      <w:rFonts w:hint="eastAsia" w:cs="Times New Roman"/>
                      <w:bCs w:val="0"/>
                      <w:color w:val="000000" w:themeColor="text1"/>
                      <w:spacing w:val="0"/>
                      <w:sz w:val="21"/>
                      <w:szCs w:val="21"/>
                      <w:lang w:val="en-US" w:eastAsia="zh-CN"/>
                      <w14:textFill>
                        <w14:solidFill>
                          <w14:schemeClr w14:val="tx1"/>
                        </w14:solidFill>
                      </w14:textFill>
                    </w:rPr>
                    <w:t>、</w:t>
                  </w: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推动老旧非道路移动机械淘汰更新。加快淘汰国二及以下排放标准非道路移动机械，重点行业企业、工业园区、产业集群、物流园区、施工工地、矿山新增或更新的厂内车辆和非道路移动机械原则上采用新能源。交通、住建、水利、自然资源等部门建立各自领域工程项目清单，工程推进过程中原则上使用国六排放标准或新能源车辆以及国四排放标准或新能源机械，其中新能源占比不低于20%。2026年底前，全市非道路移动机械纯电化率达到8%以上。</w:t>
                  </w:r>
                </w:p>
              </w:tc>
              <w:tc>
                <w:tcPr>
                  <w:tcW w:w="1987" w:type="dxa"/>
                  <w:noWrap w:val="0"/>
                  <w:vAlign w:val="center"/>
                </w:tcPr>
                <w:p w14:paraId="69281851">
                  <w:pPr>
                    <w:pStyle w:val="9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eastAsia" w:cs="Times New Roman"/>
                      <w:bCs w:val="0"/>
                      <w:color w:val="000000" w:themeColor="text1"/>
                      <w:spacing w:val="0"/>
                      <w:sz w:val="21"/>
                      <w:szCs w:val="21"/>
                      <w:lang w:eastAsia="zh-CN"/>
                      <w14:textFill>
                        <w14:solidFill>
                          <w14:schemeClr w14:val="tx1"/>
                        </w14:solidFill>
                      </w14:textFill>
                    </w:rPr>
                  </w:pPr>
                  <w:r>
                    <w:rPr>
                      <w:rFonts w:hint="eastAsia" w:cs="Times New Roman"/>
                      <w:bCs w:val="0"/>
                      <w:color w:val="000000" w:themeColor="text1"/>
                      <w:spacing w:val="0"/>
                      <w:sz w:val="21"/>
                      <w:szCs w:val="21"/>
                      <w:lang w:eastAsia="zh-CN"/>
                      <w14:textFill>
                        <w14:solidFill>
                          <w14:schemeClr w14:val="tx1"/>
                        </w14:solidFill>
                      </w14:textFill>
                    </w:rPr>
                    <w:t>厂内非道路移动机械全部达到国三及以上排放标准或使用新能源机械。</w:t>
                  </w:r>
                </w:p>
              </w:tc>
              <w:tc>
                <w:tcPr>
                  <w:tcW w:w="791" w:type="dxa"/>
                  <w:noWrap w:val="0"/>
                  <w:vAlign w:val="center"/>
                </w:tcPr>
                <w:p w14:paraId="09179A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val="0"/>
                      <w:bCs w:val="0"/>
                      <w:snapToGrid w:val="0"/>
                      <w:color w:val="000000" w:themeColor="text1"/>
                      <w:spacing w:val="0"/>
                      <w:sz w:val="21"/>
                      <w:szCs w:val="21"/>
                      <w:u w:val="none"/>
                      <w:lang w:eastAsia="zh-CN"/>
                      <w14:textFill>
                        <w14:solidFill>
                          <w14:schemeClr w14:val="tx1"/>
                        </w14:solidFill>
                      </w14:textFill>
                    </w:rPr>
                    <w:t>相符</w:t>
                  </w:r>
                </w:p>
              </w:tc>
            </w:tr>
            <w:tr w14:paraId="451B4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917" w:type="dxa"/>
                  <w:noWrap w:val="0"/>
                  <w:vAlign w:val="center"/>
                </w:tcPr>
                <w:p w14:paraId="18BDD5D1">
                  <w:pPr>
                    <w:pStyle w:val="9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pP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16.强化门禁及视频监控系统管理。持续深化重点用车单位门禁监控及视频监控系统建设与应用，提升精细化监管水平。对年度日均载货车辆进出20辆次及以上、日运输量150吨以上的重点用车单位进行动态摸排，做到应装尽装、应联尽联。督促企业完善门禁系统管理制度，规范填报电子台账，如实记录进出厂时间、车型、排放阶段、燃油类型等信息，确保数据真实、完整、可追溯。加大平台巡检与现场核查力度，严查长期抬杆、违规手工抬杆、旁门豁口、异常离线等行为</w:t>
                  </w:r>
                  <w:r>
                    <w:rPr>
                      <w:rFonts w:hint="eastAsia" w:cs="Times New Roman"/>
                      <w:bCs w:val="0"/>
                      <w:color w:val="000000" w:themeColor="text1"/>
                      <w:spacing w:val="0"/>
                      <w:sz w:val="21"/>
                      <w:szCs w:val="21"/>
                      <w:lang w:val="en-US" w:eastAsia="zh-CN"/>
                      <w14:textFill>
                        <w14:solidFill>
                          <w14:schemeClr w14:val="tx1"/>
                        </w14:solidFill>
                      </w14:textFill>
                    </w:rPr>
                    <w:t>；</w:t>
                  </w: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对不规范使用门禁、达不到运输监管要求的绩效企业，实施动态管理。</w:t>
                  </w:r>
                </w:p>
              </w:tc>
              <w:tc>
                <w:tcPr>
                  <w:tcW w:w="1987" w:type="dxa"/>
                  <w:noWrap w:val="0"/>
                  <w:vAlign w:val="center"/>
                </w:tcPr>
                <w:p w14:paraId="7EFB067E">
                  <w:pPr>
                    <w:pStyle w:val="9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both"/>
                    <w:textAlignment w:val="auto"/>
                    <w:rPr>
                      <w:rFonts w:hint="eastAsia" w:cs="Times New Roman"/>
                      <w:bCs w:val="0"/>
                      <w:color w:val="000000" w:themeColor="text1"/>
                      <w:spacing w:val="0"/>
                      <w:sz w:val="21"/>
                      <w:szCs w:val="21"/>
                      <w:lang w:eastAsia="zh-CN"/>
                      <w14:textFill>
                        <w14:solidFill>
                          <w14:schemeClr w14:val="tx1"/>
                        </w14:solidFill>
                      </w14:textFill>
                    </w:rPr>
                  </w:pPr>
                  <w:r>
                    <w:rPr>
                      <w:rFonts w:hint="eastAsia" w:cs="Times New Roman"/>
                      <w:bCs w:val="0"/>
                      <w:color w:val="000000" w:themeColor="text1"/>
                      <w:spacing w:val="0"/>
                      <w:sz w:val="21"/>
                      <w:szCs w:val="21"/>
                      <w:lang w:eastAsia="zh-CN"/>
                      <w14:textFill>
                        <w14:solidFill>
                          <w14:schemeClr w14:val="tx1"/>
                        </w14:solidFill>
                      </w14:textFill>
                    </w:rPr>
                    <w:t>企业按要求建设</w:t>
                  </w:r>
                  <w:r>
                    <w:rPr>
                      <w:rFonts w:hint="default" w:ascii="Times New Roman" w:hAnsi="Times New Roman" w:cs="Times New Roman"/>
                      <w:bCs w:val="0"/>
                      <w:color w:val="000000" w:themeColor="text1"/>
                      <w:spacing w:val="0"/>
                      <w:sz w:val="21"/>
                      <w:szCs w:val="21"/>
                      <w:lang w:val="en-US" w:eastAsia="zh-CN"/>
                      <w14:textFill>
                        <w14:solidFill>
                          <w14:schemeClr w14:val="tx1"/>
                        </w14:solidFill>
                      </w14:textFill>
                    </w:rPr>
                    <w:t>门禁及视频监控系统</w:t>
                  </w:r>
                  <w:r>
                    <w:rPr>
                      <w:rFonts w:hint="eastAsia" w:cs="Times New Roman"/>
                      <w:bCs w:val="0"/>
                      <w:color w:val="000000" w:themeColor="text1"/>
                      <w:spacing w:val="0"/>
                      <w:sz w:val="21"/>
                      <w:szCs w:val="21"/>
                      <w:lang w:val="en-US" w:eastAsia="zh-CN"/>
                      <w14:textFill>
                        <w14:solidFill>
                          <w14:schemeClr w14:val="tx1"/>
                        </w14:solidFill>
                      </w14:textFill>
                    </w:rPr>
                    <w:t>。</w:t>
                  </w:r>
                </w:p>
              </w:tc>
              <w:tc>
                <w:tcPr>
                  <w:tcW w:w="791" w:type="dxa"/>
                  <w:noWrap w:val="0"/>
                  <w:vAlign w:val="center"/>
                </w:tcPr>
                <w:p w14:paraId="156788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firstLine="0" w:firstLineChars="0"/>
                    <w:jc w:val="center"/>
                    <w:textAlignment w:val="auto"/>
                    <w:rPr>
                      <w:rFonts w:hint="eastAsia" w:cs="Times New Roman"/>
                      <w:b w:val="0"/>
                      <w:bCs w:val="0"/>
                      <w:snapToGrid w:val="0"/>
                      <w:color w:val="000000" w:themeColor="text1"/>
                      <w:spacing w:val="0"/>
                      <w:sz w:val="21"/>
                      <w:szCs w:val="21"/>
                      <w:u w:val="none"/>
                      <w:lang w:eastAsia="zh-CN"/>
                      <w14:textFill>
                        <w14:solidFill>
                          <w14:schemeClr w14:val="tx1"/>
                        </w14:solidFill>
                      </w14:textFill>
                    </w:rPr>
                  </w:pPr>
                  <w:r>
                    <w:rPr>
                      <w:rFonts w:hint="eastAsia" w:cs="Times New Roman"/>
                      <w:b w:val="0"/>
                      <w:bCs w:val="0"/>
                      <w:snapToGrid w:val="0"/>
                      <w:color w:val="000000" w:themeColor="text1"/>
                      <w:spacing w:val="0"/>
                      <w:sz w:val="21"/>
                      <w:szCs w:val="21"/>
                      <w:u w:val="none"/>
                      <w:lang w:eastAsia="zh-CN"/>
                      <w14:textFill>
                        <w14:solidFill>
                          <w14:schemeClr w14:val="tx1"/>
                        </w14:solidFill>
                      </w14:textFill>
                    </w:rPr>
                    <w:t>相符</w:t>
                  </w:r>
                </w:p>
              </w:tc>
            </w:tr>
          </w:tbl>
          <w:p w14:paraId="54AE6EB9">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rFonts w:hint="eastAsia" w:cs="Times New Roman"/>
                <w:b w:val="0"/>
                <w:bCs w:val="0"/>
                <w:color w:val="000000" w:themeColor="text1"/>
                <w:spacing w:val="0"/>
                <w:sz w:val="24"/>
                <w:szCs w:val="24"/>
                <w:lang w:val="en-US" w:eastAsia="zh-CN"/>
                <w14:textFill>
                  <w14:solidFill>
                    <w14:schemeClr w14:val="tx1"/>
                  </w14:solidFill>
                </w14:textFill>
              </w:rPr>
            </w:pPr>
            <w:r>
              <w:rPr>
                <w:rFonts w:hint="eastAsia" w:cs="Times New Roman"/>
                <w:b w:val="0"/>
                <w:bCs w:val="0"/>
                <w:color w:val="000000" w:themeColor="text1"/>
                <w:spacing w:val="0"/>
                <w:sz w:val="24"/>
                <w:szCs w:val="24"/>
                <w:lang w:val="en-US" w:eastAsia="zh-CN"/>
                <w14:textFill>
                  <w14:solidFill>
                    <w14:schemeClr w14:val="tx1"/>
                  </w14:solidFill>
                </w14:textFill>
              </w:rPr>
              <w:t>由上表可知，本项目符合新乡市生态环境保护委员会办公室关于印发《新乡市2026年蓝天保卫战实施方案》</w:t>
            </w:r>
            <w:r>
              <w:rPr>
                <w:rFonts w:hint="eastAsia" w:cs="Times New Roman"/>
                <w:b w:val="0"/>
                <w:bCs w:val="0"/>
                <w:snapToGrid w:val="0"/>
                <w:color w:val="000000" w:themeColor="text1"/>
                <w:spacing w:val="0"/>
                <w:sz w:val="24"/>
                <w:szCs w:val="24"/>
                <w:u w:val="none"/>
                <w:lang w:eastAsia="zh-CN"/>
                <w14:textFill>
                  <w14:solidFill>
                    <w14:schemeClr w14:val="tx1"/>
                  </w14:solidFill>
                </w14:textFill>
              </w:rPr>
              <w:t>（新环委办</w:t>
            </w:r>
            <w:r>
              <w:rPr>
                <w:rFonts w:hint="eastAsia" w:cs="Times New Roman"/>
                <w:b w:val="0"/>
                <w:bCs w:val="0"/>
                <w:snapToGrid w:val="0"/>
                <w:color w:val="000000" w:themeColor="text1"/>
                <w:spacing w:val="0"/>
                <w:sz w:val="24"/>
                <w:szCs w:val="24"/>
                <w:u w:val="none"/>
                <w:lang w:val="en-US" w:eastAsia="zh-CN"/>
                <w14:textFill>
                  <w14:solidFill>
                    <w14:schemeClr w14:val="tx1"/>
                  </w14:solidFill>
                </w14:textFill>
              </w:rPr>
              <w:t>[</w:t>
            </w:r>
            <w:r>
              <w:rPr>
                <w:rFonts w:hint="eastAsia" w:ascii="Times New Roman" w:hAnsi="Times New Roman" w:cs="Times New Roman"/>
                <w:b w:val="0"/>
                <w:bCs w:val="0"/>
                <w:snapToGrid w:val="0"/>
                <w:color w:val="000000" w:themeColor="text1"/>
                <w:spacing w:val="0"/>
                <w:sz w:val="24"/>
                <w:szCs w:val="24"/>
                <w:u w:val="none"/>
                <w:lang w:val="en-US" w:eastAsia="zh-CN"/>
                <w14:textFill>
                  <w14:solidFill>
                    <w14:schemeClr w14:val="tx1"/>
                  </w14:solidFill>
                </w14:textFill>
              </w:rPr>
              <w:t>2026</w:t>
            </w:r>
            <w:r>
              <w:rPr>
                <w:rFonts w:hint="eastAsia" w:cs="Times New Roman"/>
                <w:b w:val="0"/>
                <w:bCs w:val="0"/>
                <w:snapToGrid w:val="0"/>
                <w:color w:val="000000" w:themeColor="text1"/>
                <w:spacing w:val="0"/>
                <w:sz w:val="24"/>
                <w:szCs w:val="24"/>
                <w:u w:val="none"/>
                <w:lang w:val="en-US" w:eastAsia="zh-CN"/>
                <w14:textFill>
                  <w14:solidFill>
                    <w14:schemeClr w14:val="tx1"/>
                  </w14:solidFill>
                </w14:textFill>
              </w:rPr>
              <w:t>]</w:t>
            </w:r>
            <w:r>
              <w:rPr>
                <w:rFonts w:hint="eastAsia" w:ascii="Times New Roman" w:hAnsi="Times New Roman" w:cs="Times New Roman"/>
                <w:b w:val="0"/>
                <w:bCs w:val="0"/>
                <w:snapToGrid w:val="0"/>
                <w:color w:val="000000" w:themeColor="text1"/>
                <w:spacing w:val="0"/>
                <w:sz w:val="24"/>
                <w:szCs w:val="24"/>
                <w:u w:val="none"/>
                <w:lang w:val="en-US" w:eastAsia="zh-CN"/>
                <w14:textFill>
                  <w14:solidFill>
                    <w14:schemeClr w14:val="tx1"/>
                  </w14:solidFill>
                </w14:textFill>
              </w:rPr>
              <w:t>18</w:t>
            </w:r>
            <w:r>
              <w:rPr>
                <w:rFonts w:hint="eastAsia" w:cs="Times New Roman"/>
                <w:b w:val="0"/>
                <w:bCs w:val="0"/>
                <w:snapToGrid w:val="0"/>
                <w:color w:val="000000" w:themeColor="text1"/>
                <w:spacing w:val="0"/>
                <w:sz w:val="24"/>
                <w:szCs w:val="24"/>
                <w:u w:val="none"/>
                <w:lang w:val="en-US" w:eastAsia="zh-CN"/>
                <w14:textFill>
                  <w14:solidFill>
                    <w14:schemeClr w14:val="tx1"/>
                  </w14:solidFill>
                </w14:textFill>
              </w:rPr>
              <w:t>号</w:t>
            </w:r>
            <w:r>
              <w:rPr>
                <w:rFonts w:hint="eastAsia" w:cs="Times New Roman"/>
                <w:b w:val="0"/>
                <w:bCs w:val="0"/>
                <w:snapToGrid w:val="0"/>
                <w:color w:val="000000" w:themeColor="text1"/>
                <w:spacing w:val="0"/>
                <w:sz w:val="24"/>
                <w:szCs w:val="24"/>
                <w:u w:val="none"/>
                <w:lang w:eastAsia="zh-CN"/>
                <w14:textFill>
                  <w14:solidFill>
                    <w14:schemeClr w14:val="tx1"/>
                  </w14:solidFill>
                </w14:textFill>
              </w:rPr>
              <w:t>）、</w:t>
            </w:r>
            <w:r>
              <w:rPr>
                <w:rFonts w:hint="eastAsia" w:cs="Times New Roman"/>
                <w:b w:val="0"/>
                <w:bCs w:val="0"/>
                <w:color w:val="000000" w:themeColor="text1"/>
                <w:spacing w:val="0"/>
                <w:sz w:val="24"/>
                <w:szCs w:val="24"/>
                <w:lang w:val="en-US" w:eastAsia="zh-CN"/>
                <w14:textFill>
                  <w14:solidFill>
                    <w14:schemeClr w14:val="tx1"/>
                  </w14:solidFill>
                </w14:textFill>
              </w:rPr>
              <w:t>《新乡市2026年碧水保卫战实施方案》</w:t>
            </w:r>
            <w:r>
              <w:rPr>
                <w:rFonts w:hint="eastAsia" w:cs="Times New Roman"/>
                <w:b w:val="0"/>
                <w:bCs w:val="0"/>
                <w:snapToGrid w:val="0"/>
                <w:color w:val="000000" w:themeColor="text1"/>
                <w:spacing w:val="0"/>
                <w:sz w:val="24"/>
                <w:szCs w:val="24"/>
                <w:u w:val="none"/>
                <w:lang w:eastAsia="zh-CN"/>
                <w14:textFill>
                  <w14:solidFill>
                    <w14:schemeClr w14:val="tx1"/>
                  </w14:solidFill>
                </w14:textFill>
              </w:rPr>
              <w:t>（新环委办</w:t>
            </w:r>
            <w:r>
              <w:rPr>
                <w:rFonts w:hint="eastAsia" w:cs="Times New Roman"/>
                <w:b w:val="0"/>
                <w:bCs w:val="0"/>
                <w:snapToGrid w:val="0"/>
                <w:color w:val="000000" w:themeColor="text1"/>
                <w:spacing w:val="0"/>
                <w:sz w:val="24"/>
                <w:szCs w:val="24"/>
                <w:u w:val="none"/>
                <w:lang w:val="en-US" w:eastAsia="zh-CN"/>
                <w14:textFill>
                  <w14:solidFill>
                    <w14:schemeClr w14:val="tx1"/>
                  </w14:solidFill>
                </w14:textFill>
              </w:rPr>
              <w:t>[</w:t>
            </w:r>
            <w:r>
              <w:rPr>
                <w:rFonts w:hint="eastAsia" w:ascii="Times New Roman" w:hAnsi="Times New Roman" w:cs="Times New Roman"/>
                <w:b w:val="0"/>
                <w:bCs w:val="0"/>
                <w:snapToGrid w:val="0"/>
                <w:color w:val="000000" w:themeColor="text1"/>
                <w:spacing w:val="0"/>
                <w:sz w:val="24"/>
                <w:szCs w:val="24"/>
                <w:u w:val="none"/>
                <w:lang w:val="en-US" w:eastAsia="zh-CN"/>
                <w14:textFill>
                  <w14:solidFill>
                    <w14:schemeClr w14:val="tx1"/>
                  </w14:solidFill>
                </w14:textFill>
              </w:rPr>
              <w:t>2026</w:t>
            </w:r>
            <w:r>
              <w:rPr>
                <w:rFonts w:hint="eastAsia" w:cs="Times New Roman"/>
                <w:b w:val="0"/>
                <w:bCs w:val="0"/>
                <w:snapToGrid w:val="0"/>
                <w:color w:val="000000" w:themeColor="text1"/>
                <w:spacing w:val="0"/>
                <w:sz w:val="24"/>
                <w:szCs w:val="24"/>
                <w:u w:val="none"/>
                <w:lang w:val="en-US" w:eastAsia="zh-CN"/>
                <w14:textFill>
                  <w14:solidFill>
                    <w14:schemeClr w14:val="tx1"/>
                  </w14:solidFill>
                </w14:textFill>
              </w:rPr>
              <w:t>]</w:t>
            </w:r>
            <w:r>
              <w:rPr>
                <w:rFonts w:hint="eastAsia" w:ascii="Times New Roman" w:hAnsi="Times New Roman" w:cs="Times New Roman"/>
                <w:b w:val="0"/>
                <w:bCs w:val="0"/>
                <w:snapToGrid w:val="0"/>
                <w:color w:val="000000" w:themeColor="text1"/>
                <w:spacing w:val="0"/>
                <w:sz w:val="24"/>
                <w:szCs w:val="24"/>
                <w:u w:val="none"/>
                <w:lang w:val="en-US" w:eastAsia="zh-CN"/>
                <w14:textFill>
                  <w14:solidFill>
                    <w14:schemeClr w14:val="tx1"/>
                  </w14:solidFill>
                </w14:textFill>
              </w:rPr>
              <w:t>1</w:t>
            </w:r>
            <w:r>
              <w:rPr>
                <w:rFonts w:hint="eastAsia" w:cs="Times New Roman"/>
                <w:b w:val="0"/>
                <w:bCs w:val="0"/>
                <w:snapToGrid w:val="0"/>
                <w:color w:val="000000" w:themeColor="text1"/>
                <w:spacing w:val="0"/>
                <w:sz w:val="24"/>
                <w:szCs w:val="24"/>
                <w:u w:val="none"/>
                <w:lang w:val="en-US" w:eastAsia="zh-CN"/>
                <w14:textFill>
                  <w14:solidFill>
                    <w14:schemeClr w14:val="tx1"/>
                  </w14:solidFill>
                </w14:textFill>
              </w:rPr>
              <w:t>7号</w:t>
            </w:r>
            <w:r>
              <w:rPr>
                <w:rFonts w:hint="eastAsia" w:cs="Times New Roman"/>
                <w:b w:val="0"/>
                <w:bCs w:val="0"/>
                <w:snapToGrid w:val="0"/>
                <w:color w:val="000000" w:themeColor="text1"/>
                <w:spacing w:val="0"/>
                <w:sz w:val="24"/>
                <w:szCs w:val="24"/>
                <w:u w:val="none"/>
                <w:lang w:eastAsia="zh-CN"/>
                <w14:textFill>
                  <w14:solidFill>
                    <w14:schemeClr w14:val="tx1"/>
                  </w14:solidFill>
                </w14:textFill>
              </w:rPr>
              <w:t>）</w:t>
            </w:r>
            <w:r>
              <w:rPr>
                <w:rFonts w:hint="eastAsia" w:cs="Times New Roman"/>
                <w:b w:val="0"/>
                <w:bCs w:val="0"/>
                <w:color w:val="000000" w:themeColor="text1"/>
                <w:spacing w:val="0"/>
                <w:sz w:val="24"/>
                <w:szCs w:val="24"/>
                <w:lang w:val="en-US" w:eastAsia="zh-CN"/>
                <w14:textFill>
                  <w14:solidFill>
                    <w14:schemeClr w14:val="tx1"/>
                  </w14:solidFill>
                </w14:textFill>
              </w:rPr>
              <w:t>、《新乡市2026年净土保卫战实施方案》</w:t>
            </w:r>
            <w:r>
              <w:rPr>
                <w:rFonts w:hint="eastAsia" w:cs="Times New Roman"/>
                <w:b w:val="0"/>
                <w:bCs w:val="0"/>
                <w:snapToGrid w:val="0"/>
                <w:color w:val="000000" w:themeColor="text1"/>
                <w:spacing w:val="0"/>
                <w:sz w:val="24"/>
                <w:szCs w:val="24"/>
                <w:u w:val="none"/>
                <w:lang w:eastAsia="zh-CN"/>
                <w14:textFill>
                  <w14:solidFill>
                    <w14:schemeClr w14:val="tx1"/>
                  </w14:solidFill>
                </w14:textFill>
              </w:rPr>
              <w:t>（新环委办</w:t>
            </w:r>
            <w:r>
              <w:rPr>
                <w:rFonts w:hint="eastAsia" w:cs="Times New Roman"/>
                <w:b w:val="0"/>
                <w:bCs w:val="0"/>
                <w:snapToGrid w:val="0"/>
                <w:color w:val="000000" w:themeColor="text1"/>
                <w:spacing w:val="0"/>
                <w:sz w:val="24"/>
                <w:szCs w:val="24"/>
                <w:u w:val="none"/>
                <w:lang w:val="en-US" w:eastAsia="zh-CN"/>
                <w14:textFill>
                  <w14:solidFill>
                    <w14:schemeClr w14:val="tx1"/>
                  </w14:solidFill>
                </w14:textFill>
              </w:rPr>
              <w:t>[</w:t>
            </w:r>
            <w:r>
              <w:rPr>
                <w:rFonts w:hint="eastAsia" w:ascii="Times New Roman" w:hAnsi="Times New Roman" w:cs="Times New Roman"/>
                <w:b w:val="0"/>
                <w:bCs w:val="0"/>
                <w:snapToGrid w:val="0"/>
                <w:color w:val="000000" w:themeColor="text1"/>
                <w:spacing w:val="0"/>
                <w:sz w:val="24"/>
                <w:szCs w:val="24"/>
                <w:u w:val="none"/>
                <w:lang w:val="en-US" w:eastAsia="zh-CN"/>
                <w14:textFill>
                  <w14:solidFill>
                    <w14:schemeClr w14:val="tx1"/>
                  </w14:solidFill>
                </w14:textFill>
              </w:rPr>
              <w:t>2026</w:t>
            </w:r>
            <w:r>
              <w:rPr>
                <w:rFonts w:hint="eastAsia" w:cs="Times New Roman"/>
                <w:b w:val="0"/>
                <w:bCs w:val="0"/>
                <w:snapToGrid w:val="0"/>
                <w:color w:val="000000" w:themeColor="text1"/>
                <w:spacing w:val="0"/>
                <w:sz w:val="24"/>
                <w:szCs w:val="24"/>
                <w:u w:val="none"/>
                <w:lang w:val="en-US" w:eastAsia="zh-CN"/>
                <w14:textFill>
                  <w14:solidFill>
                    <w14:schemeClr w14:val="tx1"/>
                  </w14:solidFill>
                </w14:textFill>
              </w:rPr>
              <w:t>]20号</w:t>
            </w:r>
            <w:r>
              <w:rPr>
                <w:rFonts w:hint="eastAsia" w:cs="Times New Roman"/>
                <w:b w:val="0"/>
                <w:bCs w:val="0"/>
                <w:snapToGrid w:val="0"/>
                <w:color w:val="000000" w:themeColor="text1"/>
                <w:spacing w:val="0"/>
                <w:sz w:val="24"/>
                <w:szCs w:val="24"/>
                <w:u w:val="none"/>
                <w:lang w:eastAsia="zh-CN"/>
                <w14:textFill>
                  <w14:solidFill>
                    <w14:schemeClr w14:val="tx1"/>
                  </w14:solidFill>
                </w14:textFill>
              </w:rPr>
              <w:t>）、</w:t>
            </w:r>
            <w:r>
              <w:rPr>
                <w:rFonts w:hint="eastAsia" w:cs="Times New Roman"/>
                <w:b w:val="0"/>
                <w:bCs w:val="0"/>
                <w:color w:val="000000" w:themeColor="text1"/>
                <w:spacing w:val="0"/>
                <w:sz w:val="24"/>
                <w:szCs w:val="24"/>
                <w:lang w:val="en-US" w:eastAsia="zh-CN"/>
                <w14:textFill>
                  <w14:solidFill>
                    <w14:schemeClr w14:val="tx1"/>
                  </w14:solidFill>
                </w14:textFill>
              </w:rPr>
              <w:t>《新乡市2026年柴油货车污染治理攻坚战实施方案》的通知</w:t>
            </w:r>
            <w:r>
              <w:rPr>
                <w:rFonts w:hint="eastAsia" w:cs="Times New Roman"/>
                <w:b w:val="0"/>
                <w:bCs w:val="0"/>
                <w:snapToGrid w:val="0"/>
                <w:color w:val="000000" w:themeColor="text1"/>
                <w:spacing w:val="0"/>
                <w:sz w:val="24"/>
                <w:szCs w:val="24"/>
                <w:u w:val="none"/>
                <w:lang w:eastAsia="zh-CN"/>
                <w14:textFill>
                  <w14:solidFill>
                    <w14:schemeClr w14:val="tx1"/>
                  </w14:solidFill>
                </w14:textFill>
              </w:rPr>
              <w:t>（新环委办</w:t>
            </w:r>
            <w:r>
              <w:rPr>
                <w:rFonts w:hint="eastAsia" w:cs="Times New Roman"/>
                <w:b w:val="0"/>
                <w:bCs w:val="0"/>
                <w:snapToGrid w:val="0"/>
                <w:color w:val="000000" w:themeColor="text1"/>
                <w:spacing w:val="0"/>
                <w:sz w:val="24"/>
                <w:szCs w:val="24"/>
                <w:u w:val="none"/>
                <w:lang w:val="en-US" w:eastAsia="zh-CN"/>
                <w14:textFill>
                  <w14:solidFill>
                    <w14:schemeClr w14:val="tx1"/>
                  </w14:solidFill>
                </w14:textFill>
              </w:rPr>
              <w:t>[</w:t>
            </w:r>
            <w:r>
              <w:rPr>
                <w:rFonts w:hint="eastAsia" w:ascii="Times New Roman" w:hAnsi="Times New Roman" w:cs="Times New Roman"/>
                <w:b w:val="0"/>
                <w:bCs w:val="0"/>
                <w:snapToGrid w:val="0"/>
                <w:color w:val="000000" w:themeColor="text1"/>
                <w:spacing w:val="0"/>
                <w:sz w:val="24"/>
                <w:szCs w:val="24"/>
                <w:u w:val="none"/>
                <w:lang w:val="en-US" w:eastAsia="zh-CN"/>
                <w14:textFill>
                  <w14:solidFill>
                    <w14:schemeClr w14:val="tx1"/>
                  </w14:solidFill>
                </w14:textFill>
              </w:rPr>
              <w:t>2026</w:t>
            </w:r>
            <w:r>
              <w:rPr>
                <w:rFonts w:hint="eastAsia" w:cs="Times New Roman"/>
                <w:b w:val="0"/>
                <w:bCs w:val="0"/>
                <w:snapToGrid w:val="0"/>
                <w:color w:val="000000" w:themeColor="text1"/>
                <w:spacing w:val="0"/>
                <w:sz w:val="24"/>
                <w:szCs w:val="24"/>
                <w:u w:val="none"/>
                <w:lang w:val="en-US" w:eastAsia="zh-CN"/>
                <w14:textFill>
                  <w14:solidFill>
                    <w14:schemeClr w14:val="tx1"/>
                  </w14:solidFill>
                </w14:textFill>
              </w:rPr>
              <w:t>]21号</w:t>
            </w:r>
            <w:r>
              <w:rPr>
                <w:rFonts w:hint="eastAsia" w:cs="Times New Roman"/>
                <w:b w:val="0"/>
                <w:bCs w:val="0"/>
                <w:snapToGrid w:val="0"/>
                <w:color w:val="000000" w:themeColor="text1"/>
                <w:spacing w:val="0"/>
                <w:sz w:val="24"/>
                <w:szCs w:val="24"/>
                <w:u w:val="none"/>
                <w:lang w:eastAsia="zh-CN"/>
                <w14:textFill>
                  <w14:solidFill>
                    <w14:schemeClr w14:val="tx1"/>
                  </w14:solidFill>
                </w14:textFill>
              </w:rPr>
              <w:t>）</w:t>
            </w:r>
            <w:r>
              <w:rPr>
                <w:rFonts w:hint="eastAsia" w:cs="Times New Roman"/>
                <w:b w:val="0"/>
                <w:bCs w:val="0"/>
                <w:color w:val="000000" w:themeColor="text1"/>
                <w:spacing w:val="0"/>
                <w:sz w:val="24"/>
                <w:szCs w:val="24"/>
                <w:lang w:val="en-US" w:eastAsia="zh-CN"/>
                <w14:textFill>
                  <w14:solidFill>
                    <w14:schemeClr w14:val="tx1"/>
                  </w14:solidFill>
                </w14:textFill>
              </w:rPr>
              <w:t>相关要求。</w:t>
            </w:r>
          </w:p>
          <w:p w14:paraId="6C31F83C">
            <w:pPr>
              <w:pStyle w:val="2"/>
              <w:ind w:left="0" w:leftChars="0" w:firstLine="0" w:firstLineChars="0"/>
              <w:rPr>
                <w:rFonts w:hint="default"/>
              </w:rPr>
            </w:pPr>
          </w:p>
          <w:p w14:paraId="4B74533B">
            <w:pPr>
              <w:rPr>
                <w:rFonts w:hint="default"/>
              </w:rPr>
            </w:pPr>
          </w:p>
        </w:tc>
      </w:tr>
    </w:tbl>
    <w:p w14:paraId="7CCFC4E4">
      <w:pPr>
        <w:ind w:firstLine="600"/>
        <w:outlineLvl w:val="0"/>
        <w:rPr>
          <w:rFonts w:hint="default" w:ascii="Times New Roman" w:hAnsi="Times New Roman" w:eastAsia="黑体" w:cs="Times New Roman"/>
          <w:sz w:val="30"/>
        </w:rPr>
        <w:sectPr>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2578EB6D">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jc w:val="center"/>
        <w:textAlignment w:val="auto"/>
        <w:outlineLvl w:val="0"/>
        <w:rPr>
          <w:rFonts w:hint="default" w:ascii="Times New Roman" w:hAnsi="Times New Roman" w:eastAsia="宋体" w:cs="Times New Roman"/>
          <w:b/>
          <w:kern w:val="2"/>
          <w:sz w:val="30"/>
          <w:szCs w:val="22"/>
          <w:highlight w:val="none"/>
          <w:lang w:val="en-US" w:eastAsia="zh-CN" w:bidi="ar-SA"/>
        </w:rPr>
      </w:pPr>
      <w:r>
        <w:rPr>
          <w:rFonts w:hint="default" w:ascii="Times New Roman" w:hAnsi="Times New Roman" w:eastAsia="宋体" w:cs="Times New Roman"/>
          <w:b/>
          <w:kern w:val="2"/>
          <w:sz w:val="30"/>
          <w:szCs w:val="22"/>
          <w:highlight w:val="none"/>
          <w:lang w:val="en-US" w:eastAsia="zh-CN" w:bidi="ar-SA"/>
        </w:rPr>
        <w:t>二、建设项目工程分析</w:t>
      </w:r>
    </w:p>
    <w:tbl>
      <w:tblPr>
        <w:tblStyle w:val="2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243"/>
      </w:tblGrid>
      <w:tr w14:paraId="0C0C6F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 w:type="dxa"/>
            <w:noWrap w:val="0"/>
            <w:vAlign w:val="center"/>
          </w:tcPr>
          <w:p w14:paraId="7571477E">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120" w:leftChars="-50" w:right="-120" w:rightChars="-50" w:firstLine="0" w:firstLineChars="0"/>
              <w:jc w:val="center"/>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建设</w:t>
            </w:r>
          </w:p>
          <w:p w14:paraId="7E573CEB">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120" w:leftChars="-50" w:right="-120" w:rightChars="-50" w:firstLine="0" w:firstLineChars="0"/>
              <w:jc w:val="center"/>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内容</w:t>
            </w:r>
          </w:p>
        </w:tc>
        <w:tc>
          <w:tcPr>
            <w:tcW w:w="8243" w:type="dxa"/>
            <w:noWrap w:val="0"/>
            <w:vAlign w:val="top"/>
          </w:tcPr>
          <w:p w14:paraId="6B536AF9">
            <w:pPr>
              <w:numPr>
                <w:ilvl w:val="0"/>
                <w:numId w:val="4"/>
              </w:numPr>
              <w:spacing w:line="520" w:lineRule="exact"/>
              <w:ind w:left="-2" w:leftChars="0" w:firstLine="482" w:firstLineChars="0"/>
              <w:jc w:val="left"/>
              <w:rPr>
                <w:rFonts w:hint="default" w:ascii="Times New Roman" w:hAnsi="Times New Roman" w:cs="Times New Roman"/>
                <w:b/>
                <w:bCs/>
                <w:color w:val="auto"/>
                <w:sz w:val="24"/>
                <w:lang w:eastAsia="zh-CN"/>
              </w:rPr>
            </w:pPr>
            <w:r>
              <w:rPr>
                <w:rFonts w:hint="default" w:ascii="Times New Roman" w:hAnsi="Times New Roman" w:cs="Times New Roman"/>
                <w:b/>
                <w:bCs/>
                <w:color w:val="auto"/>
                <w:sz w:val="24"/>
              </w:rPr>
              <w:t>项目</w:t>
            </w:r>
            <w:r>
              <w:rPr>
                <w:rFonts w:hint="default" w:ascii="Times New Roman" w:hAnsi="Times New Roman" w:cs="Times New Roman"/>
                <w:b/>
                <w:bCs/>
                <w:color w:val="auto"/>
                <w:sz w:val="24"/>
                <w:lang w:eastAsia="zh-CN"/>
              </w:rPr>
              <w:t>由来</w:t>
            </w:r>
          </w:p>
          <w:p w14:paraId="04D72119">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480" w:firstLineChars="200"/>
              <w:jc w:val="left"/>
              <w:textAlignment w:val="auto"/>
              <w:rPr>
                <w:rFonts w:ascii="Times New Roman" w:hAnsi="Times New Roman" w:eastAsia="宋体" w:cs="Segoe UI"/>
                <w:i w:val="0"/>
                <w:iCs w:val="0"/>
                <w:caps w:val="0"/>
                <w:color w:val="0F1115"/>
                <w:spacing w:val="0"/>
                <w:sz w:val="24"/>
                <w:szCs w:val="24"/>
                <w:shd w:val="clear" w:fill="FFFFFF"/>
              </w:rPr>
            </w:pPr>
            <w:r>
              <w:rPr>
                <w:rFonts w:ascii="Times New Roman" w:hAnsi="Times New Roman" w:eastAsia="宋体" w:cs="Segoe UI"/>
                <w:i w:val="0"/>
                <w:iCs w:val="0"/>
                <w:caps w:val="0"/>
                <w:color w:val="0F1115"/>
                <w:spacing w:val="0"/>
                <w:sz w:val="24"/>
                <w:szCs w:val="24"/>
                <w:shd w:val="clear" w:fill="FFFFFF"/>
              </w:rPr>
              <w:t>随着半导体设备核心零部件国产化率要求提升，国内光刻机零部件市场迎来30-50倍增长空间。本项目建设单位已进入国内光刻机龙头企业供应链名单，为把握市场机遇，</w:t>
            </w:r>
            <w:r>
              <w:rPr>
                <w:rFonts w:hint="eastAsia" w:ascii="Times New Roman" w:hAnsi="Times New Roman" w:eastAsia="宋体" w:cs="Times New Roman"/>
                <w:b w:val="0"/>
                <w:bCs w:val="0"/>
                <w:color w:val="auto"/>
                <w:sz w:val="24"/>
                <w:lang w:val="en-US" w:eastAsia="zh-CN"/>
              </w:rPr>
              <w:t>企业拟</w:t>
            </w:r>
            <w:r>
              <w:rPr>
                <w:rFonts w:hint="eastAsia" w:cs="Times New Roman"/>
                <w:b w:val="0"/>
                <w:bCs w:val="0"/>
                <w:color w:val="auto"/>
                <w:sz w:val="24"/>
                <w:lang w:val="en-US" w:eastAsia="zh-CN"/>
              </w:rPr>
              <w:t>在</w:t>
            </w:r>
            <w:r>
              <w:rPr>
                <w:rFonts w:hint="eastAsia" w:ascii="Times New Roman" w:hAnsi="Times New Roman" w:eastAsia="宋体" w:cs="Times New Roman"/>
                <w:b w:val="0"/>
                <w:bCs w:val="0"/>
                <w:color w:val="auto"/>
                <w:sz w:val="24"/>
                <w:lang w:val="en-US" w:eastAsia="zh-CN"/>
              </w:rPr>
              <w:t>新乡市新乡县翟坡镇东大阳堤村村西中央大道</w:t>
            </w:r>
            <w:r>
              <w:rPr>
                <w:rFonts w:hint="eastAsia" w:cs="Times New Roman"/>
                <w:b w:val="0"/>
                <w:bCs w:val="0"/>
                <w:color w:val="auto"/>
                <w:sz w:val="24"/>
                <w:lang w:val="en-US" w:eastAsia="zh-CN"/>
              </w:rPr>
              <w:t>东侧</w:t>
            </w:r>
            <w:r>
              <w:rPr>
                <w:rFonts w:hint="eastAsia" w:ascii="Times New Roman" w:hAnsi="Times New Roman" w:eastAsia="宋体" w:cs="Times New Roman"/>
                <w:b w:val="0"/>
                <w:bCs w:val="0"/>
                <w:color w:val="auto"/>
                <w:sz w:val="24"/>
                <w:lang w:val="en-US" w:eastAsia="zh-CN"/>
              </w:rPr>
              <w:t>建设“新乡市威远精工有限公司光刻机大尺寸结构件量产及装配项目”。</w:t>
            </w:r>
            <w:r>
              <w:rPr>
                <w:rFonts w:ascii="Times New Roman" w:hAnsi="Times New Roman" w:eastAsia="宋体" w:cs="Segoe UI"/>
                <w:i w:val="0"/>
                <w:iCs w:val="0"/>
                <w:caps w:val="0"/>
                <w:color w:val="0F1115"/>
                <w:spacing w:val="0"/>
                <w:sz w:val="24"/>
                <w:szCs w:val="24"/>
                <w:shd w:val="clear" w:fill="FFFFFF"/>
              </w:rPr>
              <w:t>项目分两期实施，本次环评仅针对一期工程</w:t>
            </w:r>
            <w:r>
              <w:rPr>
                <w:rFonts w:hint="eastAsia" w:ascii="Times New Roman" w:hAnsi="Times New Roman" w:eastAsia="宋体" w:cs="Segoe UI"/>
                <w:i w:val="0"/>
                <w:iCs w:val="0"/>
                <w:caps w:val="0"/>
                <w:color w:val="0F1115"/>
                <w:spacing w:val="0"/>
                <w:sz w:val="24"/>
                <w:szCs w:val="24"/>
                <w:shd w:val="clear" w:fill="FFFFFF"/>
                <w:lang w:eastAsia="zh-CN"/>
              </w:rPr>
              <w:t>分析，拟投资</w:t>
            </w:r>
            <w:r>
              <w:rPr>
                <w:rFonts w:ascii="Times New Roman" w:hAnsi="Times New Roman" w:eastAsia="宋体" w:cs="Segoe UI"/>
                <w:i w:val="0"/>
                <w:iCs w:val="0"/>
                <w:caps w:val="0"/>
                <w:color w:val="0F1115"/>
                <w:spacing w:val="0"/>
                <w:sz w:val="24"/>
                <w:szCs w:val="24"/>
                <w:shd w:val="clear" w:fill="FFFFFF"/>
              </w:rPr>
              <w:t>7000万元，</w:t>
            </w:r>
            <w:r>
              <w:rPr>
                <w:rFonts w:hint="eastAsia" w:ascii="Times New Roman" w:hAnsi="Times New Roman" w:eastAsia="宋体" w:cs="Segoe UI"/>
                <w:i w:val="0"/>
                <w:iCs w:val="0"/>
                <w:caps w:val="0"/>
                <w:color w:val="0F1115"/>
                <w:spacing w:val="0"/>
                <w:sz w:val="24"/>
                <w:szCs w:val="24"/>
                <w:shd w:val="clear" w:fill="FFFFFF"/>
                <w:lang w:eastAsia="zh-CN"/>
              </w:rPr>
              <w:t>占地约</w:t>
            </w:r>
            <w:r>
              <w:rPr>
                <w:rFonts w:hint="eastAsia" w:ascii="Times New Roman" w:hAnsi="Times New Roman" w:eastAsia="宋体" w:cs="Segoe UI"/>
                <w:i w:val="0"/>
                <w:iCs w:val="0"/>
                <w:caps w:val="0"/>
                <w:color w:val="0F1115"/>
                <w:spacing w:val="0"/>
                <w:sz w:val="24"/>
                <w:szCs w:val="24"/>
                <w:shd w:val="clear" w:fill="FFFFFF"/>
                <w:lang w:val="en-US" w:eastAsia="zh-CN"/>
              </w:rPr>
              <w:t>21亩</w:t>
            </w:r>
            <w:r>
              <w:rPr>
                <w:rFonts w:hint="eastAsia" w:ascii="Times New Roman" w:hAnsi="Times New Roman" w:eastAsia="宋体" w:cs="Segoe UI"/>
                <w:i w:val="0"/>
                <w:iCs w:val="0"/>
                <w:caps w:val="0"/>
                <w:color w:val="0F1115"/>
                <w:spacing w:val="0"/>
                <w:sz w:val="24"/>
                <w:szCs w:val="24"/>
                <w:shd w:val="clear" w:fill="FFFFFF"/>
                <w:lang w:eastAsia="zh-CN"/>
              </w:rPr>
              <w:t>，</w:t>
            </w:r>
            <w:r>
              <w:rPr>
                <w:rFonts w:ascii="Times New Roman" w:hAnsi="Times New Roman" w:eastAsia="宋体" w:cs="Segoe UI"/>
                <w:i w:val="0"/>
                <w:iCs w:val="0"/>
                <w:caps w:val="0"/>
                <w:color w:val="0F1115"/>
                <w:spacing w:val="0"/>
                <w:sz w:val="24"/>
                <w:szCs w:val="24"/>
                <w:shd w:val="clear" w:fill="FFFFFF"/>
              </w:rPr>
              <w:t>新建电退火车间</w:t>
            </w:r>
            <w:r>
              <w:rPr>
                <w:rFonts w:hint="eastAsia" w:ascii="Times New Roman" w:hAnsi="Times New Roman" w:eastAsia="宋体" w:cs="Segoe UI"/>
                <w:i w:val="0"/>
                <w:iCs w:val="0"/>
                <w:caps w:val="0"/>
                <w:color w:val="0F1115"/>
                <w:spacing w:val="0"/>
                <w:sz w:val="24"/>
                <w:szCs w:val="24"/>
                <w:shd w:val="clear" w:fill="FFFFFF"/>
                <w:lang w:eastAsia="zh-CN"/>
              </w:rPr>
              <w:t>（配备</w:t>
            </w:r>
            <w:r>
              <w:rPr>
                <w:rFonts w:hint="eastAsia" w:ascii="Times New Roman" w:hAnsi="Times New Roman" w:eastAsia="宋体" w:cs="Segoe UI"/>
                <w:i w:val="0"/>
                <w:iCs w:val="0"/>
                <w:caps w:val="0"/>
                <w:color w:val="0F1115"/>
                <w:spacing w:val="0"/>
                <w:sz w:val="24"/>
                <w:szCs w:val="24"/>
                <w:shd w:val="clear" w:fill="FFFFFF"/>
                <w:lang w:val="en-US" w:eastAsia="zh-CN"/>
              </w:rPr>
              <w:t>3m×4m×2m的电退火炉</w:t>
            </w:r>
            <w:r>
              <w:rPr>
                <w:rFonts w:hint="eastAsia" w:ascii="Times New Roman" w:hAnsi="Times New Roman" w:eastAsia="宋体" w:cs="Segoe UI"/>
                <w:i w:val="0"/>
                <w:iCs w:val="0"/>
                <w:caps w:val="0"/>
                <w:color w:val="0F1115"/>
                <w:spacing w:val="0"/>
                <w:sz w:val="24"/>
                <w:szCs w:val="24"/>
                <w:shd w:val="clear" w:fill="FFFFFF"/>
                <w:lang w:eastAsia="zh-CN"/>
              </w:rPr>
              <w:t>）</w:t>
            </w:r>
            <w:r>
              <w:rPr>
                <w:rFonts w:ascii="Times New Roman" w:hAnsi="Times New Roman" w:eastAsia="宋体" w:cs="Segoe UI"/>
                <w:i w:val="0"/>
                <w:iCs w:val="0"/>
                <w:caps w:val="0"/>
                <w:color w:val="0F1115"/>
                <w:spacing w:val="0"/>
                <w:sz w:val="24"/>
                <w:szCs w:val="24"/>
                <w:shd w:val="clear" w:fill="FFFFFF"/>
              </w:rPr>
              <w:t>、三坐标检测车间、千级洁净装配间等，</w:t>
            </w:r>
            <w:r>
              <w:rPr>
                <w:rFonts w:hint="eastAsia" w:ascii="Times New Roman" w:hAnsi="Times New Roman" w:eastAsia="宋体" w:cs="Segoe UI"/>
                <w:i w:val="0"/>
                <w:iCs w:val="0"/>
                <w:caps w:val="0"/>
                <w:color w:val="0F1115"/>
                <w:spacing w:val="0"/>
                <w:sz w:val="24"/>
                <w:szCs w:val="24"/>
                <w:shd w:val="clear" w:fill="FFFFFF"/>
                <w:lang w:eastAsia="zh-CN"/>
              </w:rPr>
              <w:t>年产</w:t>
            </w:r>
            <w:r>
              <w:rPr>
                <w:rFonts w:hint="eastAsia" w:ascii="Times New Roman" w:hAnsi="Times New Roman" w:eastAsia="宋体" w:cs="Segoe UI"/>
                <w:i w:val="0"/>
                <w:iCs w:val="0"/>
                <w:caps w:val="0"/>
                <w:color w:val="0F1115"/>
                <w:spacing w:val="0"/>
                <w:sz w:val="24"/>
                <w:szCs w:val="24"/>
                <w:shd w:val="clear" w:fill="FFFFFF"/>
                <w:lang w:val="en-US" w:eastAsia="zh-CN"/>
              </w:rPr>
              <w:t>300件</w:t>
            </w:r>
            <w:r>
              <w:rPr>
                <w:rFonts w:ascii="Times New Roman" w:hAnsi="Times New Roman" w:eastAsia="宋体" w:cs="Segoe UI"/>
                <w:i w:val="0"/>
                <w:iCs w:val="0"/>
                <w:caps w:val="0"/>
                <w:color w:val="0F1115"/>
                <w:spacing w:val="0"/>
                <w:sz w:val="24"/>
                <w:szCs w:val="24"/>
                <w:shd w:val="clear" w:fill="FFFFFF"/>
              </w:rPr>
              <w:t>光刻机大尺寸高精密框架，生产工艺</w:t>
            </w:r>
            <w:r>
              <w:rPr>
                <w:rFonts w:hint="eastAsia" w:ascii="Times New Roman" w:hAnsi="Times New Roman" w:eastAsia="宋体" w:cs="Segoe UI"/>
                <w:i w:val="0"/>
                <w:iCs w:val="0"/>
                <w:caps w:val="0"/>
                <w:color w:val="0F1115"/>
                <w:spacing w:val="0"/>
                <w:sz w:val="24"/>
                <w:szCs w:val="24"/>
                <w:shd w:val="clear" w:fill="FFFFFF"/>
                <w:lang w:eastAsia="zh-CN"/>
              </w:rPr>
              <w:t>流程为</w:t>
            </w:r>
            <w:r>
              <w:rPr>
                <w:rFonts w:ascii="Times New Roman" w:hAnsi="Times New Roman" w:eastAsia="宋体" w:cs="Segoe UI"/>
                <w:i w:val="0"/>
                <w:iCs w:val="0"/>
                <w:caps w:val="0"/>
                <w:color w:val="0F1115"/>
                <w:spacing w:val="0"/>
                <w:sz w:val="24"/>
                <w:szCs w:val="24"/>
                <w:shd w:val="clear" w:fill="FFFFFF"/>
              </w:rPr>
              <w:t>原料检验</w:t>
            </w:r>
            <w:r>
              <w:rPr>
                <w:rFonts w:hint="eastAsia" w:ascii="Times New Roman" w:hAnsi="Times New Roman" w:eastAsia="宋体" w:cs="Segoe UI"/>
                <w:i w:val="0"/>
                <w:iCs w:val="0"/>
                <w:caps w:val="0"/>
                <w:color w:val="0F1115"/>
                <w:spacing w:val="0"/>
                <w:sz w:val="24"/>
                <w:szCs w:val="24"/>
                <w:shd w:val="clear" w:fill="FFFFFF"/>
                <w:lang w:val="en-US" w:eastAsia="zh-CN"/>
              </w:rPr>
              <w:t>-</w:t>
            </w:r>
            <w:r>
              <w:rPr>
                <w:rFonts w:ascii="Times New Roman" w:hAnsi="Times New Roman" w:eastAsia="宋体" w:cs="Segoe UI"/>
                <w:i w:val="0"/>
                <w:iCs w:val="0"/>
                <w:caps w:val="0"/>
                <w:color w:val="0F1115"/>
                <w:spacing w:val="0"/>
                <w:sz w:val="24"/>
                <w:szCs w:val="24"/>
                <w:shd w:val="clear" w:fill="FFFFFF"/>
              </w:rPr>
              <w:t>电退火</w:t>
            </w:r>
            <w:r>
              <w:rPr>
                <w:rFonts w:hint="eastAsia" w:ascii="Times New Roman" w:hAnsi="Times New Roman" w:eastAsia="宋体" w:cs="Segoe UI"/>
                <w:i w:val="0"/>
                <w:iCs w:val="0"/>
                <w:caps w:val="0"/>
                <w:color w:val="0F1115"/>
                <w:spacing w:val="0"/>
                <w:sz w:val="24"/>
                <w:szCs w:val="24"/>
                <w:shd w:val="clear" w:fill="FFFFFF"/>
                <w:lang w:val="en-US" w:eastAsia="zh-CN"/>
              </w:rPr>
              <w:t>-</w:t>
            </w:r>
            <w:r>
              <w:rPr>
                <w:rFonts w:ascii="Times New Roman" w:hAnsi="Times New Roman" w:eastAsia="宋体" w:cs="Segoe UI"/>
                <w:i w:val="0"/>
                <w:iCs w:val="0"/>
                <w:caps w:val="0"/>
                <w:color w:val="0F1115"/>
                <w:spacing w:val="0"/>
                <w:sz w:val="24"/>
                <w:szCs w:val="24"/>
                <w:shd w:val="clear" w:fill="FFFFFF"/>
              </w:rPr>
              <w:t>粗</w:t>
            </w:r>
            <w:r>
              <w:rPr>
                <w:rFonts w:hint="eastAsia" w:ascii="Times New Roman" w:hAnsi="Times New Roman" w:eastAsia="宋体" w:cs="Segoe UI"/>
                <w:i w:val="0"/>
                <w:iCs w:val="0"/>
                <w:caps w:val="0"/>
                <w:color w:val="0F1115"/>
                <w:spacing w:val="0"/>
                <w:sz w:val="24"/>
                <w:szCs w:val="24"/>
                <w:shd w:val="clear" w:fill="FFFFFF"/>
                <w:lang w:eastAsia="zh-CN"/>
              </w:rPr>
              <w:t>、</w:t>
            </w:r>
            <w:r>
              <w:rPr>
                <w:rFonts w:ascii="Times New Roman" w:hAnsi="Times New Roman" w:eastAsia="宋体" w:cs="Segoe UI"/>
                <w:i w:val="0"/>
                <w:iCs w:val="0"/>
                <w:caps w:val="0"/>
                <w:color w:val="0F1115"/>
                <w:spacing w:val="0"/>
                <w:sz w:val="24"/>
                <w:szCs w:val="24"/>
                <w:shd w:val="clear" w:fill="FFFFFF"/>
              </w:rPr>
              <w:t>半精</w:t>
            </w:r>
            <w:r>
              <w:rPr>
                <w:rFonts w:hint="eastAsia" w:ascii="Times New Roman" w:hAnsi="Times New Roman" w:eastAsia="宋体" w:cs="Segoe UI"/>
                <w:i w:val="0"/>
                <w:iCs w:val="0"/>
                <w:caps w:val="0"/>
                <w:color w:val="0F1115"/>
                <w:spacing w:val="0"/>
                <w:sz w:val="24"/>
                <w:szCs w:val="24"/>
                <w:shd w:val="clear" w:fill="FFFFFF"/>
                <w:lang w:eastAsia="zh-CN"/>
              </w:rPr>
              <w:t>、</w:t>
            </w:r>
            <w:r>
              <w:rPr>
                <w:rFonts w:ascii="Times New Roman" w:hAnsi="Times New Roman" w:eastAsia="宋体" w:cs="Segoe UI"/>
                <w:i w:val="0"/>
                <w:iCs w:val="0"/>
                <w:caps w:val="0"/>
                <w:color w:val="0F1115"/>
                <w:spacing w:val="0"/>
                <w:sz w:val="24"/>
                <w:szCs w:val="24"/>
                <w:shd w:val="clear" w:fill="FFFFFF"/>
              </w:rPr>
              <w:t>精加工</w:t>
            </w:r>
            <w:r>
              <w:rPr>
                <w:rFonts w:hint="eastAsia" w:ascii="Times New Roman" w:hAnsi="Times New Roman" w:eastAsia="宋体" w:cs="Segoe UI"/>
                <w:i w:val="0"/>
                <w:iCs w:val="0"/>
                <w:caps w:val="0"/>
                <w:color w:val="0F1115"/>
                <w:spacing w:val="0"/>
                <w:sz w:val="24"/>
                <w:szCs w:val="24"/>
                <w:shd w:val="clear" w:fill="FFFFFF"/>
                <w:lang w:val="en-US" w:eastAsia="zh-CN"/>
              </w:rPr>
              <w:t>-</w:t>
            </w:r>
            <w:r>
              <w:rPr>
                <w:rFonts w:ascii="Times New Roman" w:hAnsi="Times New Roman" w:eastAsia="宋体" w:cs="Segoe UI"/>
                <w:i w:val="0"/>
                <w:iCs w:val="0"/>
                <w:caps w:val="0"/>
                <w:color w:val="0F1115"/>
                <w:spacing w:val="0"/>
                <w:sz w:val="24"/>
                <w:szCs w:val="24"/>
                <w:shd w:val="clear" w:fill="FFFFFF"/>
              </w:rPr>
              <w:t>三坐标检测</w:t>
            </w:r>
            <w:r>
              <w:rPr>
                <w:rFonts w:hint="eastAsia" w:ascii="Times New Roman" w:hAnsi="Times New Roman" w:eastAsia="宋体" w:cs="Segoe UI"/>
                <w:i w:val="0"/>
                <w:iCs w:val="0"/>
                <w:caps w:val="0"/>
                <w:color w:val="0F1115"/>
                <w:spacing w:val="0"/>
                <w:sz w:val="24"/>
                <w:szCs w:val="24"/>
                <w:shd w:val="clear" w:fill="FFFFFF"/>
                <w:lang w:val="en-US" w:eastAsia="zh-CN"/>
              </w:rPr>
              <w:t>-</w:t>
            </w:r>
            <w:r>
              <w:rPr>
                <w:rFonts w:ascii="Times New Roman" w:hAnsi="Times New Roman" w:eastAsia="宋体" w:cs="Segoe UI"/>
                <w:i w:val="0"/>
                <w:iCs w:val="0"/>
                <w:caps w:val="0"/>
                <w:color w:val="0F1115"/>
                <w:spacing w:val="0"/>
                <w:sz w:val="24"/>
                <w:szCs w:val="24"/>
                <w:shd w:val="clear" w:fill="FFFFFF"/>
              </w:rPr>
              <w:t>清理</w:t>
            </w:r>
            <w:r>
              <w:rPr>
                <w:rFonts w:hint="eastAsia" w:ascii="Times New Roman" w:hAnsi="Times New Roman" w:eastAsia="宋体" w:cs="Segoe UI"/>
                <w:i w:val="0"/>
                <w:iCs w:val="0"/>
                <w:caps w:val="0"/>
                <w:color w:val="0F1115"/>
                <w:spacing w:val="0"/>
                <w:sz w:val="24"/>
                <w:szCs w:val="24"/>
                <w:shd w:val="clear" w:fill="FFFFFF"/>
                <w:lang w:val="en-US" w:eastAsia="zh-CN"/>
              </w:rPr>
              <w:t>-</w:t>
            </w:r>
            <w:r>
              <w:rPr>
                <w:rFonts w:ascii="Times New Roman" w:hAnsi="Times New Roman" w:eastAsia="宋体" w:cs="Segoe UI"/>
                <w:i w:val="0"/>
                <w:iCs w:val="0"/>
                <w:caps w:val="0"/>
                <w:color w:val="0F1115"/>
                <w:spacing w:val="0"/>
                <w:sz w:val="24"/>
                <w:szCs w:val="24"/>
                <w:shd w:val="clear" w:fill="FFFFFF"/>
              </w:rPr>
              <w:t>洁净装配</w:t>
            </w:r>
            <w:r>
              <w:rPr>
                <w:rFonts w:hint="eastAsia" w:ascii="Times New Roman" w:hAnsi="Times New Roman" w:eastAsia="宋体" w:cs="Segoe UI"/>
                <w:i w:val="0"/>
                <w:iCs w:val="0"/>
                <w:caps w:val="0"/>
                <w:color w:val="0F1115"/>
                <w:spacing w:val="0"/>
                <w:sz w:val="24"/>
                <w:szCs w:val="24"/>
                <w:shd w:val="clear" w:fill="FFFFFF"/>
                <w:lang w:val="en-US" w:eastAsia="zh-CN"/>
              </w:rPr>
              <w:t>-</w:t>
            </w:r>
            <w:r>
              <w:rPr>
                <w:rFonts w:ascii="Times New Roman" w:hAnsi="Times New Roman" w:eastAsia="宋体" w:cs="Segoe UI"/>
                <w:i w:val="0"/>
                <w:iCs w:val="0"/>
                <w:caps w:val="0"/>
                <w:color w:val="0F1115"/>
                <w:spacing w:val="0"/>
                <w:sz w:val="24"/>
                <w:szCs w:val="24"/>
                <w:shd w:val="clear" w:fill="FFFFFF"/>
              </w:rPr>
              <w:t>真空包装</w:t>
            </w:r>
            <w:r>
              <w:rPr>
                <w:rFonts w:hint="eastAsia" w:ascii="Times New Roman" w:hAnsi="Times New Roman" w:eastAsia="宋体" w:cs="Segoe UI"/>
                <w:i w:val="0"/>
                <w:iCs w:val="0"/>
                <w:caps w:val="0"/>
                <w:color w:val="0F1115"/>
                <w:spacing w:val="0"/>
                <w:sz w:val="24"/>
                <w:szCs w:val="24"/>
                <w:shd w:val="clear" w:fill="FFFFFF"/>
                <w:lang w:val="en-US" w:eastAsia="zh-CN"/>
              </w:rPr>
              <w:t>-</w:t>
            </w:r>
            <w:r>
              <w:rPr>
                <w:rFonts w:ascii="Times New Roman" w:hAnsi="Times New Roman" w:eastAsia="宋体" w:cs="Segoe UI"/>
                <w:i w:val="0"/>
                <w:iCs w:val="0"/>
                <w:caps w:val="0"/>
                <w:color w:val="0F1115"/>
                <w:spacing w:val="0"/>
                <w:sz w:val="24"/>
                <w:szCs w:val="24"/>
                <w:shd w:val="clear" w:fill="FFFFFF"/>
              </w:rPr>
              <w:t>入库，配置高精度数控龙门加工中心、三坐标测量机、真空包装机及电退火炉等设备。二期工程将另行开展</w:t>
            </w:r>
            <w:r>
              <w:rPr>
                <w:rFonts w:hint="eastAsia" w:cs="Segoe UI"/>
                <w:i w:val="0"/>
                <w:iCs w:val="0"/>
                <w:caps w:val="0"/>
                <w:color w:val="0F1115"/>
                <w:spacing w:val="0"/>
                <w:sz w:val="24"/>
                <w:szCs w:val="24"/>
                <w:shd w:val="clear" w:fill="FFFFFF"/>
                <w:lang w:eastAsia="zh-CN"/>
              </w:rPr>
              <w:t>环评</w:t>
            </w:r>
            <w:r>
              <w:rPr>
                <w:rFonts w:ascii="Times New Roman" w:hAnsi="Times New Roman" w:eastAsia="宋体" w:cs="Segoe UI"/>
                <w:i w:val="0"/>
                <w:iCs w:val="0"/>
                <w:caps w:val="0"/>
                <w:color w:val="0F1115"/>
                <w:spacing w:val="0"/>
                <w:sz w:val="24"/>
                <w:szCs w:val="24"/>
                <w:shd w:val="clear" w:fill="FFFFFF"/>
              </w:rPr>
              <w:t>，不在本次评价范围内。</w:t>
            </w:r>
          </w:p>
          <w:p w14:paraId="54A614D2">
            <w:pPr>
              <w:keepNext w:val="0"/>
              <w:keepLines w:val="0"/>
              <w:pageBreakBefore w:val="0"/>
              <w:widowControl w:val="0"/>
              <w:kinsoku/>
              <w:wordWrap/>
              <w:overflowPunct/>
              <w:topLinePunct w:val="0"/>
              <w:autoSpaceDE w:val="0"/>
              <w:autoSpaceDN w:val="0"/>
              <w:bidi w:val="0"/>
              <w:adjustRightInd w:val="0"/>
              <w:snapToGrid w:val="0"/>
              <w:spacing w:line="520" w:lineRule="exact"/>
              <w:ind w:firstLine="480" w:firstLineChars="200"/>
              <w:jc w:val="both"/>
              <w:textAlignment w:val="auto"/>
              <w:rPr>
                <w:rFonts w:hint="eastAsia" w:ascii="Times New Roman" w:hAnsi="Times New Roman" w:eastAsia="宋体" w:cs="Times New Roman"/>
                <w:b/>
                <w:bCs/>
                <w:color w:val="auto"/>
                <w:spacing w:val="0"/>
                <w:sz w:val="24"/>
                <w:szCs w:val="24"/>
                <w:lang w:val="en-US" w:eastAsia="zh-CN"/>
              </w:rPr>
            </w:pP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根据《中华人民共和国环境保护法</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default"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中华人民共和国环境影响评价法》和《建设项目环境保护管理条例》等有关规定，本项目需要进行环境影响评价。</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根据《建设项目环境影响评价分类管理名录》（2021版），本项目属于三十一项“通用设备制造业 34”第69条“通用零部件制造 348”。名录规定：“有电镀工艺的</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年用溶剂型涂料</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含稀释剂</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10吨及以上的”需编制环境影响报告书；“其他</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仅分割、焊接、组装的除外</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年用非溶剂型低VOCs含量涂料10吨以下的除外</w:t>
            </w:r>
            <w:r>
              <w:rPr>
                <w:rFonts w:hint="eastAsia" w:cs="Times New Roman"/>
                <w:color w:val="000000" w:themeColor="text1"/>
                <w:kern w:val="0"/>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需编制环境影响报告表。本项目为新乡市威远精工有限公司光刻机大尺寸结构件量产及装配项目，年产300件光刻机高精密框架，生产工艺流程：原料检验-电退火-粗、半精、精加工-三坐标检测-清理-洁净装配-真空包装-入库</w:t>
            </w:r>
            <w:r>
              <w:rPr>
                <w:rFonts w:hint="eastAsia" w:cs="Times New Roman"/>
                <w:color w:val="000000" w:themeColor="text1"/>
                <w:kern w:val="0"/>
                <w:sz w:val="24"/>
                <w:szCs w:val="24"/>
                <w:highlight w:val="none"/>
                <w:lang w:val="en-US" w:eastAsia="zh-CN"/>
                <w14:textFill>
                  <w14:solidFill>
                    <w14:schemeClr w14:val="tx1"/>
                  </w14:solidFill>
                </w14:textFill>
              </w:rPr>
              <w:t>，属于“其他”，</w:t>
            </w:r>
            <w:r>
              <w:rPr>
                <w:rFonts w:hint="eastAsia" w:ascii="Times New Roman" w:hAnsi="Times New Roman" w:eastAsia="宋体" w:cs="Times New Roman"/>
                <w:color w:val="000000" w:themeColor="text1"/>
                <w:kern w:val="0"/>
                <w:sz w:val="24"/>
                <w:szCs w:val="24"/>
                <w:highlight w:val="none"/>
                <w:lang w:val="en-US" w:eastAsia="zh-CN"/>
                <w14:textFill>
                  <w14:solidFill>
                    <w14:schemeClr w14:val="tx1"/>
                  </w14:solidFill>
                </w14:textFill>
              </w:rPr>
              <w:t>需编制环境影响报告表。</w:t>
            </w:r>
          </w:p>
          <w:p w14:paraId="07CEA294">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firstLine="480" w:firstLineChars="200"/>
              <w:jc w:val="left"/>
              <w:textAlignment w:val="auto"/>
              <w:rPr>
                <w:rFonts w:hint="default" w:ascii="Times New Roman" w:hAnsi="Times New Roman" w:cs="Times New Roman"/>
                <w:b w:val="0"/>
                <w:bCs w:val="0"/>
                <w:color w:val="auto"/>
                <w:sz w:val="24"/>
                <w:lang w:val="en-US" w:eastAsia="zh-CN"/>
              </w:rPr>
            </w:pPr>
            <w:r>
              <w:rPr>
                <w:rFonts w:hint="default" w:ascii="Times New Roman" w:hAnsi="Times New Roman" w:cs="Times New Roman"/>
                <w:b w:val="0"/>
                <w:bCs w:val="0"/>
                <w:color w:val="auto"/>
                <w:sz w:val="24"/>
                <w:lang w:val="en-US" w:eastAsia="zh-CN"/>
              </w:rPr>
              <w:t>受</w:t>
            </w:r>
            <w:r>
              <w:rPr>
                <w:rFonts w:hint="eastAsia"/>
                <w:b w:val="0"/>
                <w:bCs w:val="0"/>
                <w:color w:val="auto"/>
                <w:sz w:val="24"/>
                <w:u w:val="none"/>
                <w:lang w:eastAsia="zh-CN"/>
              </w:rPr>
              <w:t>新乡市威远精工有限公司</w:t>
            </w:r>
            <w:r>
              <w:rPr>
                <w:rFonts w:hint="default" w:ascii="Times New Roman" w:hAnsi="Times New Roman" w:cs="Times New Roman"/>
                <w:b w:val="0"/>
                <w:bCs w:val="0"/>
                <w:color w:val="auto"/>
                <w:sz w:val="24"/>
                <w:lang w:val="en-US" w:eastAsia="zh-CN"/>
              </w:rPr>
              <w:t>委托（委托书见附件1），我公司承担了该项目的环境影响评价工作。接受委托后，我单位组织有关技术人员，在现场调查和收集有关资料的基础上，本着“科学、公正、客观”的态度，编制了本项目的环境影响报告表。</w:t>
            </w:r>
          </w:p>
          <w:p w14:paraId="77C16AD4">
            <w:pPr>
              <w:numPr>
                <w:ilvl w:val="0"/>
                <w:numId w:val="0"/>
              </w:numPr>
              <w:spacing w:line="520" w:lineRule="exact"/>
              <w:ind w:left="480" w:leftChars="0"/>
              <w:jc w:val="left"/>
              <w:rPr>
                <w:rFonts w:hint="default" w:ascii="Times New Roman" w:hAnsi="Times New Roman" w:cs="Times New Roman"/>
                <w:color w:val="auto"/>
                <w:sz w:val="24"/>
              </w:rPr>
            </w:pPr>
            <w:r>
              <w:rPr>
                <w:rFonts w:hint="default" w:ascii="Times New Roman" w:hAnsi="Times New Roman" w:cs="Times New Roman"/>
                <w:b/>
                <w:bCs/>
                <w:color w:val="auto"/>
                <w:sz w:val="24"/>
                <w:lang w:val="en-US" w:eastAsia="zh-CN"/>
              </w:rPr>
              <w:t>2、</w:t>
            </w:r>
            <w:r>
              <w:rPr>
                <w:rFonts w:hint="default" w:ascii="Times New Roman" w:hAnsi="Times New Roman" w:cs="Times New Roman"/>
                <w:b/>
                <w:bCs/>
                <w:color w:val="auto"/>
                <w:sz w:val="24"/>
                <w:lang w:eastAsia="zh-CN"/>
              </w:rPr>
              <w:t>项目</w:t>
            </w:r>
            <w:r>
              <w:rPr>
                <w:rFonts w:hint="default" w:ascii="Times New Roman" w:hAnsi="Times New Roman" w:cs="Times New Roman"/>
                <w:b/>
                <w:bCs/>
                <w:color w:val="auto"/>
                <w:sz w:val="24"/>
              </w:rPr>
              <w:t>基本情况</w:t>
            </w:r>
          </w:p>
          <w:p w14:paraId="006491C3">
            <w:pPr>
              <w:snapToGrid w:val="0"/>
              <w:spacing w:line="520" w:lineRule="exact"/>
              <w:ind w:firstLine="480" w:firstLineChars="200"/>
              <w:jc w:val="left"/>
              <w:rPr>
                <w:rFonts w:hint="default" w:ascii="Times New Roman" w:hAnsi="Times New Roman" w:cs="Times New Roman"/>
                <w:color w:val="auto"/>
                <w:sz w:val="24"/>
              </w:rPr>
            </w:pPr>
            <w:bookmarkStart w:id="0" w:name="_Ref307475966"/>
            <w:bookmarkStart w:id="1" w:name="_Ref307994602"/>
            <w:r>
              <w:rPr>
                <w:rFonts w:hint="default" w:ascii="Times New Roman" w:hAnsi="Times New Roman" w:cs="Times New Roman"/>
                <w:color w:val="auto"/>
                <w:sz w:val="24"/>
                <w:lang w:eastAsia="zh-CN"/>
              </w:rPr>
              <w:t>本</w:t>
            </w:r>
            <w:r>
              <w:rPr>
                <w:rFonts w:hint="default" w:ascii="Times New Roman" w:hAnsi="Times New Roman" w:cs="Times New Roman"/>
                <w:color w:val="auto"/>
                <w:sz w:val="24"/>
              </w:rPr>
              <w:t>项目位于</w:t>
            </w:r>
            <w:r>
              <w:rPr>
                <w:rFonts w:hint="eastAsia" w:cs="Times New Roman"/>
                <w:b w:val="0"/>
                <w:bCs w:val="0"/>
                <w:color w:val="auto"/>
                <w:sz w:val="24"/>
                <w:lang w:val="en-US" w:eastAsia="zh-CN"/>
              </w:rPr>
              <w:t>新乡市新乡县翟坡镇东大阳堤村村西中央大道东侧</w:t>
            </w:r>
            <w:r>
              <w:rPr>
                <w:rFonts w:hint="default" w:ascii="Times New Roman" w:hAnsi="Times New Roman" w:cs="Times New Roman"/>
                <w:color w:val="auto"/>
                <w:sz w:val="24"/>
              </w:rPr>
              <w:t>，</w:t>
            </w:r>
            <w:r>
              <w:rPr>
                <w:rFonts w:hint="eastAsia" w:ascii="Times New Roman" w:hAnsi="Times New Roman" w:cs="Times New Roman"/>
                <w:color w:val="auto"/>
                <w:sz w:val="24"/>
                <w:lang w:eastAsia="zh-CN"/>
              </w:rPr>
              <w:t>企业</w:t>
            </w:r>
            <w:r>
              <w:rPr>
                <w:rFonts w:hint="default" w:ascii="Times New Roman" w:hAnsi="Times New Roman" w:cs="Times New Roman"/>
                <w:color w:val="auto"/>
                <w:sz w:val="24"/>
              </w:rPr>
              <w:t>总占地面积</w:t>
            </w:r>
            <w:r>
              <w:rPr>
                <w:rFonts w:hint="eastAsia"/>
                <w:color w:val="auto"/>
                <w:lang w:val="en-US" w:eastAsia="zh-CN"/>
              </w:rPr>
              <w:t>14220</w:t>
            </w:r>
            <w:r>
              <w:rPr>
                <w:rFonts w:hint="default" w:ascii="Times New Roman" w:hAnsi="Times New Roman" w:cs="Times New Roman"/>
                <w:color w:val="auto"/>
                <w:sz w:val="24"/>
              </w:rPr>
              <w:t>m</w:t>
            </w:r>
            <w:r>
              <w:rPr>
                <w:rFonts w:hint="default" w:ascii="Times New Roman" w:hAnsi="Times New Roman" w:cs="Times New Roman"/>
                <w:color w:val="auto"/>
                <w:sz w:val="24"/>
                <w:vertAlign w:val="superscript"/>
              </w:rPr>
              <w:t>2</w:t>
            </w:r>
            <w:r>
              <w:rPr>
                <w:rFonts w:hint="default" w:ascii="Times New Roman" w:hAnsi="Times New Roman" w:cs="Times New Roman"/>
                <w:color w:val="auto"/>
                <w:sz w:val="24"/>
              </w:rPr>
              <w:t>。项目基本情况见下表。</w:t>
            </w:r>
          </w:p>
          <w:p w14:paraId="2F40DCD4">
            <w:pPr>
              <w:adjustRightInd w:val="0"/>
              <w:snapToGrid w:val="0"/>
              <w:spacing w:line="520" w:lineRule="exact"/>
              <w:ind w:firstLine="480" w:firstLineChars="200"/>
              <w:jc w:val="both"/>
              <w:rPr>
                <w:rFonts w:hint="default" w:ascii="Times New Roman" w:hAnsi="Times New Roman" w:eastAsia="黑体" w:cs="Times New Roman"/>
                <w:b w:val="0"/>
                <w:bCs/>
                <w:color w:val="auto"/>
                <w:sz w:val="24"/>
                <w:szCs w:val="24"/>
              </w:rPr>
            </w:pPr>
            <w:r>
              <w:rPr>
                <w:rFonts w:hint="default" w:ascii="Times New Roman" w:hAnsi="Times New Roman" w:eastAsia="黑体" w:cs="Times New Roman"/>
                <w:b w:val="0"/>
                <w:bCs/>
                <w:color w:val="auto"/>
                <w:sz w:val="24"/>
                <w:szCs w:val="24"/>
              </w:rPr>
              <w:t>表</w:t>
            </w:r>
            <w:bookmarkEnd w:id="0"/>
            <w:bookmarkEnd w:id="1"/>
            <w:r>
              <w:rPr>
                <w:rFonts w:hint="default" w:ascii="Times New Roman" w:hAnsi="Times New Roman" w:eastAsia="黑体" w:cs="Times New Roman"/>
                <w:b w:val="0"/>
                <w:bCs/>
                <w:color w:val="auto"/>
                <w:sz w:val="24"/>
                <w:szCs w:val="24"/>
                <w:lang w:val="en-US" w:eastAsia="zh-CN"/>
              </w:rPr>
              <w:t>2-1</w:t>
            </w:r>
            <w:r>
              <w:rPr>
                <w:rFonts w:hint="default" w:ascii="Times New Roman" w:hAnsi="Times New Roman" w:eastAsia="黑体" w:cs="Times New Roman"/>
                <w:b w:val="0"/>
                <w:bCs/>
                <w:color w:val="auto"/>
                <w:sz w:val="24"/>
                <w:szCs w:val="24"/>
              </w:rPr>
              <w:t xml:space="preserve">         </w:t>
            </w:r>
            <w:r>
              <w:rPr>
                <w:rFonts w:hint="default" w:ascii="Times New Roman" w:hAnsi="Times New Roman" w:eastAsia="黑体" w:cs="Times New Roman"/>
                <w:b w:val="0"/>
                <w:bCs/>
                <w:color w:val="auto"/>
                <w:sz w:val="24"/>
                <w:szCs w:val="24"/>
                <w:lang w:val="en-US" w:eastAsia="zh-CN"/>
              </w:rPr>
              <w:t xml:space="preserve">    </w:t>
            </w:r>
            <w:r>
              <w:rPr>
                <w:rFonts w:hint="default" w:ascii="Times New Roman" w:hAnsi="Times New Roman" w:eastAsia="黑体" w:cs="Times New Roman"/>
                <w:b w:val="0"/>
                <w:bCs/>
                <w:color w:val="auto"/>
                <w:sz w:val="24"/>
                <w:szCs w:val="24"/>
              </w:rPr>
              <w:t xml:space="preserve">  项目基本情况一览表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743"/>
              <w:gridCol w:w="5493"/>
            </w:tblGrid>
            <w:tr w14:paraId="67DBF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tblHeader/>
                <w:jc w:val="center"/>
              </w:trPr>
              <w:tc>
                <w:tcPr>
                  <w:tcW w:w="883" w:type="dxa"/>
                  <w:tcBorders>
                    <w:tl2br w:val="nil"/>
                    <w:tr2bl w:val="nil"/>
                  </w:tcBorders>
                  <w:noWrap w:val="0"/>
                  <w:vAlign w:val="center"/>
                </w:tcPr>
                <w:p w14:paraId="0AD1363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color w:val="auto"/>
                      <w:kern w:val="36"/>
                      <w:sz w:val="21"/>
                      <w:szCs w:val="21"/>
                    </w:rPr>
                  </w:pPr>
                  <w:r>
                    <w:rPr>
                      <w:rFonts w:hint="default" w:ascii="Times New Roman" w:hAnsi="Times New Roman" w:eastAsia="宋体" w:cs="Times New Roman"/>
                      <w:b/>
                      <w:color w:val="auto"/>
                      <w:kern w:val="36"/>
                      <w:sz w:val="21"/>
                      <w:szCs w:val="21"/>
                    </w:rPr>
                    <w:t>序号</w:t>
                  </w:r>
                </w:p>
              </w:tc>
              <w:tc>
                <w:tcPr>
                  <w:tcW w:w="2020" w:type="dxa"/>
                  <w:tcBorders>
                    <w:tl2br w:val="nil"/>
                    <w:tr2bl w:val="nil"/>
                  </w:tcBorders>
                  <w:noWrap w:val="0"/>
                  <w:vAlign w:val="center"/>
                </w:tcPr>
                <w:p w14:paraId="43EE8F0F">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color w:val="auto"/>
                      <w:kern w:val="36"/>
                      <w:sz w:val="21"/>
                      <w:szCs w:val="21"/>
                    </w:rPr>
                  </w:pPr>
                  <w:r>
                    <w:rPr>
                      <w:rFonts w:hint="default" w:ascii="Times New Roman" w:hAnsi="Times New Roman" w:eastAsia="宋体" w:cs="Times New Roman"/>
                      <w:b/>
                      <w:color w:val="auto"/>
                      <w:kern w:val="36"/>
                      <w:sz w:val="21"/>
                      <w:szCs w:val="21"/>
                    </w:rPr>
                    <w:t>项目</w:t>
                  </w:r>
                </w:p>
              </w:tc>
              <w:tc>
                <w:tcPr>
                  <w:tcW w:w="6451" w:type="dxa"/>
                  <w:tcBorders>
                    <w:tl2br w:val="nil"/>
                    <w:tr2bl w:val="nil"/>
                  </w:tcBorders>
                  <w:noWrap w:val="0"/>
                  <w:vAlign w:val="center"/>
                </w:tcPr>
                <w:p w14:paraId="2DBFE6C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b/>
                      <w:color w:val="auto"/>
                      <w:kern w:val="36"/>
                      <w:sz w:val="21"/>
                      <w:szCs w:val="21"/>
                    </w:rPr>
                  </w:pPr>
                  <w:r>
                    <w:rPr>
                      <w:rFonts w:hint="default" w:ascii="Times New Roman" w:hAnsi="Times New Roman" w:eastAsia="宋体" w:cs="Times New Roman"/>
                      <w:b/>
                      <w:color w:val="auto"/>
                      <w:kern w:val="36"/>
                      <w:sz w:val="21"/>
                      <w:szCs w:val="21"/>
                    </w:rPr>
                    <w:t>内容</w:t>
                  </w:r>
                </w:p>
              </w:tc>
            </w:tr>
            <w:tr w14:paraId="33757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83" w:type="dxa"/>
                  <w:tcBorders>
                    <w:tl2br w:val="nil"/>
                    <w:tr2bl w:val="nil"/>
                  </w:tcBorders>
                  <w:noWrap w:val="0"/>
                  <w:vAlign w:val="center"/>
                </w:tcPr>
                <w:p w14:paraId="22787F0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36"/>
                      <w:sz w:val="21"/>
                      <w:szCs w:val="21"/>
                    </w:rPr>
                  </w:pPr>
                  <w:r>
                    <w:rPr>
                      <w:rFonts w:hint="default" w:ascii="Times New Roman" w:hAnsi="Times New Roman" w:eastAsia="宋体" w:cs="Times New Roman"/>
                      <w:color w:val="auto"/>
                      <w:kern w:val="36"/>
                      <w:sz w:val="21"/>
                      <w:szCs w:val="21"/>
                    </w:rPr>
                    <w:t>1</w:t>
                  </w:r>
                </w:p>
              </w:tc>
              <w:tc>
                <w:tcPr>
                  <w:tcW w:w="2020" w:type="dxa"/>
                  <w:tcBorders>
                    <w:tl2br w:val="nil"/>
                    <w:tr2bl w:val="nil"/>
                  </w:tcBorders>
                  <w:noWrap w:val="0"/>
                  <w:vAlign w:val="center"/>
                </w:tcPr>
                <w:p w14:paraId="072E09EA">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36"/>
                      <w:sz w:val="21"/>
                      <w:szCs w:val="21"/>
                    </w:rPr>
                  </w:pPr>
                  <w:r>
                    <w:rPr>
                      <w:rFonts w:hint="default" w:ascii="Times New Roman" w:hAnsi="Times New Roman" w:eastAsia="宋体" w:cs="Times New Roman"/>
                      <w:color w:val="auto"/>
                      <w:kern w:val="36"/>
                      <w:sz w:val="21"/>
                      <w:szCs w:val="21"/>
                    </w:rPr>
                    <w:t>项目名称</w:t>
                  </w:r>
                </w:p>
              </w:tc>
              <w:tc>
                <w:tcPr>
                  <w:tcW w:w="6451" w:type="dxa"/>
                  <w:tcBorders>
                    <w:tl2br w:val="nil"/>
                    <w:tr2bl w:val="nil"/>
                  </w:tcBorders>
                  <w:noWrap w:val="0"/>
                  <w:vAlign w:val="center"/>
                </w:tcPr>
                <w:p w14:paraId="6905EFC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eastAsia="zh-CN"/>
                    </w:rPr>
                    <w:t>新乡市威远精工有限公司光刻机大尺寸结构件量产及装配项目</w:t>
                  </w:r>
                </w:p>
              </w:tc>
            </w:tr>
            <w:tr w14:paraId="28AD0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83" w:type="dxa"/>
                  <w:tcBorders>
                    <w:tl2br w:val="nil"/>
                    <w:tr2bl w:val="nil"/>
                  </w:tcBorders>
                  <w:noWrap w:val="0"/>
                  <w:vAlign w:val="center"/>
                </w:tcPr>
                <w:p w14:paraId="6B17B8F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36"/>
                      <w:sz w:val="21"/>
                      <w:szCs w:val="21"/>
                    </w:rPr>
                  </w:pPr>
                  <w:r>
                    <w:rPr>
                      <w:rFonts w:hint="default" w:ascii="Times New Roman" w:hAnsi="Times New Roman" w:eastAsia="宋体" w:cs="Times New Roman"/>
                      <w:color w:val="auto"/>
                      <w:kern w:val="36"/>
                      <w:sz w:val="21"/>
                      <w:szCs w:val="21"/>
                    </w:rPr>
                    <w:t>2</w:t>
                  </w:r>
                </w:p>
              </w:tc>
              <w:tc>
                <w:tcPr>
                  <w:tcW w:w="2020" w:type="dxa"/>
                  <w:tcBorders>
                    <w:tl2br w:val="nil"/>
                    <w:tr2bl w:val="nil"/>
                  </w:tcBorders>
                  <w:noWrap w:val="0"/>
                  <w:vAlign w:val="center"/>
                </w:tcPr>
                <w:p w14:paraId="7046F0D2">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36"/>
                      <w:sz w:val="21"/>
                      <w:szCs w:val="21"/>
                    </w:rPr>
                  </w:pPr>
                  <w:r>
                    <w:rPr>
                      <w:rFonts w:hint="default" w:ascii="Times New Roman" w:hAnsi="Times New Roman" w:eastAsia="宋体" w:cs="Times New Roman"/>
                      <w:color w:val="auto"/>
                      <w:kern w:val="36"/>
                      <w:sz w:val="21"/>
                      <w:szCs w:val="21"/>
                    </w:rPr>
                    <w:t>总投资</w:t>
                  </w:r>
                </w:p>
              </w:tc>
              <w:tc>
                <w:tcPr>
                  <w:tcW w:w="6451" w:type="dxa"/>
                  <w:tcBorders>
                    <w:tl2br w:val="nil"/>
                    <w:tr2bl w:val="nil"/>
                  </w:tcBorders>
                  <w:noWrap w:val="0"/>
                  <w:vAlign w:val="center"/>
                </w:tcPr>
                <w:p w14:paraId="70C314F9">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lang w:eastAsia="zh-CN"/>
                    </w:rPr>
                  </w:pPr>
                  <w:r>
                    <w:rPr>
                      <w:rFonts w:hint="eastAsia" w:cs="Times New Roman"/>
                      <w:color w:val="auto"/>
                      <w:sz w:val="21"/>
                      <w:szCs w:val="21"/>
                      <w:lang w:val="en-US" w:eastAsia="zh-CN"/>
                    </w:rPr>
                    <w:t>7000</w:t>
                  </w:r>
                  <w:r>
                    <w:rPr>
                      <w:rFonts w:hint="default" w:ascii="Times New Roman" w:hAnsi="Times New Roman" w:eastAsia="宋体" w:cs="Times New Roman"/>
                      <w:color w:val="auto"/>
                      <w:sz w:val="21"/>
                      <w:szCs w:val="21"/>
                      <w:lang w:eastAsia="zh-CN"/>
                    </w:rPr>
                    <w:t>万元</w:t>
                  </w:r>
                </w:p>
              </w:tc>
            </w:tr>
            <w:tr w14:paraId="3B49E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83" w:type="dxa"/>
                  <w:tcBorders>
                    <w:tl2br w:val="nil"/>
                    <w:tr2bl w:val="nil"/>
                  </w:tcBorders>
                  <w:noWrap w:val="0"/>
                  <w:vAlign w:val="center"/>
                </w:tcPr>
                <w:p w14:paraId="6D8587B1">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36"/>
                      <w:sz w:val="21"/>
                      <w:szCs w:val="21"/>
                    </w:rPr>
                  </w:pPr>
                  <w:r>
                    <w:rPr>
                      <w:rFonts w:hint="default" w:ascii="Times New Roman" w:hAnsi="Times New Roman" w:eastAsia="宋体" w:cs="Times New Roman"/>
                      <w:color w:val="auto"/>
                      <w:kern w:val="36"/>
                      <w:sz w:val="21"/>
                      <w:szCs w:val="21"/>
                    </w:rPr>
                    <w:t>3</w:t>
                  </w:r>
                </w:p>
              </w:tc>
              <w:tc>
                <w:tcPr>
                  <w:tcW w:w="2020" w:type="dxa"/>
                  <w:tcBorders>
                    <w:tl2br w:val="nil"/>
                    <w:tr2bl w:val="nil"/>
                  </w:tcBorders>
                  <w:noWrap w:val="0"/>
                  <w:vAlign w:val="center"/>
                </w:tcPr>
                <w:p w14:paraId="7F16C61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36"/>
                      <w:sz w:val="21"/>
                      <w:szCs w:val="21"/>
                    </w:rPr>
                  </w:pPr>
                  <w:r>
                    <w:rPr>
                      <w:rFonts w:hint="default" w:ascii="Times New Roman" w:hAnsi="Times New Roman" w:eastAsia="宋体" w:cs="Times New Roman"/>
                      <w:color w:val="auto"/>
                      <w:kern w:val="36"/>
                      <w:sz w:val="21"/>
                      <w:szCs w:val="21"/>
                    </w:rPr>
                    <w:t>建设单位</w:t>
                  </w:r>
                </w:p>
              </w:tc>
              <w:tc>
                <w:tcPr>
                  <w:tcW w:w="6451" w:type="dxa"/>
                  <w:tcBorders>
                    <w:tl2br w:val="nil"/>
                    <w:tr2bl w:val="nil"/>
                  </w:tcBorders>
                  <w:noWrap w:val="0"/>
                  <w:vAlign w:val="center"/>
                </w:tcPr>
                <w:p w14:paraId="7F7BF70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新乡市威远精工有限公司</w:t>
                  </w:r>
                </w:p>
              </w:tc>
            </w:tr>
            <w:tr w14:paraId="0F442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83" w:type="dxa"/>
                  <w:tcBorders>
                    <w:tl2br w:val="nil"/>
                    <w:tr2bl w:val="nil"/>
                  </w:tcBorders>
                  <w:noWrap w:val="0"/>
                  <w:vAlign w:val="center"/>
                </w:tcPr>
                <w:p w14:paraId="1CA405D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36"/>
                      <w:sz w:val="21"/>
                      <w:szCs w:val="21"/>
                    </w:rPr>
                  </w:pPr>
                  <w:r>
                    <w:rPr>
                      <w:rFonts w:hint="default" w:ascii="Times New Roman" w:hAnsi="Times New Roman" w:eastAsia="宋体" w:cs="Times New Roman"/>
                      <w:color w:val="auto"/>
                      <w:kern w:val="36"/>
                      <w:sz w:val="21"/>
                      <w:szCs w:val="21"/>
                    </w:rPr>
                    <w:t>4</w:t>
                  </w:r>
                </w:p>
              </w:tc>
              <w:tc>
                <w:tcPr>
                  <w:tcW w:w="2020" w:type="dxa"/>
                  <w:tcBorders>
                    <w:tl2br w:val="nil"/>
                    <w:tr2bl w:val="nil"/>
                  </w:tcBorders>
                  <w:noWrap w:val="0"/>
                  <w:vAlign w:val="center"/>
                </w:tcPr>
                <w:p w14:paraId="4651E847">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36"/>
                      <w:sz w:val="21"/>
                      <w:szCs w:val="21"/>
                    </w:rPr>
                  </w:pPr>
                  <w:r>
                    <w:rPr>
                      <w:rFonts w:hint="default" w:ascii="Times New Roman" w:hAnsi="Times New Roman" w:eastAsia="宋体" w:cs="Times New Roman"/>
                      <w:color w:val="auto"/>
                      <w:kern w:val="36"/>
                      <w:sz w:val="21"/>
                      <w:szCs w:val="21"/>
                    </w:rPr>
                    <w:t>建设规模</w:t>
                  </w:r>
                </w:p>
              </w:tc>
              <w:tc>
                <w:tcPr>
                  <w:tcW w:w="6451" w:type="dxa"/>
                  <w:tcBorders>
                    <w:tl2br w:val="nil"/>
                    <w:tr2bl w:val="nil"/>
                  </w:tcBorders>
                  <w:noWrap w:val="0"/>
                  <w:vAlign w:val="center"/>
                </w:tcPr>
                <w:p w14:paraId="7ADB89E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eastAsia="zh-CN"/>
                    </w:rPr>
                    <w:t>年产300件光刻机高精密框架</w:t>
                  </w:r>
                </w:p>
              </w:tc>
            </w:tr>
            <w:tr w14:paraId="5F5C2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83" w:type="dxa"/>
                  <w:tcBorders>
                    <w:tl2br w:val="nil"/>
                    <w:tr2bl w:val="nil"/>
                  </w:tcBorders>
                  <w:noWrap w:val="0"/>
                  <w:vAlign w:val="center"/>
                </w:tcPr>
                <w:p w14:paraId="0BB2BFE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36"/>
                      <w:sz w:val="21"/>
                      <w:szCs w:val="21"/>
                    </w:rPr>
                  </w:pPr>
                  <w:r>
                    <w:rPr>
                      <w:rFonts w:hint="default" w:ascii="Times New Roman" w:hAnsi="Times New Roman" w:eastAsia="宋体" w:cs="Times New Roman"/>
                      <w:color w:val="auto"/>
                      <w:kern w:val="36"/>
                      <w:sz w:val="21"/>
                      <w:szCs w:val="21"/>
                    </w:rPr>
                    <w:t>5</w:t>
                  </w:r>
                </w:p>
              </w:tc>
              <w:tc>
                <w:tcPr>
                  <w:tcW w:w="2020" w:type="dxa"/>
                  <w:tcBorders>
                    <w:tl2br w:val="nil"/>
                    <w:tr2bl w:val="nil"/>
                  </w:tcBorders>
                  <w:noWrap w:val="0"/>
                  <w:vAlign w:val="center"/>
                </w:tcPr>
                <w:p w14:paraId="1D4BFC80">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36"/>
                      <w:sz w:val="21"/>
                      <w:szCs w:val="21"/>
                    </w:rPr>
                  </w:pPr>
                  <w:r>
                    <w:rPr>
                      <w:rFonts w:hint="default" w:ascii="Times New Roman" w:hAnsi="Times New Roman" w:eastAsia="宋体" w:cs="Times New Roman"/>
                      <w:color w:val="auto"/>
                      <w:kern w:val="36"/>
                      <w:sz w:val="21"/>
                      <w:szCs w:val="21"/>
                    </w:rPr>
                    <w:t>项目选址</w:t>
                  </w:r>
                </w:p>
              </w:tc>
              <w:tc>
                <w:tcPr>
                  <w:tcW w:w="6451" w:type="dxa"/>
                  <w:tcBorders>
                    <w:tl2br w:val="nil"/>
                    <w:tr2bl w:val="nil"/>
                  </w:tcBorders>
                  <w:noWrap w:val="0"/>
                  <w:vAlign w:val="center"/>
                </w:tcPr>
                <w:p w14:paraId="10FD8B8B">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lang w:eastAsia="zh-CN"/>
                    </w:rPr>
                  </w:pPr>
                  <w:r>
                    <w:rPr>
                      <w:rFonts w:hint="eastAsia" w:cs="Times New Roman"/>
                      <w:color w:val="auto"/>
                      <w:sz w:val="21"/>
                      <w:szCs w:val="21"/>
                      <w:lang w:val="en-US" w:eastAsia="zh-CN"/>
                    </w:rPr>
                    <w:t>新乡市新乡县翟坡镇东大阳堤村村西中央大道东侧</w:t>
                  </w:r>
                </w:p>
              </w:tc>
            </w:tr>
            <w:tr w14:paraId="0648C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83" w:type="dxa"/>
                  <w:tcBorders>
                    <w:tl2br w:val="nil"/>
                    <w:tr2bl w:val="nil"/>
                  </w:tcBorders>
                  <w:noWrap w:val="0"/>
                  <w:vAlign w:val="center"/>
                </w:tcPr>
                <w:p w14:paraId="5741A45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36"/>
                      <w:sz w:val="21"/>
                      <w:szCs w:val="21"/>
                    </w:rPr>
                  </w:pPr>
                  <w:r>
                    <w:rPr>
                      <w:rFonts w:hint="default" w:ascii="Times New Roman" w:hAnsi="Times New Roman" w:eastAsia="宋体" w:cs="Times New Roman"/>
                      <w:color w:val="auto"/>
                      <w:kern w:val="36"/>
                      <w:sz w:val="21"/>
                      <w:szCs w:val="21"/>
                    </w:rPr>
                    <w:t>6</w:t>
                  </w:r>
                </w:p>
              </w:tc>
              <w:tc>
                <w:tcPr>
                  <w:tcW w:w="2020" w:type="dxa"/>
                  <w:tcBorders>
                    <w:tl2br w:val="nil"/>
                    <w:tr2bl w:val="nil"/>
                  </w:tcBorders>
                  <w:noWrap w:val="0"/>
                  <w:vAlign w:val="center"/>
                </w:tcPr>
                <w:p w14:paraId="384AB28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36"/>
                      <w:sz w:val="21"/>
                      <w:szCs w:val="21"/>
                    </w:rPr>
                  </w:pPr>
                  <w:r>
                    <w:rPr>
                      <w:rFonts w:hint="eastAsia" w:ascii="Times New Roman" w:hAnsi="Times New Roman" w:eastAsia="宋体" w:cs="Times New Roman"/>
                      <w:color w:val="auto"/>
                      <w:kern w:val="36"/>
                      <w:sz w:val="21"/>
                      <w:szCs w:val="21"/>
                      <w:lang w:eastAsia="zh-CN"/>
                    </w:rPr>
                    <w:t>建筑</w:t>
                  </w:r>
                  <w:r>
                    <w:rPr>
                      <w:rFonts w:hint="default" w:ascii="Times New Roman" w:hAnsi="Times New Roman" w:eastAsia="宋体" w:cs="Times New Roman"/>
                      <w:color w:val="auto"/>
                      <w:kern w:val="36"/>
                      <w:sz w:val="21"/>
                      <w:szCs w:val="21"/>
                    </w:rPr>
                    <w:t>面积</w:t>
                  </w:r>
                </w:p>
              </w:tc>
              <w:tc>
                <w:tcPr>
                  <w:tcW w:w="6451" w:type="dxa"/>
                  <w:tcBorders>
                    <w:tl2br w:val="nil"/>
                    <w:tr2bl w:val="nil"/>
                  </w:tcBorders>
                  <w:noWrap w:val="0"/>
                  <w:vAlign w:val="center"/>
                </w:tcPr>
                <w:p w14:paraId="24E6473C">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lang w:eastAsia="zh-CN"/>
                    </w:rPr>
                  </w:pPr>
                  <w:r>
                    <w:rPr>
                      <w:rFonts w:hint="eastAsia" w:cs="Times New Roman"/>
                      <w:color w:val="auto"/>
                      <w:sz w:val="21"/>
                      <w:szCs w:val="21"/>
                      <w:lang w:val="en-US" w:eastAsia="zh-CN"/>
                    </w:rPr>
                    <w:t>10252.48</w:t>
                  </w:r>
                  <w:r>
                    <w:rPr>
                      <w:rFonts w:hint="default" w:ascii="Times New Roman" w:hAnsi="Times New Roman" w:eastAsia="宋体" w:cs="Times New Roman"/>
                      <w:color w:val="auto"/>
                      <w:sz w:val="21"/>
                      <w:szCs w:val="21"/>
                      <w:lang w:eastAsia="zh-CN"/>
                    </w:rPr>
                    <w:t>m</w:t>
                  </w:r>
                  <w:r>
                    <w:rPr>
                      <w:rFonts w:hint="default" w:ascii="Times New Roman" w:hAnsi="Times New Roman" w:eastAsia="宋体" w:cs="Times New Roman"/>
                      <w:color w:val="auto"/>
                      <w:sz w:val="21"/>
                      <w:szCs w:val="21"/>
                      <w:vertAlign w:val="superscript"/>
                      <w:lang w:eastAsia="zh-CN"/>
                    </w:rPr>
                    <w:t>2</w:t>
                  </w:r>
                </w:p>
              </w:tc>
            </w:tr>
            <w:tr w14:paraId="422B4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atLeast"/>
                <w:jc w:val="center"/>
              </w:trPr>
              <w:tc>
                <w:tcPr>
                  <w:tcW w:w="883" w:type="dxa"/>
                  <w:tcBorders>
                    <w:tl2br w:val="nil"/>
                    <w:tr2bl w:val="nil"/>
                  </w:tcBorders>
                  <w:noWrap w:val="0"/>
                  <w:vAlign w:val="center"/>
                </w:tcPr>
                <w:p w14:paraId="706860B6">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36"/>
                      <w:sz w:val="21"/>
                      <w:szCs w:val="21"/>
                    </w:rPr>
                  </w:pPr>
                  <w:r>
                    <w:rPr>
                      <w:rFonts w:hint="default" w:ascii="Times New Roman" w:hAnsi="Times New Roman" w:eastAsia="宋体" w:cs="Times New Roman"/>
                      <w:color w:val="auto"/>
                      <w:kern w:val="36"/>
                      <w:sz w:val="21"/>
                      <w:szCs w:val="21"/>
                    </w:rPr>
                    <w:t>7</w:t>
                  </w:r>
                </w:p>
              </w:tc>
              <w:tc>
                <w:tcPr>
                  <w:tcW w:w="2020" w:type="dxa"/>
                  <w:tcBorders>
                    <w:tl2br w:val="nil"/>
                    <w:tr2bl w:val="nil"/>
                  </w:tcBorders>
                  <w:noWrap w:val="0"/>
                  <w:vAlign w:val="center"/>
                </w:tcPr>
                <w:p w14:paraId="7AD723F5">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kern w:val="36"/>
                      <w:sz w:val="21"/>
                      <w:szCs w:val="21"/>
                    </w:rPr>
                  </w:pPr>
                  <w:r>
                    <w:rPr>
                      <w:rFonts w:hint="default" w:ascii="Times New Roman" w:hAnsi="Times New Roman" w:eastAsia="宋体" w:cs="Times New Roman"/>
                      <w:color w:val="auto"/>
                      <w:kern w:val="36"/>
                      <w:sz w:val="21"/>
                      <w:szCs w:val="21"/>
                    </w:rPr>
                    <w:t>劳动制度与定员</w:t>
                  </w:r>
                </w:p>
              </w:tc>
              <w:tc>
                <w:tcPr>
                  <w:tcW w:w="6451" w:type="dxa"/>
                  <w:tcBorders>
                    <w:tl2br w:val="nil"/>
                    <w:tr2bl w:val="nil"/>
                  </w:tcBorders>
                  <w:noWrap w:val="0"/>
                  <w:vAlign w:val="center"/>
                </w:tcPr>
                <w:p w14:paraId="7E9F816E">
                  <w:pPr>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lang w:eastAsia="zh-CN"/>
                    </w:rPr>
                  </w:pPr>
                  <w:r>
                    <w:rPr>
                      <w:rFonts w:hint="default" w:ascii="Times New Roman" w:hAnsi="Times New Roman" w:eastAsia="宋体" w:cs="Times New Roman"/>
                      <w:color w:val="auto"/>
                      <w:sz w:val="21"/>
                      <w:szCs w:val="21"/>
                      <w:lang w:eastAsia="zh-CN"/>
                    </w:rPr>
                    <w:t>员工</w:t>
                  </w:r>
                  <w:r>
                    <w:rPr>
                      <w:rFonts w:hint="eastAsia" w:cs="Times New Roman"/>
                      <w:color w:val="auto"/>
                      <w:sz w:val="21"/>
                      <w:szCs w:val="21"/>
                      <w:lang w:val="en-US" w:eastAsia="zh-CN"/>
                    </w:rPr>
                    <w:t>40</w:t>
                  </w:r>
                  <w:r>
                    <w:rPr>
                      <w:rFonts w:hint="default" w:ascii="Times New Roman" w:hAnsi="Times New Roman" w:eastAsia="宋体" w:cs="Times New Roman"/>
                      <w:color w:val="auto"/>
                      <w:sz w:val="21"/>
                      <w:szCs w:val="21"/>
                      <w:lang w:val="en-US" w:eastAsia="zh-CN"/>
                    </w:rPr>
                    <w:t>人</w:t>
                  </w:r>
                  <w:r>
                    <w:rPr>
                      <w:rFonts w:hint="default" w:ascii="Times New Roman" w:hAnsi="Times New Roman" w:eastAsia="宋体" w:cs="Times New Roman"/>
                      <w:color w:val="auto"/>
                      <w:sz w:val="21"/>
                      <w:szCs w:val="21"/>
                      <w:lang w:eastAsia="zh-CN"/>
                    </w:rPr>
                    <w:t>，</w:t>
                  </w:r>
                  <w:r>
                    <w:rPr>
                      <w:rFonts w:hint="eastAsia" w:cs="Times New Roman"/>
                      <w:color w:val="auto"/>
                      <w:sz w:val="21"/>
                      <w:szCs w:val="21"/>
                      <w:lang w:eastAsia="zh-CN"/>
                    </w:rPr>
                    <w:t>单</w:t>
                  </w:r>
                  <w:r>
                    <w:rPr>
                      <w:rFonts w:hint="default" w:ascii="Times New Roman" w:hAnsi="Times New Roman" w:eastAsia="宋体" w:cs="Times New Roman"/>
                      <w:color w:val="auto"/>
                      <w:sz w:val="21"/>
                      <w:szCs w:val="21"/>
                      <w:lang w:eastAsia="zh-CN"/>
                    </w:rPr>
                    <w:t>班制，每班</w:t>
                  </w:r>
                  <w:r>
                    <w:rPr>
                      <w:rFonts w:hint="eastAsia" w:ascii="Times New Roman" w:hAnsi="Times New Roman" w:eastAsia="宋体" w:cs="Times New Roman"/>
                      <w:color w:val="auto"/>
                      <w:sz w:val="21"/>
                      <w:szCs w:val="21"/>
                      <w:lang w:val="en-US" w:eastAsia="zh-CN"/>
                    </w:rPr>
                    <w:t>8</w:t>
                  </w:r>
                  <w:r>
                    <w:rPr>
                      <w:rFonts w:hint="default" w:ascii="Times New Roman" w:hAnsi="Times New Roman" w:eastAsia="宋体" w:cs="Times New Roman"/>
                      <w:color w:val="auto"/>
                      <w:sz w:val="21"/>
                      <w:szCs w:val="21"/>
                      <w:lang w:eastAsia="zh-CN"/>
                    </w:rPr>
                    <w:t>h，年工作</w:t>
                  </w:r>
                  <w:r>
                    <w:rPr>
                      <w:rFonts w:hint="eastAsia" w:cs="Times New Roman"/>
                      <w:color w:val="auto"/>
                      <w:sz w:val="21"/>
                      <w:szCs w:val="21"/>
                      <w:lang w:val="en-US" w:eastAsia="zh-CN"/>
                    </w:rPr>
                    <w:t>260</w:t>
                  </w:r>
                  <w:r>
                    <w:rPr>
                      <w:rFonts w:hint="default" w:ascii="Times New Roman" w:hAnsi="Times New Roman" w:eastAsia="宋体" w:cs="Times New Roman"/>
                      <w:color w:val="auto"/>
                      <w:sz w:val="21"/>
                      <w:szCs w:val="21"/>
                      <w:lang w:eastAsia="zh-CN"/>
                    </w:rPr>
                    <w:t>天</w:t>
                  </w:r>
                </w:p>
              </w:tc>
            </w:tr>
          </w:tbl>
          <w:p w14:paraId="1847CE6F">
            <w:pPr>
              <w:keepLines w:val="0"/>
              <w:pageBreakBefore w:val="0"/>
              <w:widowControl w:val="0"/>
              <w:kinsoku/>
              <w:wordWrap/>
              <w:overflowPunct/>
              <w:topLinePunct w:val="0"/>
              <w:autoSpaceDE/>
              <w:autoSpaceDN/>
              <w:bidi w:val="0"/>
              <w:snapToGrid w:val="0"/>
              <w:spacing w:line="520" w:lineRule="exact"/>
              <w:ind w:left="0" w:right="0" w:firstLine="482"/>
              <w:textAlignment w:val="auto"/>
              <w:rPr>
                <w:rFonts w:hint="default" w:ascii="Times New Roman" w:hAnsi="Times New Roman" w:eastAsia="宋体" w:cs="Times New Roman"/>
                <w:b/>
                <w:color w:val="auto"/>
                <w:lang w:eastAsia="zh-CN"/>
              </w:rPr>
            </w:pPr>
            <w:r>
              <w:rPr>
                <w:rFonts w:hint="default" w:ascii="Times New Roman" w:hAnsi="Times New Roman" w:cs="Times New Roman"/>
                <w:b/>
                <w:color w:val="auto"/>
                <w:lang w:val="en-US" w:eastAsia="zh-CN"/>
              </w:rPr>
              <w:t>3</w:t>
            </w:r>
            <w:r>
              <w:rPr>
                <w:rFonts w:hint="default" w:ascii="Times New Roman" w:hAnsi="Times New Roman" w:cs="Times New Roman"/>
                <w:b/>
                <w:color w:val="auto"/>
                <w:lang w:eastAsia="zh-CN"/>
              </w:rPr>
              <w:t>、</w:t>
            </w:r>
            <w:r>
              <w:rPr>
                <w:rFonts w:hint="default" w:ascii="Times New Roman" w:hAnsi="Times New Roman" w:cs="Times New Roman"/>
                <w:b/>
                <w:color w:val="auto"/>
              </w:rPr>
              <w:t>项目</w:t>
            </w:r>
            <w:r>
              <w:rPr>
                <w:rFonts w:hint="default" w:ascii="Times New Roman" w:hAnsi="Times New Roman" w:cs="Times New Roman"/>
                <w:b/>
                <w:color w:val="auto"/>
                <w:lang w:eastAsia="zh-CN"/>
              </w:rPr>
              <w:t>组成情况</w:t>
            </w:r>
          </w:p>
          <w:p w14:paraId="36CBE69A">
            <w:pPr>
              <w:snapToGrid w:val="0"/>
              <w:spacing w:line="520" w:lineRule="exact"/>
              <w:ind w:firstLine="480" w:firstLineChars="200"/>
              <w:jc w:val="left"/>
              <w:rPr>
                <w:rFonts w:hint="default" w:ascii="Times New Roman" w:hAnsi="Times New Roman" w:eastAsia="宋体" w:cs="Times New Roman"/>
                <w:color w:val="auto"/>
                <w:sz w:val="24"/>
                <w:lang w:val="en-US" w:eastAsia="zh-CN"/>
              </w:rPr>
            </w:pPr>
            <w:r>
              <w:rPr>
                <w:rFonts w:hint="default" w:ascii="Times New Roman" w:hAnsi="Times New Roman" w:eastAsia="宋体" w:cs="Times New Roman"/>
                <w:color w:val="auto"/>
                <w:sz w:val="24"/>
                <w:lang w:val="en-US" w:eastAsia="zh-CN"/>
              </w:rPr>
              <w:t>本项目总投资</w:t>
            </w:r>
            <w:r>
              <w:rPr>
                <w:rFonts w:hint="eastAsia" w:cs="Times New Roman"/>
                <w:color w:val="auto"/>
                <w:sz w:val="24"/>
                <w:lang w:val="en-US" w:eastAsia="zh-CN"/>
              </w:rPr>
              <w:t>7000</w:t>
            </w:r>
            <w:r>
              <w:rPr>
                <w:rFonts w:hint="default" w:ascii="Times New Roman" w:hAnsi="Times New Roman" w:eastAsia="宋体" w:cs="Times New Roman"/>
                <w:color w:val="auto"/>
                <w:sz w:val="24"/>
                <w:lang w:val="en-US" w:eastAsia="zh-CN"/>
              </w:rPr>
              <w:t>万元</w:t>
            </w:r>
            <w:r>
              <w:rPr>
                <w:rFonts w:hint="eastAsia" w:ascii="Times New Roman" w:hAnsi="Times New Roman" w:eastAsia="宋体" w:cs="Times New Roman"/>
                <w:color w:val="auto"/>
                <w:sz w:val="24"/>
                <w:lang w:val="en-US" w:eastAsia="zh-CN"/>
              </w:rPr>
              <w:t>，</w:t>
            </w:r>
            <w:r>
              <w:rPr>
                <w:rFonts w:hint="default" w:ascii="Times New Roman" w:hAnsi="Times New Roman" w:eastAsia="宋体" w:cs="Times New Roman"/>
                <w:color w:val="auto"/>
                <w:sz w:val="24"/>
                <w:lang w:val="en-US" w:eastAsia="zh-CN"/>
              </w:rPr>
              <w:t>主要包括主体工程、辅助工程、公用工程和环保工程等，项目所在</w:t>
            </w:r>
            <w:r>
              <w:rPr>
                <w:rFonts w:hint="default" w:ascii="Times New Roman" w:hAnsi="Times New Roman" w:eastAsia="宋体" w:cs="Times New Roman"/>
                <w:color w:val="auto"/>
                <w:sz w:val="24"/>
                <w:highlight w:val="none"/>
                <w:lang w:val="en-US" w:eastAsia="zh-CN"/>
              </w:rPr>
              <w:t>厂区平面布置图见附</w:t>
            </w:r>
            <w:r>
              <w:rPr>
                <w:rFonts w:hint="default" w:ascii="Times New Roman" w:hAnsi="Times New Roman" w:eastAsia="宋体" w:cs="Times New Roman"/>
                <w:color w:val="auto"/>
                <w:sz w:val="24"/>
                <w:highlight w:val="none"/>
                <w:lang w:eastAsia="zh-CN"/>
              </w:rPr>
              <w:t>图</w:t>
            </w:r>
            <w:r>
              <w:rPr>
                <w:rFonts w:hint="eastAsia" w:cs="Times New Roman"/>
                <w:color w:val="auto"/>
                <w:sz w:val="24"/>
                <w:highlight w:val="none"/>
                <w:lang w:val="en-US" w:eastAsia="zh-CN"/>
              </w:rPr>
              <w:t>8</w:t>
            </w:r>
            <w:r>
              <w:rPr>
                <w:rFonts w:hint="default" w:ascii="Times New Roman" w:hAnsi="Times New Roman" w:eastAsia="宋体" w:cs="Times New Roman"/>
                <w:color w:val="auto"/>
                <w:sz w:val="24"/>
                <w:highlight w:val="none"/>
                <w:lang w:eastAsia="zh-CN"/>
              </w:rPr>
              <w:t>。</w:t>
            </w:r>
            <w:r>
              <w:rPr>
                <w:rFonts w:hint="default" w:ascii="Times New Roman" w:hAnsi="Times New Roman" w:eastAsia="宋体" w:cs="Times New Roman"/>
                <w:color w:val="auto"/>
                <w:sz w:val="24"/>
                <w:highlight w:val="none"/>
                <w:lang w:val="en-US" w:eastAsia="zh-CN"/>
              </w:rPr>
              <w:t>建</w:t>
            </w:r>
            <w:r>
              <w:rPr>
                <w:rFonts w:hint="default" w:ascii="Times New Roman" w:hAnsi="Times New Roman" w:eastAsia="宋体" w:cs="Times New Roman"/>
                <w:color w:val="auto"/>
                <w:sz w:val="24"/>
                <w:lang w:val="en-US" w:eastAsia="zh-CN"/>
              </w:rPr>
              <w:t>筑内容见表2-2。</w:t>
            </w:r>
          </w:p>
          <w:p w14:paraId="1147D2EC">
            <w:pPr>
              <w:pStyle w:val="6"/>
              <w:keepNext/>
              <w:keepLines w:val="0"/>
              <w:pageBreakBefore w:val="0"/>
              <w:widowControl w:val="0"/>
              <w:kinsoku/>
              <w:wordWrap/>
              <w:overflowPunct/>
              <w:topLinePunct w:val="0"/>
              <w:autoSpaceDE/>
              <w:autoSpaceDN/>
              <w:bidi w:val="0"/>
              <w:adjustRightInd/>
              <w:snapToGrid w:val="0"/>
              <w:spacing w:line="520" w:lineRule="exact"/>
              <w:ind w:firstLine="480"/>
              <w:jc w:val="both"/>
              <w:textAlignment w:val="auto"/>
              <w:rPr>
                <w:rFonts w:hint="default" w:ascii="Times New Roman" w:hAnsi="Times New Roman" w:eastAsia="黑体" w:cs="Times New Roman"/>
                <w:color w:val="auto"/>
                <w:sz w:val="24"/>
                <w:szCs w:val="24"/>
                <w:highlight w:val="yellow"/>
                <w:lang w:val="en-US" w:eastAsia="zh-CN"/>
              </w:rPr>
            </w:pPr>
            <w:r>
              <w:rPr>
                <w:rFonts w:hint="default" w:ascii="Times New Roman" w:hAnsi="Times New Roman" w:eastAsia="黑体" w:cs="Times New Roman"/>
                <w:color w:val="auto"/>
                <w:sz w:val="24"/>
                <w:szCs w:val="24"/>
                <w:lang w:val="en-US" w:eastAsia="zh-CN"/>
              </w:rPr>
              <w:t>表2-</w:t>
            </w:r>
            <w:r>
              <w:rPr>
                <w:rFonts w:hint="default" w:ascii="Times New Roman" w:hAnsi="Times New Roman" w:cs="Times New Roman"/>
                <w:color w:val="auto"/>
                <w:sz w:val="24"/>
                <w:szCs w:val="24"/>
                <w:lang w:val="en-US" w:eastAsia="zh-CN"/>
              </w:rPr>
              <w:t>2</w:t>
            </w:r>
            <w:r>
              <w:rPr>
                <w:rFonts w:hint="default" w:ascii="Times New Roman" w:hAnsi="Times New Roman" w:eastAsia="黑体" w:cs="Times New Roman"/>
                <w:color w:val="auto"/>
                <w:sz w:val="24"/>
                <w:szCs w:val="24"/>
                <w:lang w:val="en-US" w:eastAsia="zh-CN"/>
              </w:rPr>
              <w:t xml:space="preserve">                  </w:t>
            </w:r>
            <w:r>
              <w:rPr>
                <w:rFonts w:hint="default" w:ascii="Times New Roman" w:hAnsi="Times New Roman" w:eastAsia="黑体" w:cs="Times New Roman"/>
                <w:color w:val="auto"/>
                <w:sz w:val="24"/>
                <w:szCs w:val="24"/>
                <w:highlight w:val="none"/>
                <w:lang w:val="en-US" w:eastAsia="zh-CN"/>
              </w:rPr>
              <w:t>项目组成一览表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2"/>
              <w:gridCol w:w="1286"/>
              <w:gridCol w:w="4269"/>
              <w:gridCol w:w="1100"/>
            </w:tblGrid>
            <w:tr w14:paraId="42D63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2" w:type="dxa"/>
                  <w:tcBorders>
                    <w:tl2br w:val="nil"/>
                    <w:tr2bl w:val="nil"/>
                  </w:tcBorders>
                  <w:noWrap w:val="0"/>
                  <w:vAlign w:val="center"/>
                </w:tcPr>
                <w:p w14:paraId="2680B27F">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序号</w:t>
                  </w:r>
                </w:p>
              </w:tc>
              <w:tc>
                <w:tcPr>
                  <w:tcW w:w="1286" w:type="dxa"/>
                  <w:tcBorders>
                    <w:tl2br w:val="nil"/>
                    <w:tr2bl w:val="nil"/>
                  </w:tcBorders>
                  <w:noWrap w:val="0"/>
                  <w:vAlign w:val="center"/>
                </w:tcPr>
                <w:p w14:paraId="53655D2E">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建筑物名称</w:t>
                  </w:r>
                </w:p>
              </w:tc>
              <w:tc>
                <w:tcPr>
                  <w:tcW w:w="4269" w:type="dxa"/>
                  <w:tcBorders>
                    <w:tl2br w:val="nil"/>
                    <w:tr2bl w:val="nil"/>
                  </w:tcBorders>
                  <w:noWrap w:val="0"/>
                  <w:vAlign w:val="center"/>
                </w:tcPr>
                <w:p w14:paraId="6CCEF26A">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建筑规模</w:t>
                  </w:r>
                </w:p>
              </w:tc>
              <w:tc>
                <w:tcPr>
                  <w:tcW w:w="1100" w:type="dxa"/>
                  <w:tcBorders>
                    <w:tl2br w:val="nil"/>
                    <w:tr2bl w:val="nil"/>
                  </w:tcBorders>
                  <w:noWrap w:val="0"/>
                  <w:vAlign w:val="center"/>
                </w:tcPr>
                <w:p w14:paraId="5FF44B2D">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备注</w:t>
                  </w:r>
                </w:p>
              </w:tc>
            </w:tr>
            <w:tr w14:paraId="0FB9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2" w:type="dxa"/>
                  <w:tcBorders>
                    <w:tl2br w:val="nil"/>
                    <w:tr2bl w:val="nil"/>
                  </w:tcBorders>
                  <w:noWrap w:val="0"/>
                  <w:vAlign w:val="center"/>
                </w:tcPr>
                <w:p w14:paraId="28F34293">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主体工程</w:t>
                  </w:r>
                </w:p>
              </w:tc>
              <w:tc>
                <w:tcPr>
                  <w:tcW w:w="1286" w:type="dxa"/>
                  <w:tcBorders>
                    <w:tl2br w:val="nil"/>
                    <w:tr2bl w:val="nil"/>
                  </w:tcBorders>
                  <w:noWrap w:val="0"/>
                  <w:vAlign w:val="center"/>
                </w:tcPr>
                <w:p w14:paraId="7DAB6204">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生产车间</w:t>
                  </w:r>
                </w:p>
              </w:tc>
              <w:tc>
                <w:tcPr>
                  <w:tcW w:w="4269" w:type="dxa"/>
                  <w:tcBorders>
                    <w:tl2br w:val="nil"/>
                    <w:tr2bl w:val="nil"/>
                  </w:tcBorders>
                  <w:noWrap w:val="0"/>
                  <w:vAlign w:val="center"/>
                </w:tcPr>
                <w:p w14:paraId="3AF085DB">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highlight w:val="yellow"/>
                      <w:lang w:val="en-US" w:eastAsia="zh-CN"/>
                    </w:rPr>
                  </w:pPr>
                  <w:r>
                    <w:rPr>
                      <w:rFonts w:hint="eastAsia" w:ascii="Times New Roman" w:hAnsi="Times New Roman" w:eastAsia="宋体" w:cs="Times New Roman"/>
                      <w:b w:val="0"/>
                      <w:bCs w:val="0"/>
                      <w:color w:val="auto"/>
                      <w:sz w:val="21"/>
                      <w:szCs w:val="21"/>
                      <w:highlight w:val="none"/>
                      <w:lang w:val="en-US" w:eastAsia="zh-CN"/>
                    </w:rPr>
                    <w:t>1F，</w:t>
                  </w:r>
                  <w:r>
                    <w:rPr>
                      <w:rFonts w:hint="default" w:ascii="Times New Roman" w:hAnsi="Times New Roman" w:eastAsia="宋体" w:cs="Times New Roman"/>
                      <w:b w:val="0"/>
                      <w:bCs w:val="0"/>
                      <w:color w:val="auto"/>
                      <w:sz w:val="21"/>
                      <w:szCs w:val="21"/>
                      <w:highlight w:val="none"/>
                      <w:lang w:val="en-US" w:eastAsia="zh-CN"/>
                    </w:rPr>
                    <w:t>建筑面积</w:t>
                  </w:r>
                  <w:r>
                    <w:rPr>
                      <w:rFonts w:hint="eastAsia" w:cs="Times New Roman"/>
                      <w:b w:val="0"/>
                      <w:bCs w:val="0"/>
                      <w:color w:val="auto"/>
                      <w:sz w:val="21"/>
                      <w:szCs w:val="21"/>
                      <w:highlight w:val="none"/>
                      <w:lang w:val="en-US" w:eastAsia="zh-CN"/>
                    </w:rPr>
                    <w:t>6230.992</w:t>
                  </w:r>
                  <w:r>
                    <w:rPr>
                      <w:rFonts w:hint="default" w:ascii="Times New Roman" w:hAnsi="Times New Roman" w:eastAsia="宋体" w:cs="Times New Roman"/>
                      <w:b w:val="0"/>
                      <w:bCs w:val="0"/>
                      <w:color w:val="auto"/>
                      <w:sz w:val="21"/>
                      <w:szCs w:val="21"/>
                      <w:highlight w:val="none"/>
                      <w:lang w:val="en-US" w:eastAsia="zh-CN"/>
                    </w:rPr>
                    <w:t>m</w:t>
                  </w:r>
                  <w:r>
                    <w:rPr>
                      <w:rFonts w:hint="default" w:ascii="Times New Roman" w:hAnsi="Times New Roman" w:eastAsia="宋体" w:cs="Times New Roman"/>
                      <w:b w:val="0"/>
                      <w:bCs w:val="0"/>
                      <w:color w:val="auto"/>
                      <w:sz w:val="21"/>
                      <w:szCs w:val="21"/>
                      <w:highlight w:val="none"/>
                      <w:vertAlign w:val="superscript"/>
                      <w:lang w:val="en-US" w:eastAsia="zh-CN"/>
                    </w:rPr>
                    <w:t>2</w:t>
                  </w:r>
                </w:p>
              </w:tc>
              <w:tc>
                <w:tcPr>
                  <w:tcW w:w="1100" w:type="dxa"/>
                  <w:tcBorders>
                    <w:tl2br w:val="nil"/>
                    <w:tr2bl w:val="nil"/>
                  </w:tcBorders>
                  <w:noWrap w:val="0"/>
                  <w:vAlign w:val="center"/>
                </w:tcPr>
                <w:p w14:paraId="2D0E30BD">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新建</w:t>
                  </w:r>
                </w:p>
              </w:tc>
            </w:tr>
            <w:tr w14:paraId="7AF4B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2" w:type="dxa"/>
                  <w:tcBorders>
                    <w:tl2br w:val="nil"/>
                    <w:tr2bl w:val="nil"/>
                  </w:tcBorders>
                  <w:noWrap w:val="0"/>
                  <w:vAlign w:val="center"/>
                </w:tcPr>
                <w:p w14:paraId="7989644C">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辅助工程</w:t>
                  </w:r>
                </w:p>
              </w:tc>
              <w:tc>
                <w:tcPr>
                  <w:tcW w:w="1286" w:type="dxa"/>
                  <w:tcBorders>
                    <w:tl2br w:val="nil"/>
                    <w:tr2bl w:val="nil"/>
                  </w:tcBorders>
                  <w:shd w:val="clear" w:color="auto" w:fill="auto"/>
                  <w:noWrap w:val="0"/>
                  <w:vAlign w:val="center"/>
                </w:tcPr>
                <w:p w14:paraId="445CD904">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Times New Roman" w:hAnsi="Times New Roman" w:eastAsia="宋体" w:cs="Times New Roman"/>
                      <w:b w:val="0"/>
                      <w:bCs w:val="0"/>
                      <w:color w:val="auto"/>
                      <w:kern w:val="2"/>
                      <w:sz w:val="21"/>
                      <w:szCs w:val="21"/>
                      <w:lang w:val="en-US" w:eastAsia="zh-CN" w:bidi="ar-SA"/>
                    </w:rPr>
                  </w:pPr>
                  <w:r>
                    <w:rPr>
                      <w:rFonts w:hint="eastAsia" w:ascii="Times New Roman" w:hAnsi="Times New Roman" w:eastAsia="宋体" w:cs="Times New Roman"/>
                      <w:b w:val="0"/>
                      <w:bCs w:val="0"/>
                      <w:color w:val="auto"/>
                      <w:sz w:val="21"/>
                      <w:szCs w:val="21"/>
                      <w:lang w:val="en-US" w:eastAsia="zh-CN"/>
                    </w:rPr>
                    <w:t>办公楼</w:t>
                  </w:r>
                </w:p>
              </w:tc>
              <w:tc>
                <w:tcPr>
                  <w:tcW w:w="4269" w:type="dxa"/>
                  <w:tcBorders>
                    <w:tl2br w:val="nil"/>
                    <w:tr2bl w:val="nil"/>
                  </w:tcBorders>
                  <w:shd w:val="clear" w:color="auto" w:fill="auto"/>
                  <w:noWrap w:val="0"/>
                  <w:vAlign w:val="center"/>
                </w:tcPr>
                <w:p w14:paraId="259EE96A">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Times New Roman" w:hAnsi="Times New Roman" w:eastAsia="宋体" w:cs="Times New Roman"/>
                      <w:b w:val="0"/>
                      <w:bCs w:val="0"/>
                      <w:color w:val="auto"/>
                      <w:kern w:val="2"/>
                      <w:sz w:val="21"/>
                      <w:szCs w:val="21"/>
                      <w:highlight w:val="yellow"/>
                      <w:lang w:val="en-US" w:eastAsia="zh-CN" w:bidi="ar-SA"/>
                    </w:rPr>
                  </w:pPr>
                  <w:r>
                    <w:rPr>
                      <w:rFonts w:hint="eastAsia" w:cs="Times New Roman"/>
                      <w:b w:val="0"/>
                      <w:bCs w:val="0"/>
                      <w:color w:val="auto"/>
                      <w:sz w:val="21"/>
                      <w:szCs w:val="21"/>
                      <w:highlight w:val="none"/>
                      <w:lang w:val="en-US" w:eastAsia="zh-CN"/>
                    </w:rPr>
                    <w:t>3</w:t>
                  </w:r>
                  <w:r>
                    <w:rPr>
                      <w:rFonts w:hint="eastAsia" w:ascii="Times New Roman" w:hAnsi="Times New Roman" w:eastAsia="宋体" w:cs="Times New Roman"/>
                      <w:b w:val="0"/>
                      <w:bCs w:val="0"/>
                      <w:color w:val="auto"/>
                      <w:sz w:val="21"/>
                      <w:szCs w:val="21"/>
                      <w:highlight w:val="none"/>
                      <w:lang w:val="en-US" w:eastAsia="zh-CN"/>
                    </w:rPr>
                    <w:t>F，建筑面积</w:t>
                  </w:r>
                  <w:r>
                    <w:rPr>
                      <w:rFonts w:hint="eastAsia" w:cs="Times New Roman"/>
                      <w:b w:val="0"/>
                      <w:bCs w:val="0"/>
                      <w:color w:val="auto"/>
                      <w:sz w:val="21"/>
                      <w:szCs w:val="21"/>
                      <w:highlight w:val="none"/>
                      <w:lang w:val="en-US" w:eastAsia="zh-CN"/>
                    </w:rPr>
                    <w:t>4021.488</w:t>
                  </w:r>
                  <w:r>
                    <w:rPr>
                      <w:rFonts w:hint="default" w:ascii="Times New Roman" w:hAnsi="Times New Roman" w:eastAsia="宋体" w:cs="Times New Roman"/>
                      <w:b w:val="0"/>
                      <w:bCs w:val="0"/>
                      <w:color w:val="auto"/>
                      <w:sz w:val="21"/>
                      <w:szCs w:val="21"/>
                      <w:highlight w:val="none"/>
                      <w:lang w:val="en-US" w:eastAsia="zh-CN"/>
                    </w:rPr>
                    <w:t>m</w:t>
                  </w:r>
                  <w:r>
                    <w:rPr>
                      <w:rFonts w:hint="default" w:ascii="Times New Roman" w:hAnsi="Times New Roman" w:eastAsia="宋体" w:cs="Times New Roman"/>
                      <w:b w:val="0"/>
                      <w:bCs w:val="0"/>
                      <w:color w:val="auto"/>
                      <w:sz w:val="21"/>
                      <w:szCs w:val="21"/>
                      <w:highlight w:val="none"/>
                      <w:vertAlign w:val="superscript"/>
                      <w:lang w:val="en-US" w:eastAsia="zh-CN"/>
                    </w:rPr>
                    <w:t>2</w:t>
                  </w:r>
                </w:p>
              </w:tc>
              <w:tc>
                <w:tcPr>
                  <w:tcW w:w="1100" w:type="dxa"/>
                  <w:tcBorders>
                    <w:tl2br w:val="nil"/>
                    <w:tr2bl w:val="nil"/>
                  </w:tcBorders>
                  <w:shd w:val="clear" w:color="auto" w:fill="auto"/>
                  <w:noWrap w:val="0"/>
                  <w:vAlign w:val="center"/>
                </w:tcPr>
                <w:p w14:paraId="1E713BE6">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eastAsia" w:ascii="Times New Roman" w:hAnsi="Times New Roman" w:eastAsia="宋体" w:cs="Times New Roman"/>
                      <w:b w:val="0"/>
                      <w:bCs w:val="0"/>
                      <w:color w:val="auto"/>
                      <w:kern w:val="2"/>
                      <w:sz w:val="21"/>
                      <w:szCs w:val="21"/>
                      <w:lang w:val="en-US" w:eastAsia="zh-CN" w:bidi="ar-SA"/>
                    </w:rPr>
                  </w:pPr>
                  <w:r>
                    <w:rPr>
                      <w:rFonts w:hint="eastAsia" w:cs="Times New Roman"/>
                      <w:b w:val="0"/>
                      <w:bCs w:val="0"/>
                      <w:color w:val="auto"/>
                      <w:sz w:val="21"/>
                      <w:szCs w:val="21"/>
                      <w:lang w:val="en-US" w:eastAsia="zh-CN"/>
                    </w:rPr>
                    <w:t>新建</w:t>
                  </w:r>
                </w:p>
              </w:tc>
            </w:tr>
            <w:tr w14:paraId="5BCC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2" w:type="dxa"/>
                  <w:vMerge w:val="restart"/>
                  <w:tcBorders>
                    <w:tl2br w:val="nil"/>
                    <w:tr2bl w:val="nil"/>
                  </w:tcBorders>
                  <w:noWrap w:val="0"/>
                  <w:vAlign w:val="center"/>
                </w:tcPr>
                <w:p w14:paraId="0B153516">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公用工程</w:t>
                  </w:r>
                </w:p>
              </w:tc>
              <w:tc>
                <w:tcPr>
                  <w:tcW w:w="1286" w:type="dxa"/>
                  <w:tcBorders>
                    <w:tl2br w:val="nil"/>
                    <w:tr2bl w:val="nil"/>
                  </w:tcBorders>
                  <w:noWrap w:val="0"/>
                  <w:vAlign w:val="center"/>
                </w:tcPr>
                <w:p w14:paraId="4C18DFD3">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供水</w:t>
                  </w:r>
                </w:p>
              </w:tc>
              <w:tc>
                <w:tcPr>
                  <w:tcW w:w="4269" w:type="dxa"/>
                  <w:tcBorders>
                    <w:tl2br w:val="nil"/>
                    <w:tr2bl w:val="nil"/>
                  </w:tcBorders>
                  <w:noWrap w:val="0"/>
                  <w:vAlign w:val="center"/>
                </w:tcPr>
                <w:p w14:paraId="4B6C0476">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color w:val="auto"/>
                      <w:sz w:val="21"/>
                      <w:szCs w:val="21"/>
                      <w:lang w:val="en-US" w:eastAsia="zh-CN"/>
                    </w:rPr>
                    <w:t>市政管网</w:t>
                  </w:r>
                </w:p>
              </w:tc>
              <w:tc>
                <w:tcPr>
                  <w:tcW w:w="1100" w:type="dxa"/>
                  <w:tcBorders>
                    <w:tl2br w:val="nil"/>
                    <w:tr2bl w:val="nil"/>
                  </w:tcBorders>
                  <w:noWrap w:val="0"/>
                  <w:vAlign w:val="center"/>
                </w:tcPr>
                <w:p w14:paraId="6828F1B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w:t>
                  </w:r>
                </w:p>
              </w:tc>
            </w:tr>
            <w:tr w14:paraId="46945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2" w:type="dxa"/>
                  <w:vMerge w:val="continue"/>
                  <w:tcBorders>
                    <w:tl2br w:val="nil"/>
                    <w:tr2bl w:val="nil"/>
                  </w:tcBorders>
                  <w:noWrap w:val="0"/>
                  <w:vAlign w:val="center"/>
                </w:tcPr>
                <w:p w14:paraId="00596898">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p>
              </w:tc>
              <w:tc>
                <w:tcPr>
                  <w:tcW w:w="1286" w:type="dxa"/>
                  <w:tcBorders>
                    <w:tl2br w:val="nil"/>
                    <w:tr2bl w:val="nil"/>
                  </w:tcBorders>
                  <w:noWrap w:val="0"/>
                  <w:vAlign w:val="center"/>
                </w:tcPr>
                <w:p w14:paraId="13E50492">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供电</w:t>
                  </w:r>
                </w:p>
              </w:tc>
              <w:tc>
                <w:tcPr>
                  <w:tcW w:w="4269" w:type="dxa"/>
                  <w:tcBorders>
                    <w:tl2br w:val="nil"/>
                    <w:tr2bl w:val="nil"/>
                  </w:tcBorders>
                  <w:noWrap w:val="0"/>
                  <w:vAlign w:val="center"/>
                </w:tcPr>
                <w:p w14:paraId="33D27150">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eastAsia" w:cs="Times New Roman"/>
                      <w:b w:val="0"/>
                      <w:bCs/>
                      <w:color w:val="auto"/>
                      <w:sz w:val="21"/>
                      <w:szCs w:val="21"/>
                      <w:lang w:val="en-US" w:eastAsia="zh-CN"/>
                    </w:rPr>
                    <w:t>国家电网</w:t>
                  </w:r>
                </w:p>
              </w:tc>
              <w:tc>
                <w:tcPr>
                  <w:tcW w:w="1100" w:type="dxa"/>
                  <w:tcBorders>
                    <w:tl2br w:val="nil"/>
                    <w:tr2bl w:val="nil"/>
                  </w:tcBorders>
                  <w:noWrap w:val="0"/>
                  <w:vAlign w:val="center"/>
                </w:tcPr>
                <w:p w14:paraId="05E83BC6">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w:t>
                  </w:r>
                </w:p>
              </w:tc>
            </w:tr>
            <w:tr w14:paraId="6759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2" w:type="dxa"/>
                  <w:vMerge w:val="continue"/>
                  <w:tcBorders>
                    <w:tl2br w:val="nil"/>
                    <w:tr2bl w:val="nil"/>
                  </w:tcBorders>
                  <w:noWrap w:val="0"/>
                  <w:vAlign w:val="center"/>
                </w:tcPr>
                <w:p w14:paraId="77607162">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p>
              </w:tc>
              <w:tc>
                <w:tcPr>
                  <w:tcW w:w="1286" w:type="dxa"/>
                  <w:tcBorders>
                    <w:tl2br w:val="nil"/>
                    <w:tr2bl w:val="nil"/>
                  </w:tcBorders>
                  <w:noWrap w:val="0"/>
                  <w:vAlign w:val="center"/>
                </w:tcPr>
                <w:p w14:paraId="621FA2EE">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排水</w:t>
                  </w:r>
                </w:p>
              </w:tc>
              <w:tc>
                <w:tcPr>
                  <w:tcW w:w="4269" w:type="dxa"/>
                  <w:tcBorders>
                    <w:tl2br w:val="nil"/>
                    <w:tr2bl w:val="nil"/>
                  </w:tcBorders>
                  <w:noWrap w:val="0"/>
                  <w:vAlign w:val="center"/>
                </w:tcPr>
                <w:p w14:paraId="7E6FAFAE">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color w:val="auto"/>
                      <w:sz w:val="21"/>
                      <w:szCs w:val="21"/>
                      <w:lang w:val="en-US" w:eastAsia="zh-CN"/>
                    </w:rPr>
                    <w:t>生活污水经化粪池处理后排入</w:t>
                  </w:r>
                  <w:r>
                    <w:rPr>
                      <w:rFonts w:hint="eastAsia" w:cs="Times New Roman"/>
                      <w:b w:val="0"/>
                      <w:bCs/>
                      <w:color w:val="auto"/>
                      <w:sz w:val="21"/>
                      <w:szCs w:val="21"/>
                      <w:lang w:val="en-US" w:eastAsia="zh-CN"/>
                    </w:rPr>
                    <w:t>新乡县综合污水处理厂</w:t>
                  </w:r>
                </w:p>
              </w:tc>
              <w:tc>
                <w:tcPr>
                  <w:tcW w:w="1100" w:type="dxa"/>
                  <w:tcBorders>
                    <w:tl2br w:val="nil"/>
                    <w:tr2bl w:val="nil"/>
                  </w:tcBorders>
                  <w:noWrap w:val="0"/>
                  <w:vAlign w:val="center"/>
                </w:tcPr>
                <w:p w14:paraId="6E3CE74A">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cs="Times New Roman"/>
                      <w:b w:val="0"/>
                      <w:bCs w:val="0"/>
                      <w:color w:val="auto"/>
                      <w:sz w:val="21"/>
                      <w:szCs w:val="21"/>
                      <w:lang w:val="en-US" w:eastAsia="zh-CN"/>
                    </w:rPr>
                    <w:t>新建</w:t>
                  </w:r>
                </w:p>
              </w:tc>
            </w:tr>
            <w:tr w14:paraId="22963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1362" w:type="dxa"/>
                  <w:vMerge w:val="continue"/>
                  <w:tcBorders>
                    <w:tl2br w:val="nil"/>
                    <w:tr2bl w:val="nil"/>
                  </w:tcBorders>
                  <w:noWrap w:val="0"/>
                  <w:vAlign w:val="center"/>
                </w:tcPr>
                <w:p w14:paraId="7EEC3062">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p>
              </w:tc>
              <w:tc>
                <w:tcPr>
                  <w:tcW w:w="1286" w:type="dxa"/>
                  <w:tcBorders>
                    <w:tl2br w:val="nil"/>
                    <w:tr2bl w:val="nil"/>
                  </w:tcBorders>
                  <w:noWrap w:val="0"/>
                  <w:vAlign w:val="center"/>
                </w:tcPr>
                <w:p w14:paraId="22303E13">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vertAlign w:val="baseline"/>
                      <w:lang w:val="en-US" w:eastAsia="zh-CN"/>
                    </w:rPr>
                    <w:t>废水治理</w:t>
                  </w:r>
                </w:p>
              </w:tc>
              <w:tc>
                <w:tcPr>
                  <w:tcW w:w="4269" w:type="dxa"/>
                  <w:tcBorders>
                    <w:tl2br w:val="nil"/>
                    <w:tr2bl w:val="nil"/>
                  </w:tcBorders>
                  <w:noWrap w:val="0"/>
                  <w:vAlign w:val="center"/>
                </w:tcPr>
                <w:p w14:paraId="51260595">
                  <w:pPr>
                    <w:pStyle w:val="69"/>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color w:val="auto"/>
                      <w:sz w:val="21"/>
                      <w:szCs w:val="21"/>
                      <w:lang w:val="en-US" w:eastAsia="zh-CN"/>
                    </w:rPr>
                    <w:t>生活污水经化粪池处理后排入</w:t>
                  </w:r>
                  <w:r>
                    <w:rPr>
                      <w:rFonts w:hint="eastAsia" w:cs="Times New Roman"/>
                      <w:b w:val="0"/>
                      <w:bCs/>
                      <w:color w:val="auto"/>
                      <w:sz w:val="21"/>
                      <w:szCs w:val="21"/>
                      <w:lang w:val="en-US" w:eastAsia="zh-CN"/>
                    </w:rPr>
                    <w:t>新乡县综合污水处理厂</w:t>
                  </w:r>
                  <w:r>
                    <w:rPr>
                      <w:rFonts w:hint="eastAsia" w:ascii="Times New Roman" w:hAnsi="Times New Roman" w:eastAsia="宋体" w:cs="Times New Roman"/>
                      <w:b w:val="0"/>
                      <w:bCs/>
                      <w:color w:val="auto"/>
                      <w:sz w:val="21"/>
                      <w:szCs w:val="21"/>
                      <w:lang w:val="en-US" w:eastAsia="zh-CN"/>
                    </w:rPr>
                    <w:t>进一步处理</w:t>
                  </w:r>
                </w:p>
              </w:tc>
              <w:tc>
                <w:tcPr>
                  <w:tcW w:w="1100" w:type="dxa"/>
                  <w:tcBorders>
                    <w:tl2br w:val="nil"/>
                    <w:tr2bl w:val="nil"/>
                  </w:tcBorders>
                  <w:noWrap w:val="0"/>
                  <w:vAlign w:val="center"/>
                </w:tcPr>
                <w:p w14:paraId="49FBD662">
                  <w:pPr>
                    <w:pStyle w:val="69"/>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color w:val="auto"/>
                      <w:sz w:val="21"/>
                      <w:szCs w:val="21"/>
                      <w:lang w:val="en-US" w:eastAsia="zh-CN"/>
                    </w:rPr>
                  </w:pPr>
                  <w:r>
                    <w:rPr>
                      <w:rFonts w:hint="eastAsia" w:cs="Times New Roman"/>
                      <w:b w:val="0"/>
                      <w:bCs w:val="0"/>
                      <w:color w:val="auto"/>
                      <w:sz w:val="21"/>
                      <w:szCs w:val="21"/>
                      <w:lang w:val="en-US" w:eastAsia="zh-CN"/>
                    </w:rPr>
                    <w:t>新建</w:t>
                  </w:r>
                </w:p>
              </w:tc>
            </w:tr>
            <w:tr w14:paraId="52803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2" w:type="dxa"/>
                  <w:vMerge w:val="continue"/>
                  <w:tcBorders>
                    <w:tl2br w:val="nil"/>
                    <w:tr2bl w:val="nil"/>
                  </w:tcBorders>
                  <w:noWrap w:val="0"/>
                  <w:vAlign w:val="center"/>
                </w:tcPr>
                <w:p w14:paraId="4E8375CD">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p>
              </w:tc>
              <w:tc>
                <w:tcPr>
                  <w:tcW w:w="1286" w:type="dxa"/>
                  <w:tcBorders>
                    <w:tl2br w:val="nil"/>
                    <w:tr2bl w:val="nil"/>
                  </w:tcBorders>
                  <w:noWrap w:val="0"/>
                  <w:vAlign w:val="center"/>
                </w:tcPr>
                <w:p w14:paraId="0CF5FCB4">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vertAlign w:val="baseline"/>
                      <w:lang w:val="en-US" w:eastAsia="zh-CN"/>
                    </w:rPr>
                    <w:t>噪声治理</w:t>
                  </w:r>
                </w:p>
              </w:tc>
              <w:tc>
                <w:tcPr>
                  <w:tcW w:w="4269" w:type="dxa"/>
                  <w:tcBorders>
                    <w:tl2br w:val="nil"/>
                    <w:tr2bl w:val="nil"/>
                  </w:tcBorders>
                  <w:noWrap w:val="0"/>
                  <w:vAlign w:val="center"/>
                </w:tcPr>
                <w:p w14:paraId="7186A3FF">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i w:val="0"/>
                      <w:iCs w:val="0"/>
                      <w:color w:val="auto"/>
                      <w:sz w:val="21"/>
                      <w:szCs w:val="21"/>
                      <w:u w:val="none"/>
                      <w:vertAlign w:val="baseline"/>
                      <w:lang w:val="en-US" w:eastAsia="zh-CN"/>
                    </w:rPr>
                    <w:t>基础减震、距离衰减、厂房隔声等降噪措施</w:t>
                  </w:r>
                </w:p>
              </w:tc>
              <w:tc>
                <w:tcPr>
                  <w:tcW w:w="1100" w:type="dxa"/>
                  <w:tcBorders>
                    <w:tl2br w:val="nil"/>
                    <w:tr2bl w:val="nil"/>
                  </w:tcBorders>
                  <w:noWrap w:val="0"/>
                  <w:vAlign w:val="center"/>
                </w:tcPr>
                <w:p w14:paraId="1BE1EBE3">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i w:val="0"/>
                      <w:iCs w:val="0"/>
                      <w:color w:val="auto"/>
                      <w:sz w:val="21"/>
                      <w:szCs w:val="21"/>
                      <w:u w:val="none"/>
                      <w:vertAlign w:val="baseline"/>
                      <w:lang w:val="en-US" w:eastAsia="zh-CN"/>
                    </w:rPr>
                  </w:pPr>
                  <w:r>
                    <w:rPr>
                      <w:rFonts w:hint="default" w:ascii="Times New Roman" w:hAnsi="Times New Roman" w:eastAsia="宋体" w:cs="Times New Roman"/>
                      <w:b w:val="0"/>
                      <w:bCs w:val="0"/>
                      <w:color w:val="auto"/>
                      <w:sz w:val="21"/>
                      <w:szCs w:val="21"/>
                      <w:lang w:val="en-US" w:eastAsia="zh-CN"/>
                    </w:rPr>
                    <w:t>新建</w:t>
                  </w:r>
                </w:p>
              </w:tc>
            </w:tr>
            <w:tr w14:paraId="21D9A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2" w:type="dxa"/>
                  <w:vMerge w:val="continue"/>
                  <w:tcBorders>
                    <w:tl2br w:val="nil"/>
                    <w:tr2bl w:val="nil"/>
                  </w:tcBorders>
                  <w:noWrap w:val="0"/>
                  <w:vAlign w:val="center"/>
                </w:tcPr>
                <w:p w14:paraId="12D5D9DE">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p>
              </w:tc>
              <w:tc>
                <w:tcPr>
                  <w:tcW w:w="1286" w:type="dxa"/>
                  <w:vMerge w:val="restart"/>
                  <w:tcBorders>
                    <w:tl2br w:val="nil"/>
                    <w:tr2bl w:val="nil"/>
                  </w:tcBorders>
                  <w:noWrap w:val="0"/>
                  <w:vAlign w:val="center"/>
                </w:tcPr>
                <w:p w14:paraId="0CA1CF3F">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vertAlign w:val="baseline"/>
                      <w:lang w:val="en-US" w:eastAsia="zh-CN"/>
                    </w:rPr>
                    <w:t>固废治理</w:t>
                  </w:r>
                </w:p>
              </w:tc>
              <w:tc>
                <w:tcPr>
                  <w:tcW w:w="4269" w:type="dxa"/>
                  <w:tcBorders>
                    <w:tl2br w:val="nil"/>
                    <w:tr2bl w:val="nil"/>
                  </w:tcBorders>
                  <w:noWrap w:val="0"/>
                  <w:vAlign w:val="center"/>
                </w:tcPr>
                <w:p w14:paraId="66973C79">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i w:val="0"/>
                      <w:iCs w:val="0"/>
                      <w:color w:val="auto"/>
                      <w:sz w:val="21"/>
                      <w:szCs w:val="21"/>
                      <w:u w:val="none"/>
                      <w:vertAlign w:val="baseline"/>
                      <w:lang w:val="en-US" w:eastAsia="zh-CN"/>
                    </w:rPr>
                    <w:t>一般固废场所一处（建筑面积</w:t>
                  </w:r>
                  <w:r>
                    <w:rPr>
                      <w:rFonts w:hint="eastAsia" w:cs="Times New Roman"/>
                      <w:b w:val="0"/>
                      <w:bCs w:val="0"/>
                      <w:i w:val="0"/>
                      <w:iCs w:val="0"/>
                      <w:color w:val="auto"/>
                      <w:sz w:val="21"/>
                      <w:szCs w:val="21"/>
                      <w:u w:val="none"/>
                      <w:vertAlign w:val="baseline"/>
                      <w:lang w:val="en-US" w:eastAsia="zh-CN"/>
                    </w:rPr>
                    <w:t>10</w:t>
                  </w:r>
                  <w:r>
                    <w:rPr>
                      <w:rFonts w:hint="default" w:ascii="Times New Roman" w:hAnsi="Times New Roman" w:eastAsia="宋体" w:cs="Times New Roman"/>
                      <w:b w:val="0"/>
                      <w:bCs w:val="0"/>
                      <w:i w:val="0"/>
                      <w:iCs w:val="0"/>
                      <w:color w:val="auto"/>
                      <w:sz w:val="21"/>
                      <w:szCs w:val="21"/>
                      <w:u w:val="none"/>
                      <w:vertAlign w:val="baseline"/>
                      <w:lang w:val="en-US" w:eastAsia="zh-CN"/>
                    </w:rPr>
                    <w:t>m</w:t>
                  </w:r>
                  <w:r>
                    <w:rPr>
                      <w:rFonts w:hint="default" w:ascii="Times New Roman" w:hAnsi="Times New Roman" w:eastAsia="宋体" w:cs="Times New Roman"/>
                      <w:b w:val="0"/>
                      <w:bCs w:val="0"/>
                      <w:i w:val="0"/>
                      <w:iCs w:val="0"/>
                      <w:color w:val="auto"/>
                      <w:sz w:val="21"/>
                      <w:szCs w:val="21"/>
                      <w:u w:val="none"/>
                      <w:vertAlign w:val="superscript"/>
                      <w:lang w:val="en-US" w:eastAsia="zh-CN"/>
                    </w:rPr>
                    <w:t>2</w:t>
                  </w:r>
                  <w:r>
                    <w:rPr>
                      <w:rFonts w:hint="default" w:ascii="Times New Roman" w:hAnsi="Times New Roman" w:eastAsia="宋体" w:cs="Times New Roman"/>
                      <w:b w:val="0"/>
                      <w:bCs w:val="0"/>
                      <w:i w:val="0"/>
                      <w:iCs w:val="0"/>
                      <w:color w:val="auto"/>
                      <w:sz w:val="21"/>
                      <w:szCs w:val="21"/>
                      <w:u w:val="none"/>
                      <w:vertAlign w:val="baseline"/>
                      <w:lang w:val="en-US" w:eastAsia="zh-CN"/>
                    </w:rPr>
                    <w:t>），垃圾箱若干</w:t>
                  </w:r>
                  <w:r>
                    <w:rPr>
                      <w:rFonts w:hint="eastAsia" w:ascii="Times New Roman" w:hAnsi="Times New Roman" w:eastAsia="宋体" w:cs="Times New Roman"/>
                      <w:b w:val="0"/>
                      <w:bCs w:val="0"/>
                      <w:i w:val="0"/>
                      <w:iCs w:val="0"/>
                      <w:color w:val="auto"/>
                      <w:sz w:val="21"/>
                      <w:szCs w:val="21"/>
                      <w:u w:val="none"/>
                      <w:vertAlign w:val="baseline"/>
                      <w:lang w:val="en-US" w:eastAsia="zh-CN"/>
                    </w:rPr>
                    <w:t>。</w:t>
                  </w:r>
                </w:p>
              </w:tc>
              <w:tc>
                <w:tcPr>
                  <w:tcW w:w="1100" w:type="dxa"/>
                  <w:tcBorders>
                    <w:tl2br w:val="nil"/>
                    <w:tr2bl w:val="nil"/>
                  </w:tcBorders>
                  <w:noWrap w:val="0"/>
                  <w:vAlign w:val="center"/>
                </w:tcPr>
                <w:p w14:paraId="378CCFA6">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i w:val="0"/>
                      <w:iCs w:val="0"/>
                      <w:color w:val="auto"/>
                      <w:sz w:val="21"/>
                      <w:szCs w:val="21"/>
                      <w:u w:val="none"/>
                      <w:vertAlign w:val="baseline"/>
                      <w:lang w:val="en-US" w:eastAsia="zh-CN"/>
                    </w:rPr>
                  </w:pPr>
                  <w:r>
                    <w:rPr>
                      <w:rFonts w:hint="eastAsia" w:ascii="Times New Roman" w:hAnsi="Times New Roman" w:eastAsia="宋体" w:cs="Times New Roman"/>
                      <w:b w:val="0"/>
                      <w:bCs w:val="0"/>
                      <w:color w:val="auto"/>
                      <w:sz w:val="21"/>
                      <w:szCs w:val="21"/>
                      <w:lang w:val="en-US" w:eastAsia="zh-CN"/>
                    </w:rPr>
                    <w:t>新建</w:t>
                  </w:r>
                </w:p>
              </w:tc>
            </w:tr>
            <w:tr w14:paraId="2E15B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2" w:type="dxa"/>
                  <w:vMerge w:val="continue"/>
                  <w:tcBorders>
                    <w:tl2br w:val="nil"/>
                    <w:tr2bl w:val="nil"/>
                  </w:tcBorders>
                  <w:noWrap w:val="0"/>
                  <w:vAlign w:val="center"/>
                </w:tcPr>
                <w:p w14:paraId="1368DD08">
                  <w:pPr>
                    <w:pStyle w:val="68"/>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lang w:val="en-US" w:eastAsia="zh-CN"/>
                    </w:rPr>
                  </w:pPr>
                </w:p>
              </w:tc>
              <w:tc>
                <w:tcPr>
                  <w:tcW w:w="1286" w:type="dxa"/>
                  <w:vMerge w:val="continue"/>
                  <w:tcBorders>
                    <w:tl2br w:val="nil"/>
                    <w:tr2bl w:val="nil"/>
                  </w:tcBorders>
                  <w:noWrap w:val="0"/>
                  <w:vAlign w:val="center"/>
                </w:tcPr>
                <w:p w14:paraId="73516064">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val="en-US" w:eastAsia="zh-CN"/>
                    </w:rPr>
                  </w:pPr>
                </w:p>
              </w:tc>
              <w:tc>
                <w:tcPr>
                  <w:tcW w:w="4269" w:type="dxa"/>
                  <w:tcBorders>
                    <w:tl2br w:val="nil"/>
                    <w:tr2bl w:val="nil"/>
                  </w:tcBorders>
                  <w:noWrap w:val="0"/>
                  <w:vAlign w:val="center"/>
                </w:tcPr>
                <w:p w14:paraId="1A3C072F">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i w:val="0"/>
                      <w:iCs w:val="0"/>
                      <w:color w:val="auto"/>
                      <w:sz w:val="21"/>
                      <w:szCs w:val="21"/>
                      <w:u w:val="none"/>
                      <w:vertAlign w:val="baseline"/>
                      <w:lang w:val="en-US" w:eastAsia="zh-CN"/>
                    </w:rPr>
                  </w:pPr>
                  <w:r>
                    <w:rPr>
                      <w:rFonts w:hint="default" w:ascii="Times New Roman" w:hAnsi="Times New Roman" w:eastAsia="宋体" w:cs="Times New Roman"/>
                      <w:b w:val="0"/>
                      <w:bCs w:val="0"/>
                      <w:i w:val="0"/>
                      <w:iCs w:val="0"/>
                      <w:color w:val="auto"/>
                      <w:sz w:val="21"/>
                      <w:szCs w:val="21"/>
                      <w:u w:val="none"/>
                      <w:vertAlign w:val="baseline"/>
                      <w:lang w:val="en-US" w:eastAsia="zh-CN"/>
                    </w:rPr>
                    <w:t>危废暂存间一处（建筑面积</w:t>
                  </w:r>
                  <w:r>
                    <w:rPr>
                      <w:rFonts w:hint="eastAsia" w:cs="Times New Roman"/>
                      <w:b w:val="0"/>
                      <w:bCs w:val="0"/>
                      <w:i w:val="0"/>
                      <w:iCs w:val="0"/>
                      <w:color w:val="auto"/>
                      <w:sz w:val="21"/>
                      <w:szCs w:val="21"/>
                      <w:u w:val="none"/>
                      <w:vertAlign w:val="baseline"/>
                      <w:lang w:val="en-US" w:eastAsia="zh-CN"/>
                    </w:rPr>
                    <w:t>5</w:t>
                  </w:r>
                  <w:r>
                    <w:rPr>
                      <w:rFonts w:hint="default" w:ascii="Times New Roman" w:hAnsi="Times New Roman" w:eastAsia="宋体" w:cs="Times New Roman"/>
                      <w:b w:val="0"/>
                      <w:bCs w:val="0"/>
                      <w:i w:val="0"/>
                      <w:iCs w:val="0"/>
                      <w:color w:val="auto"/>
                      <w:sz w:val="21"/>
                      <w:szCs w:val="21"/>
                      <w:u w:val="none"/>
                      <w:vertAlign w:val="baseline"/>
                      <w:lang w:val="en-US" w:eastAsia="zh-CN"/>
                    </w:rPr>
                    <w:t>m</w:t>
                  </w:r>
                  <w:r>
                    <w:rPr>
                      <w:rFonts w:hint="default" w:ascii="Times New Roman" w:hAnsi="Times New Roman" w:eastAsia="宋体" w:cs="Times New Roman"/>
                      <w:b w:val="0"/>
                      <w:bCs w:val="0"/>
                      <w:i w:val="0"/>
                      <w:iCs w:val="0"/>
                      <w:color w:val="auto"/>
                      <w:sz w:val="21"/>
                      <w:szCs w:val="21"/>
                      <w:u w:val="none"/>
                      <w:vertAlign w:val="superscript"/>
                      <w:lang w:val="en-US" w:eastAsia="zh-CN"/>
                    </w:rPr>
                    <w:t>2</w:t>
                  </w:r>
                  <w:r>
                    <w:rPr>
                      <w:rFonts w:hint="default" w:ascii="Times New Roman" w:hAnsi="Times New Roman" w:eastAsia="宋体" w:cs="Times New Roman"/>
                      <w:b w:val="0"/>
                      <w:bCs w:val="0"/>
                      <w:i w:val="0"/>
                      <w:iCs w:val="0"/>
                      <w:color w:val="auto"/>
                      <w:sz w:val="21"/>
                      <w:szCs w:val="21"/>
                      <w:u w:val="none"/>
                      <w:vertAlign w:val="baseline"/>
                      <w:lang w:val="en-US" w:eastAsia="zh-CN"/>
                    </w:rPr>
                    <w:t>）</w:t>
                  </w:r>
                </w:p>
              </w:tc>
              <w:tc>
                <w:tcPr>
                  <w:tcW w:w="1100" w:type="dxa"/>
                  <w:tcBorders>
                    <w:tl2br w:val="nil"/>
                    <w:tr2bl w:val="nil"/>
                  </w:tcBorders>
                  <w:noWrap w:val="0"/>
                  <w:vAlign w:val="center"/>
                </w:tcPr>
                <w:p w14:paraId="609BC035">
                  <w:pPr>
                    <w:keepNext w:val="0"/>
                    <w:keepLines w:val="0"/>
                    <w:pageBreakBefore w:val="0"/>
                    <w:widowControl w:val="0"/>
                    <w:kinsoku/>
                    <w:wordWrap/>
                    <w:overflowPunct/>
                    <w:topLinePunct w:val="0"/>
                    <w:autoSpaceDE/>
                    <w:autoSpaceDN/>
                    <w:bidi w:val="0"/>
                    <w:snapToGrid w:val="0"/>
                    <w:spacing w:line="240" w:lineRule="auto"/>
                    <w:ind w:left="0" w:leftChars="0" w:right="0" w:rightChars="0" w:firstLine="0" w:firstLineChars="0"/>
                    <w:jc w:val="center"/>
                    <w:textAlignment w:val="auto"/>
                    <w:outlineLvl w:val="9"/>
                    <w:rPr>
                      <w:rFonts w:hint="default" w:ascii="Times New Roman" w:hAnsi="Times New Roman" w:eastAsia="宋体" w:cs="Times New Roman"/>
                      <w:b w:val="0"/>
                      <w:bCs w:val="0"/>
                      <w:i w:val="0"/>
                      <w:iCs w:val="0"/>
                      <w:color w:val="auto"/>
                      <w:sz w:val="21"/>
                      <w:szCs w:val="21"/>
                      <w:u w:val="none"/>
                      <w:vertAlign w:val="baseline"/>
                      <w:lang w:val="en-US" w:eastAsia="zh-CN"/>
                    </w:rPr>
                  </w:pPr>
                  <w:r>
                    <w:rPr>
                      <w:rFonts w:hint="default" w:ascii="Times New Roman" w:hAnsi="Times New Roman" w:eastAsia="宋体" w:cs="Times New Roman"/>
                      <w:b w:val="0"/>
                      <w:bCs w:val="0"/>
                      <w:color w:val="auto"/>
                      <w:sz w:val="21"/>
                      <w:szCs w:val="21"/>
                      <w:lang w:val="en-US" w:eastAsia="zh-CN"/>
                    </w:rPr>
                    <w:t>新建</w:t>
                  </w:r>
                </w:p>
              </w:tc>
            </w:tr>
          </w:tbl>
          <w:p w14:paraId="0622887E">
            <w:pPr>
              <w:keepLines w:val="0"/>
              <w:pageBreakBefore w:val="0"/>
              <w:widowControl w:val="0"/>
              <w:kinsoku/>
              <w:wordWrap/>
              <w:overflowPunct/>
              <w:topLinePunct w:val="0"/>
              <w:bidi w:val="0"/>
              <w:snapToGrid w:val="0"/>
              <w:spacing w:line="520" w:lineRule="exact"/>
              <w:ind w:left="0" w:leftChars="0" w:firstLine="482" w:firstLineChars="200"/>
              <w:textAlignment w:val="auto"/>
              <w:rPr>
                <w:rFonts w:hint="default" w:ascii="Times New Roman" w:hAnsi="Times New Roman" w:cs="Times New Roman"/>
                <w:b/>
                <w:color w:val="auto"/>
                <w:lang w:val="en-US" w:eastAsia="zh-CN"/>
              </w:rPr>
            </w:pPr>
          </w:p>
          <w:p w14:paraId="2565EAB6">
            <w:pPr>
              <w:keepLines w:val="0"/>
              <w:pageBreakBefore w:val="0"/>
              <w:widowControl w:val="0"/>
              <w:kinsoku/>
              <w:wordWrap/>
              <w:overflowPunct/>
              <w:topLinePunct w:val="0"/>
              <w:bidi w:val="0"/>
              <w:snapToGrid w:val="0"/>
              <w:spacing w:line="520" w:lineRule="exact"/>
              <w:ind w:left="0" w:leftChars="0" w:firstLine="482" w:firstLineChars="200"/>
              <w:textAlignment w:val="auto"/>
              <w:rPr>
                <w:rFonts w:hint="default" w:ascii="Times New Roman" w:hAnsi="Times New Roman" w:cs="Times New Roman"/>
                <w:b/>
                <w:color w:val="auto"/>
              </w:rPr>
            </w:pPr>
            <w:r>
              <w:rPr>
                <w:rFonts w:hint="default" w:ascii="Times New Roman" w:hAnsi="Times New Roman" w:cs="Times New Roman"/>
                <w:b/>
                <w:color w:val="auto"/>
                <w:lang w:val="en-US" w:eastAsia="zh-CN"/>
              </w:rPr>
              <w:t>4、</w:t>
            </w:r>
            <w:r>
              <w:rPr>
                <w:rFonts w:hint="default" w:ascii="Times New Roman" w:hAnsi="Times New Roman" w:cs="Times New Roman"/>
                <w:b/>
                <w:color w:val="auto"/>
              </w:rPr>
              <w:t>产品方案</w:t>
            </w:r>
          </w:p>
          <w:p w14:paraId="4A2C9EB8">
            <w:pPr>
              <w:keepLines w:val="0"/>
              <w:pageBreakBefore w:val="0"/>
              <w:widowControl w:val="0"/>
              <w:kinsoku/>
              <w:wordWrap/>
              <w:overflowPunct/>
              <w:topLinePunct w:val="0"/>
              <w:bidi w:val="0"/>
              <w:snapToGrid w:val="0"/>
              <w:spacing w:line="520" w:lineRule="exact"/>
              <w:textAlignment w:val="auto"/>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项目产品方案如下表所示。</w:t>
            </w:r>
          </w:p>
          <w:p w14:paraId="0AA266BC">
            <w:pPr>
              <w:pStyle w:val="6"/>
              <w:keepNext/>
              <w:keepLines w:val="0"/>
              <w:pageBreakBefore w:val="0"/>
              <w:widowControl w:val="0"/>
              <w:kinsoku/>
              <w:wordWrap/>
              <w:overflowPunct/>
              <w:topLinePunct w:val="0"/>
              <w:bidi w:val="0"/>
              <w:snapToGrid w:val="0"/>
              <w:spacing w:line="520" w:lineRule="exact"/>
              <w:ind w:firstLine="480"/>
              <w:jc w:val="both"/>
              <w:textAlignment w:val="auto"/>
              <w:rPr>
                <w:rFonts w:hint="default" w:ascii="Times New Roman" w:hAnsi="Times New Roman" w:eastAsia="黑体" w:cs="Times New Roman"/>
                <w:color w:val="auto"/>
                <w:sz w:val="24"/>
                <w:szCs w:val="24"/>
              </w:rPr>
            </w:pPr>
            <w:r>
              <w:rPr>
                <w:rFonts w:hint="default" w:ascii="Times New Roman" w:hAnsi="Times New Roman" w:eastAsia="黑体" w:cs="Times New Roman"/>
                <w:color w:val="auto"/>
                <w:sz w:val="24"/>
                <w:szCs w:val="24"/>
              </w:rPr>
              <w:t>表</w:t>
            </w:r>
            <w:r>
              <w:rPr>
                <w:rFonts w:hint="default" w:ascii="Times New Roman" w:hAnsi="Times New Roman" w:eastAsia="黑体" w:cs="Times New Roman"/>
                <w:color w:val="auto"/>
                <w:sz w:val="24"/>
                <w:szCs w:val="24"/>
                <w:lang w:val="en-US" w:eastAsia="zh-CN"/>
              </w:rPr>
              <w:t>2-</w:t>
            </w:r>
            <w:r>
              <w:rPr>
                <w:rFonts w:hint="eastAsia" w:ascii="Times New Roman" w:hAnsi="Times New Roman" w:cs="Times New Roman"/>
                <w:color w:val="auto"/>
                <w:sz w:val="24"/>
                <w:szCs w:val="24"/>
                <w:lang w:val="en-US" w:eastAsia="zh-CN"/>
              </w:rPr>
              <w:t>3</w:t>
            </w:r>
            <w:r>
              <w:rPr>
                <w:rFonts w:hint="default" w:ascii="Times New Roman" w:hAnsi="Times New Roman" w:eastAsia="黑体" w:cs="Times New Roman"/>
                <w:color w:val="auto"/>
                <w:sz w:val="24"/>
                <w:szCs w:val="24"/>
              </w:rPr>
              <w:t xml:space="preserve"> </w:t>
            </w:r>
            <w:r>
              <w:rPr>
                <w:rFonts w:hint="default" w:ascii="Times New Roman" w:hAnsi="Times New Roman" w:eastAsia="黑体" w:cs="Times New Roman"/>
                <w:color w:val="auto"/>
                <w:sz w:val="24"/>
                <w:szCs w:val="24"/>
                <w:lang w:val="en-US" w:eastAsia="zh-CN"/>
              </w:rPr>
              <w:t xml:space="preserve">              </w:t>
            </w:r>
            <w:r>
              <w:rPr>
                <w:rFonts w:hint="default" w:ascii="Times New Roman" w:hAnsi="Times New Roman" w:eastAsia="黑体" w:cs="Times New Roman"/>
                <w:color w:val="auto"/>
                <w:sz w:val="24"/>
                <w:szCs w:val="24"/>
              </w:rPr>
              <w:t xml:space="preserve"> 项目产品方案一览表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141"/>
              <w:gridCol w:w="1260"/>
              <w:gridCol w:w="1215"/>
              <w:gridCol w:w="3708"/>
            </w:tblGrid>
            <w:tr w14:paraId="1E3EE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3" w:type="dxa"/>
                  <w:tcBorders>
                    <w:tl2br w:val="nil"/>
                    <w:tr2bl w:val="nil"/>
                  </w:tcBorders>
                  <w:noWrap w:val="0"/>
                  <w:vAlign w:val="center"/>
                </w:tcPr>
                <w:p w14:paraId="5636E0E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序号</w:t>
                  </w:r>
                </w:p>
              </w:tc>
              <w:tc>
                <w:tcPr>
                  <w:tcW w:w="1141" w:type="dxa"/>
                  <w:tcBorders>
                    <w:tl2br w:val="nil"/>
                    <w:tr2bl w:val="nil"/>
                  </w:tcBorders>
                  <w:noWrap w:val="0"/>
                  <w:vAlign w:val="center"/>
                </w:tcPr>
                <w:p w14:paraId="24B0B0A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名称</w:t>
                  </w:r>
                </w:p>
              </w:tc>
              <w:tc>
                <w:tcPr>
                  <w:tcW w:w="1260" w:type="dxa"/>
                  <w:tcBorders>
                    <w:tl2br w:val="nil"/>
                    <w:tr2bl w:val="nil"/>
                  </w:tcBorders>
                  <w:noWrap w:val="0"/>
                  <w:vAlign w:val="center"/>
                </w:tcPr>
                <w:p w14:paraId="223FE3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bCs/>
                      <w:color w:val="auto"/>
                      <w:sz w:val="21"/>
                      <w:szCs w:val="21"/>
                      <w:lang w:eastAsia="zh-CN"/>
                    </w:rPr>
                  </w:pPr>
                  <w:r>
                    <w:rPr>
                      <w:rFonts w:hint="eastAsia" w:ascii="Times New Roman" w:hAnsi="Times New Roman" w:cs="Times New Roman"/>
                      <w:b/>
                      <w:bCs/>
                      <w:color w:val="auto"/>
                      <w:sz w:val="21"/>
                      <w:szCs w:val="21"/>
                      <w:lang w:eastAsia="zh-CN"/>
                    </w:rPr>
                    <w:t>产品方案</w:t>
                  </w:r>
                </w:p>
              </w:tc>
              <w:tc>
                <w:tcPr>
                  <w:tcW w:w="1215" w:type="dxa"/>
                  <w:tcBorders>
                    <w:tl2br w:val="nil"/>
                    <w:tr2bl w:val="nil"/>
                  </w:tcBorders>
                  <w:noWrap w:val="0"/>
                  <w:vAlign w:val="center"/>
                </w:tcPr>
                <w:p w14:paraId="77F4E4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cs="Times New Roman"/>
                      <w:b/>
                      <w:bCs/>
                      <w:color w:val="auto"/>
                      <w:sz w:val="21"/>
                      <w:szCs w:val="21"/>
                      <w:lang w:eastAsia="zh-CN"/>
                    </w:rPr>
                  </w:pPr>
                  <w:r>
                    <w:rPr>
                      <w:rFonts w:hint="eastAsia" w:cs="Times New Roman"/>
                      <w:b/>
                      <w:bCs/>
                      <w:color w:val="auto"/>
                      <w:sz w:val="21"/>
                      <w:szCs w:val="21"/>
                      <w:lang w:eastAsia="zh-CN"/>
                    </w:rPr>
                    <w:t>规格</w:t>
                  </w:r>
                </w:p>
              </w:tc>
              <w:tc>
                <w:tcPr>
                  <w:tcW w:w="3708" w:type="dxa"/>
                  <w:tcBorders>
                    <w:tl2br w:val="nil"/>
                    <w:tr2bl w:val="nil"/>
                  </w:tcBorders>
                  <w:noWrap w:val="0"/>
                  <w:vAlign w:val="center"/>
                </w:tcPr>
                <w:p w14:paraId="55BBCE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bCs/>
                      <w:color w:val="auto"/>
                      <w:sz w:val="21"/>
                      <w:szCs w:val="21"/>
                      <w:lang w:eastAsia="zh-CN"/>
                    </w:rPr>
                  </w:pPr>
                  <w:r>
                    <w:rPr>
                      <w:rFonts w:hint="eastAsia" w:cs="Times New Roman"/>
                      <w:b/>
                      <w:bCs/>
                      <w:color w:val="auto"/>
                      <w:sz w:val="21"/>
                      <w:szCs w:val="21"/>
                      <w:lang w:eastAsia="zh-CN"/>
                    </w:rPr>
                    <w:t>用途</w:t>
                  </w:r>
                </w:p>
              </w:tc>
            </w:tr>
            <w:tr w14:paraId="350BD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93" w:type="dxa"/>
                  <w:tcBorders>
                    <w:tl2br w:val="nil"/>
                    <w:tr2bl w:val="nil"/>
                  </w:tcBorders>
                  <w:noWrap w:val="0"/>
                  <w:vAlign w:val="center"/>
                </w:tcPr>
                <w:p w14:paraId="284B49E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1</w:t>
                  </w:r>
                </w:p>
              </w:tc>
              <w:tc>
                <w:tcPr>
                  <w:tcW w:w="1141" w:type="dxa"/>
                  <w:tcBorders>
                    <w:tl2br w:val="nil"/>
                    <w:tr2bl w:val="nil"/>
                  </w:tcBorders>
                  <w:noWrap w:val="0"/>
                  <w:vAlign w:val="center"/>
                </w:tcPr>
                <w:p w14:paraId="2C5F06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eastAsia="zh-CN"/>
                    </w:rPr>
                  </w:pPr>
                  <w:r>
                    <w:rPr>
                      <w:rFonts w:hint="eastAsia" w:cs="Times New Roman"/>
                      <w:color w:val="auto"/>
                      <w:sz w:val="21"/>
                      <w:szCs w:val="21"/>
                      <w:lang w:eastAsia="zh-CN"/>
                    </w:rPr>
                    <w:t>光刻机高精密框架</w:t>
                  </w:r>
                </w:p>
              </w:tc>
              <w:tc>
                <w:tcPr>
                  <w:tcW w:w="1260" w:type="dxa"/>
                  <w:tcBorders>
                    <w:tl2br w:val="nil"/>
                    <w:tr2bl w:val="nil"/>
                  </w:tcBorders>
                  <w:noWrap w:val="0"/>
                  <w:vAlign w:val="center"/>
                </w:tcPr>
                <w:p w14:paraId="69A0030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300件</w:t>
                  </w:r>
                </w:p>
              </w:tc>
              <w:tc>
                <w:tcPr>
                  <w:tcW w:w="1215" w:type="dxa"/>
                  <w:tcBorders>
                    <w:tl2br w:val="nil"/>
                    <w:tr2bl w:val="nil"/>
                  </w:tcBorders>
                  <w:noWrap w:val="0"/>
                  <w:vAlign w:val="center"/>
                </w:tcPr>
                <w:p w14:paraId="7353018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lang w:val="en-US" w:eastAsia="zh-CN"/>
                    </w:rPr>
                  </w:pPr>
                  <w:r>
                    <w:rPr>
                      <w:rFonts w:hint="eastAsia" w:cs="Times New Roman"/>
                      <w:color w:val="auto"/>
                      <w:sz w:val="21"/>
                      <w:szCs w:val="21"/>
                      <w:lang w:val="en-US" w:eastAsia="zh-CN"/>
                    </w:rPr>
                    <w:t>3t/件</w:t>
                  </w:r>
                </w:p>
              </w:tc>
              <w:tc>
                <w:tcPr>
                  <w:tcW w:w="3708" w:type="dxa"/>
                  <w:tcBorders>
                    <w:tl2br w:val="nil"/>
                    <w:tr2bl w:val="nil"/>
                  </w:tcBorders>
                  <w:noWrap w:val="0"/>
                  <w:vAlign w:val="center"/>
                </w:tcPr>
                <w:p w14:paraId="5F3F79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auto"/>
                      <w:sz w:val="21"/>
                      <w:szCs w:val="21"/>
                    </w:rPr>
                  </w:pPr>
                  <w:r>
                    <w:rPr>
                      <w:rFonts w:hint="eastAsia" w:cs="Times New Roman"/>
                      <w:color w:val="auto"/>
                      <w:sz w:val="21"/>
                      <w:szCs w:val="21"/>
                      <w:lang w:val="en-US" w:eastAsia="zh-CN"/>
                    </w:rPr>
                    <w:t>高精密框架作为光刻机整机的骨架，为整机其他子系统提供支撑和高精度安装接口，是每台光刻机上必不可少的关键零部件。以此为基础，半导体设备均需要大型高精密框架作为基础支持。</w:t>
                  </w:r>
                </w:p>
              </w:tc>
            </w:tr>
          </w:tbl>
          <w:p w14:paraId="0A0E4DF7">
            <w:pPr>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default" w:ascii="Times New Roman" w:hAnsi="Times New Roman" w:cs="Times New Roman"/>
                <w:b/>
                <w:color w:val="auto"/>
              </w:rPr>
            </w:pPr>
            <w:r>
              <w:rPr>
                <w:rFonts w:hint="default" w:ascii="Times New Roman" w:hAnsi="Times New Roman" w:cs="Times New Roman"/>
                <w:b/>
                <w:color w:val="auto"/>
                <w:lang w:val="en-US" w:eastAsia="zh-CN"/>
              </w:rPr>
              <w:t>5、</w:t>
            </w:r>
            <w:r>
              <w:rPr>
                <w:rFonts w:hint="default" w:ascii="Times New Roman" w:hAnsi="Times New Roman" w:cs="Times New Roman"/>
                <w:b/>
                <w:color w:val="auto"/>
              </w:rPr>
              <w:t>主要原辅材料及能源消耗情况</w:t>
            </w:r>
          </w:p>
          <w:p w14:paraId="357E8005">
            <w:pPr>
              <w:pStyle w:val="6"/>
              <w:keepNext/>
              <w:keepLines w:val="0"/>
              <w:pageBreakBefore w:val="0"/>
              <w:widowControl w:val="0"/>
              <w:kinsoku/>
              <w:wordWrap/>
              <w:overflowPunct/>
              <w:topLinePunct w:val="0"/>
              <w:autoSpaceDE/>
              <w:autoSpaceDN/>
              <w:bidi w:val="0"/>
              <w:adjustRightInd/>
              <w:snapToGrid/>
              <w:spacing w:line="520" w:lineRule="exact"/>
              <w:ind w:firstLine="480"/>
              <w:jc w:val="both"/>
              <w:textAlignment w:val="auto"/>
              <w:rPr>
                <w:rFonts w:hint="default" w:ascii="Times New Roman" w:hAnsi="Times New Roman" w:eastAsia="黑体" w:cs="Times New Roman"/>
                <w:color w:val="auto"/>
                <w:sz w:val="24"/>
                <w:szCs w:val="24"/>
                <w:lang w:val="en-US" w:eastAsia="zh-CN"/>
              </w:rPr>
            </w:pPr>
            <w:r>
              <w:rPr>
                <w:rFonts w:hint="default" w:ascii="Times New Roman" w:hAnsi="Times New Roman" w:eastAsia="黑体" w:cs="Times New Roman"/>
                <w:color w:val="auto"/>
                <w:sz w:val="24"/>
                <w:szCs w:val="24"/>
                <w:lang w:val="en-US" w:eastAsia="zh-CN"/>
              </w:rPr>
              <w:t>表2-</w:t>
            </w:r>
            <w:r>
              <w:rPr>
                <w:rFonts w:hint="eastAsia" w:ascii="Times New Roman" w:hAnsi="Times New Roman" w:cs="Times New Roman"/>
                <w:color w:val="auto"/>
                <w:sz w:val="24"/>
                <w:szCs w:val="24"/>
                <w:lang w:val="en-US" w:eastAsia="zh-CN"/>
              </w:rPr>
              <w:t>4</w:t>
            </w:r>
            <w:r>
              <w:rPr>
                <w:rFonts w:hint="default" w:ascii="Times New Roman" w:hAnsi="Times New Roman" w:eastAsia="黑体" w:cs="Times New Roman"/>
                <w:color w:val="auto"/>
                <w:sz w:val="24"/>
                <w:szCs w:val="24"/>
                <w:lang w:val="en-US" w:eastAsia="zh-CN"/>
              </w:rPr>
              <w:t xml:space="preserve">           项目原辅材料及能源消耗情况一览表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Layout w:type="fixed"/>
              <w:tblCellMar>
                <w:top w:w="0" w:type="dxa"/>
                <w:left w:w="108" w:type="dxa"/>
                <w:bottom w:w="0" w:type="dxa"/>
                <w:right w:w="108" w:type="dxa"/>
              </w:tblCellMar>
            </w:tblPr>
            <w:tblGrid>
              <w:gridCol w:w="1330"/>
              <w:gridCol w:w="1112"/>
              <w:gridCol w:w="1738"/>
              <w:gridCol w:w="1627"/>
              <w:gridCol w:w="2210"/>
            </w:tblGrid>
            <w:tr w14:paraId="23DF425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330" w:type="dxa"/>
                  <w:tcBorders>
                    <w:bottom w:val="single" w:color="auto" w:sz="8" w:space="0"/>
                    <w:right w:val="single" w:color="000000" w:sz="4" w:space="0"/>
                  </w:tcBorders>
                  <w:noWrap w:val="0"/>
                  <w:vAlign w:val="center"/>
                </w:tcPr>
                <w:p w14:paraId="5FE16F1B">
                  <w:pPr>
                    <w:keepNext w:val="0"/>
                    <w:keepLines w:val="0"/>
                    <w:pageBreakBefore w:val="0"/>
                    <w:kinsoku/>
                    <w:wordWrap/>
                    <w:overflowPunct/>
                    <w:topLinePunct w:val="0"/>
                    <w:autoSpaceDE/>
                    <w:autoSpaceDN/>
                    <w:bidi w:val="0"/>
                    <w:adjustRightInd/>
                    <w:spacing w:line="240" w:lineRule="auto"/>
                    <w:ind w:firstLine="0" w:firstLineChars="0"/>
                    <w:jc w:val="center"/>
                    <w:textAlignment w:val="auto"/>
                    <w:rPr>
                      <w:b/>
                      <w:color w:val="auto"/>
                      <w:kern w:val="36"/>
                      <w:sz w:val="21"/>
                      <w:szCs w:val="21"/>
                    </w:rPr>
                  </w:pPr>
                  <w:r>
                    <w:rPr>
                      <w:rFonts w:hint="eastAsia"/>
                      <w:b/>
                      <w:color w:val="auto"/>
                      <w:kern w:val="36"/>
                      <w:sz w:val="21"/>
                      <w:szCs w:val="21"/>
                    </w:rPr>
                    <w:t>序号</w:t>
                  </w:r>
                </w:p>
              </w:tc>
              <w:tc>
                <w:tcPr>
                  <w:tcW w:w="1112" w:type="dxa"/>
                  <w:tcBorders>
                    <w:left w:val="single" w:color="000000" w:sz="4" w:space="0"/>
                    <w:bottom w:val="single" w:color="auto" w:sz="8" w:space="0"/>
                    <w:right w:val="single" w:color="auto" w:sz="4" w:space="0"/>
                  </w:tcBorders>
                  <w:noWrap w:val="0"/>
                  <w:vAlign w:val="center"/>
                </w:tcPr>
                <w:p w14:paraId="0C8A2647">
                  <w:pPr>
                    <w:keepNext w:val="0"/>
                    <w:keepLines w:val="0"/>
                    <w:pageBreakBefore w:val="0"/>
                    <w:kinsoku/>
                    <w:wordWrap/>
                    <w:overflowPunct/>
                    <w:topLinePunct w:val="0"/>
                    <w:autoSpaceDE/>
                    <w:autoSpaceDN/>
                    <w:bidi w:val="0"/>
                    <w:adjustRightInd/>
                    <w:spacing w:line="240" w:lineRule="auto"/>
                    <w:ind w:firstLine="0" w:firstLineChars="0"/>
                    <w:jc w:val="center"/>
                    <w:textAlignment w:val="auto"/>
                    <w:rPr>
                      <w:b/>
                      <w:color w:val="auto"/>
                      <w:kern w:val="36"/>
                      <w:sz w:val="21"/>
                      <w:szCs w:val="21"/>
                    </w:rPr>
                  </w:pPr>
                  <w:r>
                    <w:rPr>
                      <w:rFonts w:hint="eastAsia"/>
                      <w:b/>
                      <w:color w:val="auto"/>
                      <w:kern w:val="36"/>
                      <w:sz w:val="21"/>
                      <w:szCs w:val="21"/>
                    </w:rPr>
                    <w:t>名称</w:t>
                  </w:r>
                </w:p>
              </w:tc>
              <w:tc>
                <w:tcPr>
                  <w:tcW w:w="1738" w:type="dxa"/>
                  <w:tcBorders>
                    <w:left w:val="single" w:color="auto" w:sz="4" w:space="0"/>
                    <w:bottom w:val="single" w:color="auto" w:sz="8" w:space="0"/>
                    <w:right w:val="single" w:color="000000" w:sz="4" w:space="0"/>
                  </w:tcBorders>
                  <w:noWrap w:val="0"/>
                  <w:vAlign w:val="center"/>
                </w:tcPr>
                <w:p w14:paraId="0D88F04C">
                  <w:pPr>
                    <w:keepNext w:val="0"/>
                    <w:keepLines w:val="0"/>
                    <w:pageBreakBefore w:val="0"/>
                    <w:kinsoku/>
                    <w:wordWrap/>
                    <w:overflowPunct/>
                    <w:topLinePunct w:val="0"/>
                    <w:autoSpaceDE/>
                    <w:autoSpaceDN/>
                    <w:bidi w:val="0"/>
                    <w:adjustRightInd/>
                    <w:spacing w:line="240" w:lineRule="auto"/>
                    <w:ind w:firstLine="0" w:firstLineChars="0"/>
                    <w:jc w:val="center"/>
                    <w:textAlignment w:val="auto"/>
                    <w:rPr>
                      <w:b/>
                      <w:color w:val="auto"/>
                      <w:kern w:val="36"/>
                      <w:sz w:val="21"/>
                      <w:szCs w:val="21"/>
                    </w:rPr>
                  </w:pPr>
                  <w:r>
                    <w:rPr>
                      <w:rFonts w:hint="eastAsia"/>
                      <w:b/>
                      <w:color w:val="auto"/>
                      <w:kern w:val="36"/>
                      <w:sz w:val="21"/>
                      <w:szCs w:val="21"/>
                    </w:rPr>
                    <w:t>材料名称</w:t>
                  </w:r>
                </w:p>
              </w:tc>
              <w:tc>
                <w:tcPr>
                  <w:tcW w:w="1627" w:type="dxa"/>
                  <w:tcBorders>
                    <w:left w:val="single" w:color="000000" w:sz="4" w:space="0"/>
                    <w:bottom w:val="single" w:color="auto" w:sz="8" w:space="0"/>
                    <w:right w:val="single" w:color="auto" w:sz="4" w:space="0"/>
                  </w:tcBorders>
                  <w:noWrap w:val="0"/>
                  <w:vAlign w:val="center"/>
                </w:tcPr>
                <w:p w14:paraId="3F5B9C1E">
                  <w:pPr>
                    <w:keepNext w:val="0"/>
                    <w:keepLines w:val="0"/>
                    <w:pageBreakBefore w:val="0"/>
                    <w:kinsoku/>
                    <w:wordWrap/>
                    <w:overflowPunct/>
                    <w:topLinePunct w:val="0"/>
                    <w:autoSpaceDE/>
                    <w:autoSpaceDN/>
                    <w:bidi w:val="0"/>
                    <w:adjustRightInd/>
                    <w:spacing w:line="240" w:lineRule="auto"/>
                    <w:ind w:firstLine="0" w:firstLineChars="0"/>
                    <w:jc w:val="center"/>
                    <w:textAlignment w:val="auto"/>
                    <w:rPr>
                      <w:rFonts w:hint="eastAsia"/>
                      <w:b/>
                      <w:color w:val="auto"/>
                      <w:kern w:val="36"/>
                      <w:sz w:val="21"/>
                      <w:szCs w:val="21"/>
                    </w:rPr>
                  </w:pPr>
                  <w:r>
                    <w:rPr>
                      <w:rFonts w:hint="eastAsia"/>
                      <w:b/>
                      <w:color w:val="auto"/>
                      <w:kern w:val="36"/>
                      <w:sz w:val="21"/>
                      <w:szCs w:val="21"/>
                    </w:rPr>
                    <w:t>使用量</w:t>
                  </w:r>
                </w:p>
              </w:tc>
              <w:tc>
                <w:tcPr>
                  <w:tcW w:w="2210" w:type="dxa"/>
                  <w:tcBorders>
                    <w:left w:val="single" w:color="auto" w:sz="4" w:space="0"/>
                    <w:bottom w:val="single" w:color="auto" w:sz="8" w:space="0"/>
                    <w:right w:val="single" w:color="000000" w:sz="4" w:space="0"/>
                  </w:tcBorders>
                  <w:noWrap w:val="0"/>
                  <w:vAlign w:val="center"/>
                </w:tcPr>
                <w:p w14:paraId="523DFD71">
                  <w:pPr>
                    <w:keepNext w:val="0"/>
                    <w:keepLines w:val="0"/>
                    <w:pageBreakBefore w:val="0"/>
                    <w:kinsoku/>
                    <w:wordWrap/>
                    <w:overflowPunct/>
                    <w:topLinePunct w:val="0"/>
                    <w:autoSpaceDE/>
                    <w:autoSpaceDN/>
                    <w:bidi w:val="0"/>
                    <w:adjustRightInd/>
                    <w:spacing w:line="240" w:lineRule="auto"/>
                    <w:ind w:firstLine="0" w:firstLineChars="0"/>
                    <w:jc w:val="center"/>
                    <w:textAlignment w:val="auto"/>
                    <w:rPr>
                      <w:rFonts w:hint="eastAsia" w:eastAsia="宋体"/>
                      <w:b/>
                      <w:color w:val="auto"/>
                      <w:kern w:val="36"/>
                      <w:sz w:val="21"/>
                      <w:szCs w:val="21"/>
                      <w:lang w:eastAsia="zh-CN"/>
                    </w:rPr>
                  </w:pPr>
                  <w:r>
                    <w:rPr>
                      <w:rFonts w:hint="eastAsia"/>
                      <w:b/>
                      <w:color w:val="auto"/>
                      <w:kern w:val="36"/>
                      <w:sz w:val="21"/>
                      <w:szCs w:val="21"/>
                      <w:lang w:eastAsia="zh-CN"/>
                    </w:rPr>
                    <w:t>备注</w:t>
                  </w:r>
                </w:p>
              </w:tc>
            </w:tr>
            <w:tr w14:paraId="4D89F329">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330" w:type="dxa"/>
                  <w:tcBorders>
                    <w:top w:val="single" w:color="auto" w:sz="8" w:space="0"/>
                    <w:bottom w:val="single" w:color="000000" w:sz="4" w:space="0"/>
                    <w:right w:val="single" w:color="000000" w:sz="4" w:space="0"/>
                  </w:tcBorders>
                  <w:noWrap w:val="0"/>
                  <w:vAlign w:val="center"/>
                </w:tcPr>
                <w:p w14:paraId="6F5487AB">
                  <w:pPr>
                    <w:keepNext w:val="0"/>
                    <w:keepLines w:val="0"/>
                    <w:pageBreakBefore w:val="0"/>
                    <w:kinsoku/>
                    <w:wordWrap/>
                    <w:overflowPunct/>
                    <w:topLinePunct w:val="0"/>
                    <w:autoSpaceDE/>
                    <w:autoSpaceDN/>
                    <w:bidi w:val="0"/>
                    <w:adjustRightInd/>
                    <w:spacing w:line="240" w:lineRule="auto"/>
                    <w:ind w:firstLine="0" w:firstLineChars="0"/>
                    <w:jc w:val="center"/>
                    <w:textAlignment w:val="auto"/>
                    <w:rPr>
                      <w:color w:val="auto"/>
                      <w:kern w:val="36"/>
                      <w:sz w:val="21"/>
                      <w:szCs w:val="21"/>
                    </w:rPr>
                  </w:pPr>
                  <w:r>
                    <w:rPr>
                      <w:color w:val="auto"/>
                      <w:kern w:val="36"/>
                      <w:sz w:val="21"/>
                      <w:szCs w:val="21"/>
                    </w:rPr>
                    <w:t>1</w:t>
                  </w:r>
                </w:p>
              </w:tc>
              <w:tc>
                <w:tcPr>
                  <w:tcW w:w="1112" w:type="dxa"/>
                  <w:vMerge w:val="restart"/>
                  <w:tcBorders>
                    <w:top w:val="single" w:color="auto" w:sz="8" w:space="0"/>
                    <w:left w:val="single" w:color="000000" w:sz="4" w:space="0"/>
                    <w:right w:val="single" w:color="auto" w:sz="4" w:space="0"/>
                  </w:tcBorders>
                  <w:noWrap w:val="0"/>
                  <w:vAlign w:val="center"/>
                </w:tcPr>
                <w:p w14:paraId="24C8A3A2">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color w:val="auto"/>
                      <w:sz w:val="21"/>
                      <w:szCs w:val="21"/>
                    </w:rPr>
                  </w:pPr>
                  <w:r>
                    <w:rPr>
                      <w:rFonts w:hint="eastAsia"/>
                      <w:color w:val="auto"/>
                      <w:sz w:val="21"/>
                      <w:szCs w:val="21"/>
                    </w:rPr>
                    <w:t>原料</w:t>
                  </w:r>
                </w:p>
              </w:tc>
              <w:tc>
                <w:tcPr>
                  <w:tcW w:w="1738" w:type="dxa"/>
                  <w:tcBorders>
                    <w:top w:val="single" w:color="auto" w:sz="8" w:space="0"/>
                    <w:left w:val="single" w:color="auto" w:sz="4" w:space="0"/>
                    <w:bottom w:val="single" w:color="000000" w:sz="4" w:space="0"/>
                    <w:right w:val="single" w:color="000000" w:sz="4" w:space="0"/>
                  </w:tcBorders>
                  <w:noWrap w:val="0"/>
                  <w:vAlign w:val="center"/>
                </w:tcPr>
                <w:p w14:paraId="7B270934">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rFonts w:hint="eastAsia" w:eastAsia="宋体"/>
                      <w:color w:val="auto"/>
                      <w:sz w:val="21"/>
                      <w:szCs w:val="21"/>
                      <w:lang w:eastAsia="zh-CN"/>
                    </w:rPr>
                  </w:pPr>
                  <w:r>
                    <w:rPr>
                      <w:rFonts w:hint="eastAsia"/>
                      <w:color w:val="auto"/>
                      <w:sz w:val="21"/>
                      <w:szCs w:val="21"/>
                      <w:lang w:eastAsia="zh-CN"/>
                    </w:rPr>
                    <w:t>碳钢板</w:t>
                  </w:r>
                </w:p>
              </w:tc>
              <w:tc>
                <w:tcPr>
                  <w:tcW w:w="1627" w:type="dxa"/>
                  <w:tcBorders>
                    <w:top w:val="single" w:color="auto" w:sz="8" w:space="0"/>
                    <w:left w:val="single" w:color="000000" w:sz="4" w:space="0"/>
                    <w:bottom w:val="single" w:color="000000" w:sz="4" w:space="0"/>
                    <w:right w:val="single" w:color="auto" w:sz="4" w:space="0"/>
                  </w:tcBorders>
                  <w:noWrap w:val="0"/>
                  <w:vAlign w:val="center"/>
                </w:tcPr>
                <w:p w14:paraId="12B2013E">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rFonts w:hint="default"/>
                      <w:color w:val="auto"/>
                      <w:sz w:val="21"/>
                      <w:szCs w:val="21"/>
                      <w:lang w:val="en-US"/>
                    </w:rPr>
                  </w:pPr>
                  <w:r>
                    <w:rPr>
                      <w:rFonts w:hint="eastAsia"/>
                      <w:color w:val="auto"/>
                      <w:sz w:val="21"/>
                      <w:szCs w:val="21"/>
                      <w:highlight w:val="none"/>
                      <w:shd w:val="clear" w:color="auto" w:fill="auto"/>
                      <w:lang w:val="en-US" w:eastAsia="zh-CN"/>
                    </w:rPr>
                    <w:t>182t/a</w:t>
                  </w:r>
                </w:p>
              </w:tc>
              <w:tc>
                <w:tcPr>
                  <w:tcW w:w="2210" w:type="dxa"/>
                  <w:tcBorders>
                    <w:top w:val="single" w:color="auto" w:sz="8" w:space="0"/>
                    <w:left w:val="single" w:color="auto" w:sz="4" w:space="0"/>
                    <w:bottom w:val="single" w:color="000000" w:sz="4" w:space="0"/>
                    <w:right w:val="single" w:color="000000" w:sz="4" w:space="0"/>
                  </w:tcBorders>
                  <w:noWrap w:val="0"/>
                  <w:vAlign w:val="center"/>
                </w:tcPr>
                <w:p w14:paraId="69861DE0">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rFonts w:hint="eastAsia" w:eastAsia="宋体"/>
                      <w:color w:val="auto"/>
                      <w:sz w:val="21"/>
                      <w:szCs w:val="21"/>
                      <w:lang w:eastAsia="zh-CN"/>
                    </w:rPr>
                  </w:pPr>
                  <w:r>
                    <w:rPr>
                      <w:rFonts w:hint="eastAsia"/>
                      <w:color w:val="auto"/>
                      <w:sz w:val="21"/>
                      <w:szCs w:val="21"/>
                      <w:lang w:eastAsia="zh-CN"/>
                    </w:rPr>
                    <w:t>外购</w:t>
                  </w:r>
                </w:p>
              </w:tc>
            </w:tr>
            <w:tr w14:paraId="4D1E6B1D">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330" w:type="dxa"/>
                  <w:tcBorders>
                    <w:top w:val="single" w:color="auto" w:sz="4" w:space="0"/>
                    <w:bottom w:val="single" w:color="000000" w:sz="4" w:space="0"/>
                    <w:right w:val="single" w:color="000000" w:sz="4" w:space="0"/>
                  </w:tcBorders>
                  <w:noWrap w:val="0"/>
                  <w:vAlign w:val="center"/>
                </w:tcPr>
                <w:p w14:paraId="4CD6DB02">
                  <w:pPr>
                    <w:keepNext w:val="0"/>
                    <w:keepLines w:val="0"/>
                    <w:pageBreakBefore w:val="0"/>
                    <w:kinsoku/>
                    <w:wordWrap/>
                    <w:overflowPunct/>
                    <w:topLinePunct w:val="0"/>
                    <w:autoSpaceDE/>
                    <w:autoSpaceDN/>
                    <w:bidi w:val="0"/>
                    <w:adjustRightInd/>
                    <w:spacing w:line="240" w:lineRule="auto"/>
                    <w:ind w:firstLine="0" w:firstLineChars="0"/>
                    <w:jc w:val="center"/>
                    <w:textAlignment w:val="auto"/>
                    <w:rPr>
                      <w:color w:val="auto"/>
                      <w:kern w:val="36"/>
                      <w:sz w:val="21"/>
                      <w:szCs w:val="21"/>
                    </w:rPr>
                  </w:pPr>
                  <w:r>
                    <w:rPr>
                      <w:color w:val="auto"/>
                      <w:kern w:val="36"/>
                      <w:sz w:val="21"/>
                      <w:szCs w:val="21"/>
                    </w:rPr>
                    <w:t>2</w:t>
                  </w:r>
                </w:p>
              </w:tc>
              <w:tc>
                <w:tcPr>
                  <w:tcW w:w="1112" w:type="dxa"/>
                  <w:vMerge w:val="continue"/>
                  <w:tcBorders>
                    <w:left w:val="single" w:color="000000" w:sz="4" w:space="0"/>
                    <w:right w:val="single" w:color="auto" w:sz="4" w:space="0"/>
                  </w:tcBorders>
                  <w:noWrap w:val="0"/>
                  <w:vAlign w:val="center"/>
                </w:tcPr>
                <w:p w14:paraId="6C79EEE3">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color w:val="auto"/>
                      <w:sz w:val="21"/>
                      <w:szCs w:val="21"/>
                    </w:rPr>
                  </w:pPr>
                </w:p>
              </w:tc>
              <w:tc>
                <w:tcPr>
                  <w:tcW w:w="1738" w:type="dxa"/>
                  <w:tcBorders>
                    <w:top w:val="single" w:color="000000" w:sz="4" w:space="0"/>
                    <w:left w:val="single" w:color="auto" w:sz="4" w:space="0"/>
                    <w:bottom w:val="single" w:color="000000" w:sz="4" w:space="0"/>
                    <w:right w:val="single" w:color="000000" w:sz="4" w:space="0"/>
                  </w:tcBorders>
                  <w:noWrap w:val="0"/>
                  <w:vAlign w:val="center"/>
                </w:tcPr>
                <w:p w14:paraId="17421D83">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rFonts w:hint="eastAsia" w:eastAsia="宋体"/>
                      <w:color w:val="auto"/>
                      <w:sz w:val="21"/>
                      <w:szCs w:val="21"/>
                      <w:lang w:eastAsia="zh-CN"/>
                    </w:rPr>
                  </w:pPr>
                  <w:r>
                    <w:rPr>
                      <w:rFonts w:hint="eastAsia"/>
                      <w:color w:val="auto"/>
                      <w:sz w:val="21"/>
                      <w:szCs w:val="21"/>
                      <w:lang w:eastAsia="zh-CN"/>
                    </w:rPr>
                    <w:t>不锈钢板</w:t>
                  </w:r>
                </w:p>
              </w:tc>
              <w:tc>
                <w:tcPr>
                  <w:tcW w:w="1627" w:type="dxa"/>
                  <w:tcBorders>
                    <w:top w:val="single" w:color="000000" w:sz="4" w:space="0"/>
                    <w:left w:val="single" w:color="000000" w:sz="4" w:space="0"/>
                    <w:bottom w:val="single" w:color="000000" w:sz="4" w:space="0"/>
                    <w:right w:val="single" w:color="auto" w:sz="4" w:space="0"/>
                  </w:tcBorders>
                  <w:noWrap w:val="0"/>
                  <w:vAlign w:val="center"/>
                </w:tcPr>
                <w:p w14:paraId="0C83A9AB">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color w:val="auto"/>
                      <w:sz w:val="21"/>
                      <w:szCs w:val="21"/>
                    </w:rPr>
                  </w:pPr>
                  <w:r>
                    <w:rPr>
                      <w:rFonts w:hint="eastAsia"/>
                      <w:color w:val="auto"/>
                      <w:sz w:val="21"/>
                      <w:szCs w:val="21"/>
                      <w:lang w:val="en-US" w:eastAsia="zh-CN"/>
                    </w:rPr>
                    <w:t>136.5</w:t>
                  </w:r>
                  <w:r>
                    <w:rPr>
                      <w:rFonts w:hint="eastAsia"/>
                      <w:color w:val="auto"/>
                      <w:sz w:val="21"/>
                      <w:szCs w:val="21"/>
                    </w:rPr>
                    <w:t>t/a</w:t>
                  </w:r>
                </w:p>
              </w:tc>
              <w:tc>
                <w:tcPr>
                  <w:tcW w:w="2210" w:type="dxa"/>
                  <w:tcBorders>
                    <w:top w:val="single" w:color="000000" w:sz="4" w:space="0"/>
                    <w:left w:val="single" w:color="auto" w:sz="4" w:space="0"/>
                    <w:bottom w:val="single" w:color="000000" w:sz="4" w:space="0"/>
                    <w:right w:val="single" w:color="000000" w:sz="4" w:space="0"/>
                  </w:tcBorders>
                  <w:noWrap w:val="0"/>
                  <w:vAlign w:val="center"/>
                </w:tcPr>
                <w:p w14:paraId="11B6D11B">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rFonts w:hint="eastAsia" w:eastAsia="宋体"/>
                      <w:color w:val="auto"/>
                      <w:sz w:val="21"/>
                      <w:szCs w:val="21"/>
                      <w:lang w:eastAsia="zh-CN"/>
                    </w:rPr>
                  </w:pPr>
                  <w:r>
                    <w:rPr>
                      <w:rFonts w:hint="eastAsia"/>
                      <w:color w:val="auto"/>
                      <w:sz w:val="21"/>
                      <w:szCs w:val="21"/>
                      <w:lang w:eastAsia="zh-CN"/>
                    </w:rPr>
                    <w:t>外购</w:t>
                  </w:r>
                </w:p>
              </w:tc>
            </w:tr>
            <w:tr w14:paraId="3A72D181">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330" w:type="dxa"/>
                  <w:tcBorders>
                    <w:top w:val="single" w:color="auto" w:sz="4" w:space="0"/>
                    <w:bottom w:val="single" w:color="auto" w:sz="4" w:space="0"/>
                    <w:right w:val="single" w:color="000000" w:sz="4" w:space="0"/>
                  </w:tcBorders>
                  <w:noWrap w:val="0"/>
                  <w:vAlign w:val="center"/>
                </w:tcPr>
                <w:p w14:paraId="5129CF95">
                  <w:pPr>
                    <w:keepNext w:val="0"/>
                    <w:keepLines w:val="0"/>
                    <w:pageBreakBefore w:val="0"/>
                    <w:kinsoku/>
                    <w:wordWrap/>
                    <w:overflowPunct/>
                    <w:topLinePunct w:val="0"/>
                    <w:autoSpaceDE/>
                    <w:autoSpaceDN/>
                    <w:bidi w:val="0"/>
                    <w:adjustRightInd/>
                    <w:spacing w:line="240" w:lineRule="auto"/>
                    <w:ind w:firstLine="0" w:firstLineChars="0"/>
                    <w:jc w:val="center"/>
                    <w:textAlignment w:val="auto"/>
                    <w:rPr>
                      <w:color w:val="auto"/>
                      <w:kern w:val="36"/>
                      <w:sz w:val="21"/>
                      <w:szCs w:val="21"/>
                    </w:rPr>
                  </w:pPr>
                  <w:r>
                    <w:rPr>
                      <w:color w:val="auto"/>
                      <w:kern w:val="36"/>
                      <w:sz w:val="21"/>
                      <w:szCs w:val="21"/>
                    </w:rPr>
                    <w:t>3</w:t>
                  </w:r>
                </w:p>
              </w:tc>
              <w:tc>
                <w:tcPr>
                  <w:tcW w:w="1112" w:type="dxa"/>
                  <w:vMerge w:val="continue"/>
                  <w:tcBorders>
                    <w:left w:val="single" w:color="000000" w:sz="4" w:space="0"/>
                    <w:right w:val="single" w:color="auto" w:sz="4" w:space="0"/>
                  </w:tcBorders>
                  <w:noWrap w:val="0"/>
                  <w:vAlign w:val="center"/>
                </w:tcPr>
                <w:p w14:paraId="292AEAA9">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color w:val="auto"/>
                      <w:sz w:val="21"/>
                      <w:szCs w:val="21"/>
                    </w:rPr>
                  </w:pPr>
                </w:p>
              </w:tc>
              <w:tc>
                <w:tcPr>
                  <w:tcW w:w="1738" w:type="dxa"/>
                  <w:tcBorders>
                    <w:top w:val="single" w:color="000000" w:sz="4" w:space="0"/>
                    <w:left w:val="single" w:color="auto" w:sz="4" w:space="0"/>
                    <w:bottom w:val="single" w:color="000000" w:sz="4" w:space="0"/>
                    <w:right w:val="single" w:color="000000" w:sz="4" w:space="0"/>
                  </w:tcBorders>
                  <w:noWrap w:val="0"/>
                  <w:vAlign w:val="center"/>
                </w:tcPr>
                <w:p w14:paraId="1CDADC7F">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rFonts w:hint="eastAsia" w:eastAsia="宋体"/>
                      <w:color w:val="auto"/>
                      <w:sz w:val="21"/>
                      <w:szCs w:val="21"/>
                      <w:lang w:eastAsia="zh-CN"/>
                    </w:rPr>
                  </w:pPr>
                  <w:r>
                    <w:rPr>
                      <w:rFonts w:hint="eastAsia"/>
                      <w:color w:val="auto"/>
                      <w:sz w:val="21"/>
                      <w:szCs w:val="21"/>
                      <w:lang w:eastAsia="zh-CN"/>
                    </w:rPr>
                    <w:t>焊接毛坯</w:t>
                  </w:r>
                </w:p>
              </w:tc>
              <w:tc>
                <w:tcPr>
                  <w:tcW w:w="1627" w:type="dxa"/>
                  <w:tcBorders>
                    <w:top w:val="single" w:color="000000" w:sz="4" w:space="0"/>
                    <w:left w:val="single" w:color="000000" w:sz="4" w:space="0"/>
                    <w:bottom w:val="single" w:color="000000" w:sz="4" w:space="0"/>
                    <w:right w:val="single" w:color="auto" w:sz="4" w:space="0"/>
                  </w:tcBorders>
                  <w:noWrap w:val="0"/>
                  <w:vAlign w:val="center"/>
                </w:tcPr>
                <w:p w14:paraId="11D23121">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color w:val="auto"/>
                      <w:sz w:val="21"/>
                      <w:szCs w:val="21"/>
                    </w:rPr>
                  </w:pPr>
                  <w:r>
                    <w:rPr>
                      <w:rFonts w:hint="eastAsia"/>
                      <w:color w:val="auto"/>
                      <w:sz w:val="21"/>
                      <w:szCs w:val="21"/>
                      <w:lang w:val="en-US" w:eastAsia="zh-CN"/>
                    </w:rPr>
                    <w:t>591.5</w:t>
                  </w:r>
                  <w:r>
                    <w:rPr>
                      <w:rFonts w:hint="eastAsia"/>
                      <w:color w:val="auto"/>
                      <w:sz w:val="21"/>
                      <w:szCs w:val="21"/>
                    </w:rPr>
                    <w:t>t/a</w:t>
                  </w:r>
                </w:p>
              </w:tc>
              <w:tc>
                <w:tcPr>
                  <w:tcW w:w="2210" w:type="dxa"/>
                  <w:tcBorders>
                    <w:top w:val="single" w:color="000000" w:sz="4" w:space="0"/>
                    <w:left w:val="single" w:color="auto" w:sz="4" w:space="0"/>
                    <w:bottom w:val="single" w:color="000000" w:sz="4" w:space="0"/>
                    <w:right w:val="single" w:color="000000" w:sz="4" w:space="0"/>
                  </w:tcBorders>
                  <w:noWrap w:val="0"/>
                  <w:vAlign w:val="center"/>
                </w:tcPr>
                <w:p w14:paraId="70B6C1CD">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rFonts w:hint="eastAsia" w:eastAsia="宋体"/>
                      <w:color w:val="auto"/>
                      <w:sz w:val="21"/>
                      <w:szCs w:val="21"/>
                      <w:lang w:eastAsia="zh-CN"/>
                    </w:rPr>
                  </w:pPr>
                  <w:r>
                    <w:rPr>
                      <w:rFonts w:hint="eastAsia"/>
                      <w:color w:val="auto"/>
                      <w:sz w:val="21"/>
                      <w:szCs w:val="21"/>
                      <w:lang w:eastAsia="zh-CN"/>
                    </w:rPr>
                    <w:t>外购</w:t>
                  </w:r>
                </w:p>
              </w:tc>
            </w:tr>
            <w:tr w14:paraId="526509C3">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330" w:type="dxa"/>
                  <w:vMerge w:val="restart"/>
                  <w:tcBorders>
                    <w:top w:val="single" w:color="auto" w:sz="4" w:space="0"/>
                    <w:right w:val="single" w:color="000000" w:sz="4" w:space="0"/>
                  </w:tcBorders>
                  <w:noWrap w:val="0"/>
                  <w:vAlign w:val="center"/>
                </w:tcPr>
                <w:p w14:paraId="2A3E15E8">
                  <w:pPr>
                    <w:keepNext w:val="0"/>
                    <w:keepLines w:val="0"/>
                    <w:pageBreakBefore w:val="0"/>
                    <w:kinsoku/>
                    <w:wordWrap/>
                    <w:overflowPunct/>
                    <w:topLinePunct w:val="0"/>
                    <w:autoSpaceDE/>
                    <w:autoSpaceDN/>
                    <w:bidi w:val="0"/>
                    <w:adjustRightInd/>
                    <w:spacing w:line="240" w:lineRule="auto"/>
                    <w:ind w:firstLine="0" w:firstLineChars="0"/>
                    <w:jc w:val="center"/>
                    <w:textAlignment w:val="auto"/>
                    <w:rPr>
                      <w:rFonts w:hint="eastAsia" w:eastAsia="宋体"/>
                      <w:color w:val="auto"/>
                      <w:kern w:val="36"/>
                      <w:sz w:val="21"/>
                      <w:szCs w:val="21"/>
                      <w:lang w:val="en-US" w:eastAsia="zh-CN"/>
                    </w:rPr>
                  </w:pPr>
                  <w:r>
                    <w:rPr>
                      <w:rFonts w:hint="eastAsia"/>
                      <w:color w:val="auto"/>
                      <w:kern w:val="36"/>
                      <w:sz w:val="21"/>
                      <w:szCs w:val="21"/>
                      <w:lang w:val="en-US" w:eastAsia="zh-CN"/>
                    </w:rPr>
                    <w:t>4</w:t>
                  </w:r>
                </w:p>
              </w:tc>
              <w:tc>
                <w:tcPr>
                  <w:tcW w:w="1112" w:type="dxa"/>
                  <w:vMerge w:val="restart"/>
                  <w:tcBorders>
                    <w:left w:val="single" w:color="000000" w:sz="4" w:space="0"/>
                    <w:right w:val="single" w:color="auto" w:sz="4" w:space="0"/>
                  </w:tcBorders>
                  <w:noWrap w:val="0"/>
                  <w:vAlign w:val="center"/>
                </w:tcPr>
                <w:p w14:paraId="0CB70A45">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eastAsia="宋体"/>
                      <w:color w:val="auto"/>
                      <w:sz w:val="21"/>
                      <w:szCs w:val="21"/>
                      <w:lang w:eastAsia="zh-CN"/>
                    </w:rPr>
                  </w:pPr>
                  <w:r>
                    <w:rPr>
                      <w:rFonts w:hint="eastAsia"/>
                      <w:color w:val="auto"/>
                      <w:sz w:val="21"/>
                      <w:szCs w:val="21"/>
                      <w:lang w:eastAsia="zh-CN"/>
                    </w:rPr>
                    <w:t>辅料</w:t>
                  </w:r>
                </w:p>
              </w:tc>
              <w:tc>
                <w:tcPr>
                  <w:tcW w:w="1738" w:type="dxa"/>
                  <w:tcBorders>
                    <w:top w:val="single" w:color="000000" w:sz="4" w:space="0"/>
                    <w:left w:val="single" w:color="auto" w:sz="4" w:space="0"/>
                    <w:bottom w:val="single" w:color="000000" w:sz="4" w:space="0"/>
                    <w:right w:val="single" w:color="000000" w:sz="4" w:space="0"/>
                  </w:tcBorders>
                  <w:noWrap w:val="0"/>
                  <w:vAlign w:val="center"/>
                </w:tcPr>
                <w:p w14:paraId="2730F4BF">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rFonts w:hint="eastAsia"/>
                      <w:color w:val="auto"/>
                      <w:sz w:val="21"/>
                      <w:szCs w:val="21"/>
                      <w:lang w:eastAsia="zh-CN"/>
                    </w:rPr>
                  </w:pPr>
                  <w:r>
                    <w:rPr>
                      <w:rFonts w:hint="eastAsia"/>
                      <w:color w:val="auto"/>
                      <w:sz w:val="21"/>
                      <w:szCs w:val="21"/>
                      <w:lang w:eastAsia="zh-CN"/>
                    </w:rPr>
                    <w:t>包装膜</w:t>
                  </w:r>
                </w:p>
              </w:tc>
              <w:tc>
                <w:tcPr>
                  <w:tcW w:w="1627" w:type="dxa"/>
                  <w:tcBorders>
                    <w:top w:val="single" w:color="000000" w:sz="4" w:space="0"/>
                    <w:left w:val="single" w:color="000000" w:sz="4" w:space="0"/>
                    <w:bottom w:val="single" w:color="000000" w:sz="4" w:space="0"/>
                    <w:right w:val="single" w:color="auto" w:sz="4" w:space="0"/>
                  </w:tcBorders>
                  <w:noWrap w:val="0"/>
                  <w:vAlign w:val="center"/>
                </w:tcPr>
                <w:p w14:paraId="31654615">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rFonts w:hint="default"/>
                      <w:color w:val="auto"/>
                      <w:sz w:val="21"/>
                      <w:szCs w:val="21"/>
                      <w:lang w:val="en-US" w:eastAsia="zh-CN"/>
                    </w:rPr>
                  </w:pPr>
                  <w:r>
                    <w:rPr>
                      <w:rFonts w:hint="eastAsia"/>
                      <w:color w:val="auto"/>
                      <w:sz w:val="21"/>
                      <w:szCs w:val="21"/>
                      <w:lang w:val="en-US" w:eastAsia="zh-CN"/>
                    </w:rPr>
                    <w:t>0.1t/a</w:t>
                  </w:r>
                </w:p>
              </w:tc>
              <w:tc>
                <w:tcPr>
                  <w:tcW w:w="2210" w:type="dxa"/>
                  <w:tcBorders>
                    <w:top w:val="single" w:color="000000" w:sz="4" w:space="0"/>
                    <w:left w:val="single" w:color="auto" w:sz="4" w:space="0"/>
                    <w:bottom w:val="single" w:color="000000" w:sz="4" w:space="0"/>
                    <w:right w:val="single" w:color="000000" w:sz="4" w:space="0"/>
                  </w:tcBorders>
                  <w:noWrap w:val="0"/>
                  <w:vAlign w:val="center"/>
                </w:tcPr>
                <w:p w14:paraId="002A36F3">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rFonts w:hint="eastAsia"/>
                      <w:color w:val="auto"/>
                      <w:sz w:val="21"/>
                      <w:szCs w:val="21"/>
                      <w:lang w:eastAsia="zh-CN"/>
                    </w:rPr>
                  </w:pPr>
                  <w:r>
                    <w:rPr>
                      <w:rFonts w:hint="eastAsia"/>
                      <w:color w:val="auto"/>
                      <w:sz w:val="21"/>
                      <w:szCs w:val="21"/>
                      <w:lang w:eastAsia="zh-CN"/>
                    </w:rPr>
                    <w:t>外购</w:t>
                  </w:r>
                </w:p>
              </w:tc>
            </w:tr>
            <w:tr w14:paraId="4D93ECE6">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330" w:type="dxa"/>
                  <w:vMerge w:val="continue"/>
                  <w:tcBorders>
                    <w:bottom w:val="single" w:color="auto" w:sz="4" w:space="0"/>
                    <w:right w:val="single" w:color="000000" w:sz="4" w:space="0"/>
                  </w:tcBorders>
                  <w:noWrap w:val="0"/>
                  <w:vAlign w:val="center"/>
                </w:tcPr>
                <w:p w14:paraId="253AB9A7">
                  <w:pPr>
                    <w:keepNext w:val="0"/>
                    <w:keepLines w:val="0"/>
                    <w:pageBreakBefore w:val="0"/>
                    <w:kinsoku/>
                    <w:wordWrap/>
                    <w:overflowPunct/>
                    <w:topLinePunct w:val="0"/>
                    <w:autoSpaceDE/>
                    <w:autoSpaceDN/>
                    <w:bidi w:val="0"/>
                    <w:adjustRightInd/>
                    <w:spacing w:line="240" w:lineRule="auto"/>
                    <w:ind w:firstLine="0" w:firstLineChars="0"/>
                    <w:jc w:val="center"/>
                    <w:textAlignment w:val="auto"/>
                    <w:rPr>
                      <w:rFonts w:hint="eastAsia"/>
                      <w:color w:val="auto"/>
                      <w:kern w:val="36"/>
                      <w:sz w:val="21"/>
                      <w:szCs w:val="21"/>
                      <w:lang w:val="en-US" w:eastAsia="zh-CN"/>
                    </w:rPr>
                  </w:pPr>
                </w:p>
              </w:tc>
              <w:tc>
                <w:tcPr>
                  <w:tcW w:w="1112" w:type="dxa"/>
                  <w:vMerge w:val="continue"/>
                  <w:tcBorders>
                    <w:left w:val="single" w:color="000000" w:sz="4" w:space="0"/>
                    <w:right w:val="single" w:color="auto" w:sz="4" w:space="0"/>
                  </w:tcBorders>
                  <w:noWrap w:val="0"/>
                  <w:vAlign w:val="center"/>
                </w:tcPr>
                <w:p w14:paraId="095F2A65">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color w:val="auto"/>
                      <w:sz w:val="21"/>
                      <w:szCs w:val="21"/>
                      <w:lang w:eastAsia="zh-CN"/>
                    </w:rPr>
                  </w:pPr>
                </w:p>
              </w:tc>
              <w:tc>
                <w:tcPr>
                  <w:tcW w:w="1738" w:type="dxa"/>
                  <w:tcBorders>
                    <w:top w:val="single" w:color="000000" w:sz="4" w:space="0"/>
                    <w:left w:val="single" w:color="auto" w:sz="4" w:space="0"/>
                    <w:bottom w:val="single" w:color="000000" w:sz="4" w:space="0"/>
                    <w:right w:val="single" w:color="000000" w:sz="4" w:space="0"/>
                  </w:tcBorders>
                  <w:noWrap w:val="0"/>
                  <w:vAlign w:val="center"/>
                </w:tcPr>
                <w:p w14:paraId="470E71EE">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rFonts w:hint="eastAsia"/>
                      <w:color w:val="auto"/>
                      <w:sz w:val="21"/>
                      <w:szCs w:val="21"/>
                      <w:lang w:eastAsia="zh-CN"/>
                    </w:rPr>
                  </w:pPr>
                  <w:r>
                    <w:rPr>
                      <w:rFonts w:hint="eastAsia"/>
                      <w:color w:val="auto"/>
                      <w:sz w:val="21"/>
                      <w:szCs w:val="21"/>
                      <w:lang w:eastAsia="zh-CN"/>
                    </w:rPr>
                    <w:t>切削液</w:t>
                  </w:r>
                </w:p>
              </w:tc>
              <w:tc>
                <w:tcPr>
                  <w:tcW w:w="1627" w:type="dxa"/>
                  <w:tcBorders>
                    <w:top w:val="single" w:color="000000" w:sz="4" w:space="0"/>
                    <w:left w:val="single" w:color="000000" w:sz="4" w:space="0"/>
                    <w:bottom w:val="single" w:color="000000" w:sz="4" w:space="0"/>
                    <w:right w:val="single" w:color="auto" w:sz="4" w:space="0"/>
                  </w:tcBorders>
                  <w:noWrap w:val="0"/>
                  <w:vAlign w:val="center"/>
                </w:tcPr>
                <w:p w14:paraId="042E115D">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rFonts w:hint="default"/>
                      <w:color w:val="auto"/>
                      <w:sz w:val="21"/>
                      <w:szCs w:val="21"/>
                      <w:lang w:val="en-US" w:eastAsia="zh-CN"/>
                    </w:rPr>
                  </w:pPr>
                  <w:r>
                    <w:rPr>
                      <w:rFonts w:hint="eastAsia"/>
                      <w:color w:val="auto"/>
                      <w:sz w:val="21"/>
                      <w:szCs w:val="21"/>
                      <w:lang w:val="en-US" w:eastAsia="zh-CN"/>
                    </w:rPr>
                    <w:t>0.07t/a</w:t>
                  </w:r>
                </w:p>
              </w:tc>
              <w:tc>
                <w:tcPr>
                  <w:tcW w:w="2210" w:type="dxa"/>
                  <w:tcBorders>
                    <w:top w:val="single" w:color="000000" w:sz="4" w:space="0"/>
                    <w:left w:val="single" w:color="auto" w:sz="4" w:space="0"/>
                    <w:bottom w:val="single" w:color="000000" w:sz="4" w:space="0"/>
                    <w:right w:val="single" w:color="000000" w:sz="4" w:space="0"/>
                  </w:tcBorders>
                  <w:noWrap w:val="0"/>
                  <w:vAlign w:val="center"/>
                </w:tcPr>
                <w:p w14:paraId="7EB1B6B2">
                  <w:pPr>
                    <w:keepNext w:val="0"/>
                    <w:keepLines w:val="0"/>
                    <w:pageBreakBefore w:val="0"/>
                    <w:tabs>
                      <w:tab w:val="left" w:pos="6840"/>
                    </w:tabs>
                    <w:kinsoku/>
                    <w:wordWrap/>
                    <w:overflowPunct/>
                    <w:topLinePunct w:val="0"/>
                    <w:autoSpaceDE/>
                    <w:autoSpaceDN/>
                    <w:bidi w:val="0"/>
                    <w:adjustRightInd/>
                    <w:spacing w:line="240" w:lineRule="auto"/>
                    <w:ind w:firstLine="0" w:firstLineChars="0"/>
                    <w:jc w:val="center"/>
                    <w:textAlignment w:val="auto"/>
                    <w:outlineLvl w:val="0"/>
                    <w:rPr>
                      <w:rFonts w:hint="eastAsia"/>
                      <w:color w:val="auto"/>
                      <w:sz w:val="21"/>
                      <w:szCs w:val="21"/>
                      <w:lang w:eastAsia="zh-CN"/>
                    </w:rPr>
                  </w:pPr>
                  <w:r>
                    <w:rPr>
                      <w:rFonts w:hint="eastAsia"/>
                      <w:color w:val="auto"/>
                      <w:sz w:val="21"/>
                      <w:szCs w:val="21"/>
                      <w:lang w:eastAsia="zh-CN"/>
                    </w:rPr>
                    <w:t>外购</w:t>
                  </w:r>
                </w:p>
              </w:tc>
            </w:tr>
            <w:tr w14:paraId="4E8E2C1F">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330" w:type="dxa"/>
                  <w:tcBorders>
                    <w:top w:val="single" w:color="auto" w:sz="4" w:space="0"/>
                    <w:bottom w:val="single" w:color="auto" w:sz="4" w:space="0"/>
                    <w:right w:val="single" w:color="000000" w:sz="4" w:space="0"/>
                  </w:tcBorders>
                  <w:shd w:val="clear" w:color="auto" w:fill="auto"/>
                  <w:noWrap w:val="0"/>
                  <w:vAlign w:val="center"/>
                </w:tcPr>
                <w:p w14:paraId="5D564E77">
                  <w:pPr>
                    <w:keepNext w:val="0"/>
                    <w:keepLines w:val="0"/>
                    <w:pageBreakBefore w:val="0"/>
                    <w:kinsoku/>
                    <w:wordWrap/>
                    <w:overflowPunct/>
                    <w:topLinePunct w:val="0"/>
                    <w:autoSpaceDE/>
                    <w:autoSpaceDN/>
                    <w:bidi w:val="0"/>
                    <w:adjustRightInd/>
                    <w:spacing w:line="240" w:lineRule="auto"/>
                    <w:ind w:firstLine="0" w:firstLineChars="0"/>
                    <w:jc w:val="center"/>
                    <w:textAlignment w:val="auto"/>
                    <w:rPr>
                      <w:rFonts w:hint="eastAsia" w:ascii="Times New Roman" w:hAnsi="Times New Roman" w:eastAsia="宋体" w:cs="Times New Roman"/>
                      <w:color w:val="auto"/>
                      <w:kern w:val="36"/>
                      <w:sz w:val="21"/>
                      <w:szCs w:val="21"/>
                      <w:lang w:val="en-US" w:eastAsia="zh-CN" w:bidi="ar-SA"/>
                    </w:rPr>
                  </w:pPr>
                  <w:r>
                    <w:rPr>
                      <w:rFonts w:hint="eastAsia"/>
                      <w:color w:val="auto"/>
                      <w:kern w:val="36"/>
                      <w:sz w:val="21"/>
                      <w:szCs w:val="21"/>
                      <w:lang w:val="en-US" w:eastAsia="zh-CN"/>
                    </w:rPr>
                    <w:t>5</w:t>
                  </w:r>
                </w:p>
              </w:tc>
              <w:tc>
                <w:tcPr>
                  <w:tcW w:w="1112" w:type="dxa"/>
                  <w:vMerge w:val="restart"/>
                  <w:tcBorders>
                    <w:left w:val="single" w:color="000000" w:sz="4" w:space="0"/>
                    <w:right w:val="single" w:color="auto" w:sz="4" w:space="0"/>
                  </w:tcBorders>
                  <w:noWrap w:val="0"/>
                  <w:vAlign w:val="center"/>
                </w:tcPr>
                <w:p w14:paraId="741BCAE4">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rFonts w:hint="eastAsia"/>
                      <w:color w:val="auto"/>
                      <w:sz w:val="21"/>
                      <w:szCs w:val="21"/>
                    </w:rPr>
                  </w:pPr>
                  <w:r>
                    <w:rPr>
                      <w:rFonts w:hint="eastAsia"/>
                      <w:color w:val="auto"/>
                      <w:sz w:val="21"/>
                      <w:szCs w:val="21"/>
                    </w:rPr>
                    <w:t>能耗</w:t>
                  </w:r>
                </w:p>
              </w:tc>
              <w:tc>
                <w:tcPr>
                  <w:tcW w:w="1738" w:type="dxa"/>
                  <w:tcBorders>
                    <w:top w:val="single" w:color="000000" w:sz="4" w:space="0"/>
                    <w:left w:val="single" w:color="auto" w:sz="4" w:space="0"/>
                    <w:bottom w:val="single" w:color="000000" w:sz="4" w:space="0"/>
                    <w:right w:val="single" w:color="000000" w:sz="4" w:space="0"/>
                  </w:tcBorders>
                  <w:noWrap w:val="0"/>
                  <w:vAlign w:val="center"/>
                </w:tcPr>
                <w:p w14:paraId="72D65C63">
                  <w:pPr>
                    <w:keepNext w:val="0"/>
                    <w:keepLines w:val="0"/>
                    <w:pageBreakBefore w:val="0"/>
                    <w:tabs>
                      <w:tab w:val="left" w:pos="6840"/>
                    </w:tabs>
                    <w:kinsoku/>
                    <w:wordWrap/>
                    <w:overflowPunct/>
                    <w:topLinePunct w:val="0"/>
                    <w:autoSpaceDE/>
                    <w:autoSpaceDN/>
                    <w:bidi w:val="0"/>
                    <w:adjustRightInd/>
                    <w:snapToGrid w:val="0"/>
                    <w:spacing w:line="240" w:lineRule="auto"/>
                    <w:ind w:firstLine="0" w:firstLineChars="0"/>
                    <w:jc w:val="center"/>
                    <w:textAlignment w:val="auto"/>
                    <w:outlineLvl w:val="0"/>
                    <w:rPr>
                      <w:color w:val="auto"/>
                      <w:sz w:val="21"/>
                      <w:szCs w:val="21"/>
                    </w:rPr>
                  </w:pPr>
                  <w:r>
                    <w:rPr>
                      <w:rFonts w:hint="eastAsia"/>
                      <w:color w:val="auto"/>
                      <w:sz w:val="21"/>
                      <w:szCs w:val="21"/>
                    </w:rPr>
                    <w:t>水</w:t>
                  </w:r>
                </w:p>
              </w:tc>
              <w:tc>
                <w:tcPr>
                  <w:tcW w:w="1627" w:type="dxa"/>
                  <w:tcBorders>
                    <w:top w:val="single" w:color="000000" w:sz="4" w:space="0"/>
                    <w:left w:val="single" w:color="000000" w:sz="4" w:space="0"/>
                    <w:bottom w:val="single" w:color="000000" w:sz="4" w:space="0"/>
                    <w:right w:val="single" w:color="auto" w:sz="4" w:space="0"/>
                  </w:tcBorders>
                  <w:noWrap w:val="0"/>
                  <w:vAlign w:val="center"/>
                </w:tcPr>
                <w:p w14:paraId="02DABF7E">
                  <w:pPr>
                    <w:keepNext w:val="0"/>
                    <w:keepLines w:val="0"/>
                    <w:pageBreakBefore w:val="0"/>
                    <w:tabs>
                      <w:tab w:val="left" w:pos="6840"/>
                    </w:tabs>
                    <w:kinsoku/>
                    <w:wordWrap/>
                    <w:overflowPunct/>
                    <w:topLinePunct w:val="0"/>
                    <w:autoSpaceDE/>
                    <w:autoSpaceDN/>
                    <w:bidi w:val="0"/>
                    <w:adjustRightInd/>
                    <w:snapToGrid w:val="0"/>
                    <w:spacing w:line="240" w:lineRule="auto"/>
                    <w:ind w:firstLine="0" w:firstLineChars="0"/>
                    <w:jc w:val="center"/>
                    <w:textAlignment w:val="auto"/>
                    <w:outlineLvl w:val="0"/>
                    <w:rPr>
                      <w:color w:val="auto"/>
                      <w:sz w:val="21"/>
                      <w:szCs w:val="21"/>
                    </w:rPr>
                  </w:pPr>
                  <w:r>
                    <w:rPr>
                      <w:rFonts w:hint="eastAsia"/>
                      <w:color w:val="auto"/>
                      <w:sz w:val="21"/>
                      <w:szCs w:val="21"/>
                      <w:highlight w:val="none"/>
                      <w:lang w:val="en-US" w:eastAsia="zh-CN"/>
                    </w:rPr>
                    <w:t>312</w:t>
                  </w:r>
                  <w:r>
                    <w:rPr>
                      <w:rFonts w:hint="eastAsia"/>
                      <w:color w:val="auto"/>
                      <w:sz w:val="21"/>
                      <w:szCs w:val="21"/>
                      <w:highlight w:val="none"/>
                    </w:rPr>
                    <w:t>m</w:t>
                  </w:r>
                  <w:r>
                    <w:rPr>
                      <w:rFonts w:hint="eastAsia"/>
                      <w:color w:val="auto"/>
                      <w:sz w:val="21"/>
                      <w:szCs w:val="21"/>
                      <w:highlight w:val="none"/>
                      <w:vertAlign w:val="superscript"/>
                    </w:rPr>
                    <w:t>3</w:t>
                  </w:r>
                  <w:r>
                    <w:rPr>
                      <w:rFonts w:hint="eastAsia"/>
                      <w:color w:val="auto"/>
                      <w:sz w:val="21"/>
                      <w:szCs w:val="21"/>
                      <w:highlight w:val="none"/>
                    </w:rPr>
                    <w:t>/a</w:t>
                  </w:r>
                </w:p>
              </w:tc>
              <w:tc>
                <w:tcPr>
                  <w:tcW w:w="2210" w:type="dxa"/>
                  <w:tcBorders>
                    <w:top w:val="single" w:color="000000" w:sz="4" w:space="0"/>
                    <w:left w:val="single" w:color="auto" w:sz="4" w:space="0"/>
                    <w:bottom w:val="single" w:color="000000" w:sz="4" w:space="0"/>
                    <w:right w:val="single" w:color="000000" w:sz="4" w:space="0"/>
                  </w:tcBorders>
                  <w:noWrap w:val="0"/>
                  <w:vAlign w:val="center"/>
                </w:tcPr>
                <w:p w14:paraId="7511F94F">
                  <w:pPr>
                    <w:keepNext w:val="0"/>
                    <w:keepLines w:val="0"/>
                    <w:pageBreakBefore w:val="0"/>
                    <w:tabs>
                      <w:tab w:val="left" w:pos="6840"/>
                    </w:tabs>
                    <w:kinsoku/>
                    <w:wordWrap/>
                    <w:overflowPunct/>
                    <w:topLinePunct w:val="0"/>
                    <w:autoSpaceDE/>
                    <w:autoSpaceDN/>
                    <w:bidi w:val="0"/>
                    <w:adjustRightInd/>
                    <w:snapToGrid w:val="0"/>
                    <w:spacing w:line="240" w:lineRule="auto"/>
                    <w:ind w:firstLine="0" w:firstLineChars="0"/>
                    <w:jc w:val="center"/>
                    <w:textAlignment w:val="auto"/>
                    <w:outlineLvl w:val="0"/>
                    <w:rPr>
                      <w:rFonts w:hint="eastAsia" w:eastAsia="宋体"/>
                      <w:color w:val="auto"/>
                      <w:sz w:val="21"/>
                      <w:szCs w:val="21"/>
                      <w:lang w:eastAsia="zh-CN"/>
                    </w:rPr>
                  </w:pPr>
                  <w:r>
                    <w:rPr>
                      <w:rFonts w:hint="eastAsia"/>
                      <w:color w:val="auto"/>
                      <w:sz w:val="21"/>
                      <w:szCs w:val="21"/>
                      <w:lang w:eastAsia="zh-CN"/>
                    </w:rPr>
                    <w:t>市政供水</w:t>
                  </w:r>
                </w:p>
              </w:tc>
            </w:tr>
            <w:tr w14:paraId="752FB2D2">
              <w:tblPrEx>
                <w:tblBorders>
                  <w:top w:val="single" w:color="auto" w:sz="4" w:space="0"/>
                  <w:left w:val="single" w:color="auto" w:sz="4" w:space="0"/>
                  <w:bottom w:val="single" w:color="auto" w:sz="4" w:space="0"/>
                  <w:right w:val="single" w:color="auto"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1330" w:type="dxa"/>
                  <w:tcBorders>
                    <w:top w:val="single" w:color="auto" w:sz="4" w:space="0"/>
                    <w:right w:val="single" w:color="000000" w:sz="4" w:space="0"/>
                  </w:tcBorders>
                  <w:noWrap w:val="0"/>
                  <w:vAlign w:val="center"/>
                </w:tcPr>
                <w:p w14:paraId="7BC77733">
                  <w:pPr>
                    <w:keepNext w:val="0"/>
                    <w:keepLines w:val="0"/>
                    <w:pageBreakBefore w:val="0"/>
                    <w:kinsoku/>
                    <w:wordWrap/>
                    <w:overflowPunct/>
                    <w:topLinePunct w:val="0"/>
                    <w:autoSpaceDE/>
                    <w:autoSpaceDN/>
                    <w:bidi w:val="0"/>
                    <w:adjustRightInd/>
                    <w:spacing w:line="240" w:lineRule="auto"/>
                    <w:ind w:firstLine="0" w:firstLineChars="0"/>
                    <w:jc w:val="center"/>
                    <w:textAlignment w:val="auto"/>
                    <w:rPr>
                      <w:rFonts w:hint="default" w:eastAsia="宋体"/>
                      <w:color w:val="auto"/>
                      <w:kern w:val="36"/>
                      <w:sz w:val="21"/>
                      <w:szCs w:val="21"/>
                      <w:lang w:val="en-US" w:eastAsia="zh-CN"/>
                    </w:rPr>
                  </w:pPr>
                  <w:r>
                    <w:rPr>
                      <w:rFonts w:hint="eastAsia"/>
                      <w:color w:val="auto"/>
                      <w:kern w:val="36"/>
                      <w:sz w:val="21"/>
                      <w:szCs w:val="21"/>
                      <w:lang w:val="en-US" w:eastAsia="zh-CN"/>
                    </w:rPr>
                    <w:t>6</w:t>
                  </w:r>
                </w:p>
              </w:tc>
              <w:tc>
                <w:tcPr>
                  <w:tcW w:w="1112" w:type="dxa"/>
                  <w:vMerge w:val="continue"/>
                  <w:tcBorders>
                    <w:left w:val="single" w:color="000000" w:sz="4" w:space="0"/>
                    <w:right w:val="single" w:color="auto" w:sz="4" w:space="0"/>
                  </w:tcBorders>
                  <w:noWrap w:val="0"/>
                  <w:vAlign w:val="center"/>
                </w:tcPr>
                <w:p w14:paraId="68485D21">
                  <w:pPr>
                    <w:keepNext w:val="0"/>
                    <w:keepLines w:val="0"/>
                    <w:pageBreakBefore w:val="0"/>
                    <w:widowControl/>
                    <w:kinsoku/>
                    <w:wordWrap/>
                    <w:overflowPunct/>
                    <w:topLinePunct w:val="0"/>
                    <w:autoSpaceDE/>
                    <w:autoSpaceDN/>
                    <w:bidi w:val="0"/>
                    <w:adjustRightInd/>
                    <w:spacing w:line="240" w:lineRule="auto"/>
                    <w:ind w:firstLine="0" w:firstLineChars="0"/>
                    <w:jc w:val="center"/>
                    <w:textAlignment w:val="auto"/>
                    <w:rPr>
                      <w:color w:val="auto"/>
                      <w:sz w:val="21"/>
                      <w:szCs w:val="21"/>
                    </w:rPr>
                  </w:pPr>
                </w:p>
              </w:tc>
              <w:tc>
                <w:tcPr>
                  <w:tcW w:w="1738" w:type="dxa"/>
                  <w:tcBorders>
                    <w:top w:val="single" w:color="000000" w:sz="4" w:space="0"/>
                    <w:left w:val="single" w:color="auto" w:sz="4" w:space="0"/>
                    <w:right w:val="single" w:color="000000" w:sz="4" w:space="0"/>
                  </w:tcBorders>
                  <w:noWrap w:val="0"/>
                  <w:vAlign w:val="center"/>
                </w:tcPr>
                <w:p w14:paraId="268D5557">
                  <w:pPr>
                    <w:keepNext w:val="0"/>
                    <w:keepLines w:val="0"/>
                    <w:pageBreakBefore w:val="0"/>
                    <w:tabs>
                      <w:tab w:val="left" w:pos="6840"/>
                    </w:tabs>
                    <w:kinsoku/>
                    <w:wordWrap/>
                    <w:overflowPunct/>
                    <w:topLinePunct w:val="0"/>
                    <w:autoSpaceDE/>
                    <w:autoSpaceDN/>
                    <w:bidi w:val="0"/>
                    <w:adjustRightInd/>
                    <w:snapToGrid w:val="0"/>
                    <w:spacing w:line="240" w:lineRule="auto"/>
                    <w:ind w:firstLine="0" w:firstLineChars="0"/>
                    <w:jc w:val="center"/>
                    <w:textAlignment w:val="auto"/>
                    <w:outlineLvl w:val="0"/>
                    <w:rPr>
                      <w:color w:val="auto"/>
                      <w:sz w:val="21"/>
                      <w:szCs w:val="21"/>
                    </w:rPr>
                  </w:pPr>
                  <w:r>
                    <w:rPr>
                      <w:rFonts w:hint="eastAsia"/>
                      <w:color w:val="auto"/>
                      <w:sz w:val="21"/>
                      <w:szCs w:val="21"/>
                    </w:rPr>
                    <w:t>电</w:t>
                  </w:r>
                </w:p>
              </w:tc>
              <w:tc>
                <w:tcPr>
                  <w:tcW w:w="1627" w:type="dxa"/>
                  <w:tcBorders>
                    <w:top w:val="single" w:color="000000" w:sz="4" w:space="0"/>
                    <w:left w:val="single" w:color="000000" w:sz="4" w:space="0"/>
                    <w:right w:val="single" w:color="auto" w:sz="4" w:space="0"/>
                  </w:tcBorders>
                  <w:noWrap w:val="0"/>
                  <w:vAlign w:val="center"/>
                </w:tcPr>
                <w:p w14:paraId="4F19AE5B">
                  <w:pPr>
                    <w:keepNext w:val="0"/>
                    <w:keepLines w:val="0"/>
                    <w:pageBreakBefore w:val="0"/>
                    <w:tabs>
                      <w:tab w:val="left" w:pos="6840"/>
                    </w:tabs>
                    <w:kinsoku/>
                    <w:wordWrap/>
                    <w:overflowPunct/>
                    <w:topLinePunct w:val="0"/>
                    <w:autoSpaceDE/>
                    <w:autoSpaceDN/>
                    <w:bidi w:val="0"/>
                    <w:adjustRightInd/>
                    <w:snapToGrid w:val="0"/>
                    <w:spacing w:line="240" w:lineRule="auto"/>
                    <w:ind w:firstLine="0" w:firstLineChars="0"/>
                    <w:jc w:val="center"/>
                    <w:textAlignment w:val="auto"/>
                    <w:outlineLvl w:val="0"/>
                    <w:rPr>
                      <w:rFonts w:hint="default" w:eastAsia="宋体"/>
                      <w:color w:val="auto"/>
                      <w:sz w:val="21"/>
                      <w:szCs w:val="21"/>
                      <w:lang w:val="en-US" w:eastAsia="zh-CN"/>
                    </w:rPr>
                  </w:pPr>
                  <w:r>
                    <w:rPr>
                      <w:rFonts w:hint="eastAsia"/>
                      <w:color w:val="auto"/>
                      <w:sz w:val="21"/>
                      <w:szCs w:val="21"/>
                      <w:lang w:val="en-US" w:eastAsia="zh-CN"/>
                    </w:rPr>
                    <w:t>40</w:t>
                  </w:r>
                  <w:r>
                    <w:rPr>
                      <w:rFonts w:hint="eastAsia"/>
                      <w:color w:val="auto"/>
                      <w:sz w:val="21"/>
                      <w:szCs w:val="21"/>
                    </w:rPr>
                    <w:t>万kW</w:t>
                  </w:r>
                  <w:r>
                    <w:rPr>
                      <w:color w:val="auto"/>
                      <w:sz w:val="21"/>
                      <w:szCs w:val="21"/>
                    </w:rPr>
                    <w:t>·</w:t>
                  </w:r>
                  <w:r>
                    <w:rPr>
                      <w:rFonts w:hint="eastAsia"/>
                      <w:color w:val="auto"/>
                      <w:sz w:val="21"/>
                      <w:szCs w:val="21"/>
                    </w:rPr>
                    <w:t>h</w:t>
                  </w:r>
                  <w:r>
                    <w:rPr>
                      <w:rFonts w:hint="eastAsia"/>
                      <w:color w:val="auto"/>
                      <w:sz w:val="21"/>
                      <w:szCs w:val="21"/>
                      <w:lang w:val="en-US" w:eastAsia="zh-CN"/>
                    </w:rPr>
                    <w:t>/a</w:t>
                  </w:r>
                </w:p>
              </w:tc>
              <w:tc>
                <w:tcPr>
                  <w:tcW w:w="2210" w:type="dxa"/>
                  <w:tcBorders>
                    <w:top w:val="single" w:color="000000" w:sz="4" w:space="0"/>
                    <w:left w:val="single" w:color="auto" w:sz="4" w:space="0"/>
                    <w:right w:val="single" w:color="000000" w:sz="4" w:space="0"/>
                  </w:tcBorders>
                  <w:noWrap w:val="0"/>
                  <w:vAlign w:val="center"/>
                </w:tcPr>
                <w:p w14:paraId="12405F33">
                  <w:pPr>
                    <w:keepNext w:val="0"/>
                    <w:keepLines w:val="0"/>
                    <w:pageBreakBefore w:val="0"/>
                    <w:tabs>
                      <w:tab w:val="left" w:pos="6840"/>
                    </w:tabs>
                    <w:kinsoku/>
                    <w:wordWrap/>
                    <w:overflowPunct/>
                    <w:topLinePunct w:val="0"/>
                    <w:autoSpaceDE/>
                    <w:autoSpaceDN/>
                    <w:bidi w:val="0"/>
                    <w:adjustRightInd/>
                    <w:snapToGrid w:val="0"/>
                    <w:spacing w:line="240" w:lineRule="auto"/>
                    <w:ind w:firstLine="0" w:firstLineChars="0"/>
                    <w:jc w:val="center"/>
                    <w:textAlignment w:val="auto"/>
                    <w:outlineLvl w:val="0"/>
                    <w:rPr>
                      <w:rFonts w:hint="eastAsia" w:eastAsia="宋体"/>
                      <w:color w:val="auto"/>
                      <w:sz w:val="21"/>
                      <w:szCs w:val="21"/>
                      <w:lang w:eastAsia="zh-CN"/>
                    </w:rPr>
                  </w:pPr>
                  <w:r>
                    <w:rPr>
                      <w:rFonts w:hint="eastAsia"/>
                      <w:color w:val="auto"/>
                      <w:sz w:val="21"/>
                      <w:szCs w:val="21"/>
                      <w:lang w:eastAsia="zh-CN"/>
                    </w:rPr>
                    <w:t>国家电网</w:t>
                  </w:r>
                </w:p>
              </w:tc>
            </w:tr>
          </w:tbl>
          <w:p w14:paraId="1A359F25">
            <w:pPr>
              <w:keepLines w:val="0"/>
              <w:pageBreakBefore w:val="0"/>
              <w:widowControl w:val="0"/>
              <w:kinsoku/>
              <w:wordWrap/>
              <w:overflowPunct/>
              <w:topLinePunct w:val="0"/>
              <w:autoSpaceDE/>
              <w:autoSpaceDN/>
              <w:bidi w:val="0"/>
              <w:adjustRightInd/>
              <w:snapToGrid w:val="0"/>
              <w:spacing w:line="520" w:lineRule="exact"/>
              <w:ind w:firstLine="482"/>
              <w:textAlignment w:val="auto"/>
              <w:rPr>
                <w:rFonts w:hint="default" w:ascii="Times New Roman" w:hAnsi="Times New Roman" w:cs="Times New Roman"/>
                <w:b/>
                <w:color w:val="auto"/>
              </w:rPr>
            </w:pPr>
            <w:r>
              <w:rPr>
                <w:rFonts w:hint="default" w:ascii="Times New Roman" w:hAnsi="Times New Roman" w:cs="Times New Roman"/>
                <w:b/>
                <w:color w:val="auto"/>
                <w:lang w:val="en-US" w:eastAsia="zh-CN"/>
              </w:rPr>
              <w:t>6、</w:t>
            </w:r>
            <w:r>
              <w:rPr>
                <w:rFonts w:hint="default" w:ascii="Times New Roman" w:hAnsi="Times New Roman" w:cs="Times New Roman"/>
                <w:b/>
                <w:color w:val="auto"/>
              </w:rPr>
              <w:t>主要生产设备</w:t>
            </w:r>
          </w:p>
          <w:p w14:paraId="6AE987B4">
            <w:pPr>
              <w:keepLines w:val="0"/>
              <w:pageBreakBefore w:val="0"/>
              <w:widowControl w:val="0"/>
              <w:kinsoku/>
              <w:wordWrap/>
              <w:overflowPunct/>
              <w:topLinePunct w:val="0"/>
              <w:autoSpaceDE/>
              <w:autoSpaceDN/>
              <w:bidi w:val="0"/>
              <w:adjustRightInd/>
              <w:snapToGrid w:val="0"/>
              <w:spacing w:line="520" w:lineRule="exact"/>
              <w:ind w:firstLine="480"/>
              <w:textAlignment w:val="auto"/>
              <w:rPr>
                <w:rFonts w:hint="default" w:ascii="Times New Roman" w:hAnsi="Times New Roman" w:cs="Times New Roman"/>
                <w:color w:val="auto"/>
              </w:rPr>
            </w:pPr>
            <w:r>
              <w:rPr>
                <w:rFonts w:hint="default" w:ascii="Times New Roman" w:hAnsi="Times New Roman" w:cs="Times New Roman"/>
                <w:color w:val="auto"/>
              </w:rPr>
              <w:t>本项目主要设备详见下表。</w:t>
            </w:r>
          </w:p>
          <w:p w14:paraId="6EF6A92B">
            <w:pPr>
              <w:pStyle w:val="5"/>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default" w:ascii="Times New Roman" w:hAnsi="Times New Roman" w:eastAsia="宋体" w:cs="Times New Roman"/>
                <w:b w:val="0"/>
                <w:bCs/>
                <w:color w:val="auto"/>
                <w:sz w:val="24"/>
                <w:szCs w:val="24"/>
                <w:lang w:val="en-US" w:eastAsia="zh-CN"/>
              </w:rPr>
            </w:pPr>
            <w:r>
              <w:rPr>
                <w:rFonts w:hint="default" w:ascii="Times New Roman" w:hAnsi="Times New Roman" w:eastAsia="黑体" w:cs="Times New Roman"/>
                <w:color w:val="auto"/>
                <w:sz w:val="24"/>
                <w:szCs w:val="24"/>
              </w:rPr>
              <w:t>表</w:t>
            </w:r>
            <w:r>
              <w:rPr>
                <w:rFonts w:hint="default" w:ascii="Times New Roman" w:hAnsi="Times New Roman" w:eastAsia="黑体" w:cs="Times New Roman"/>
                <w:color w:val="auto"/>
                <w:sz w:val="24"/>
                <w:szCs w:val="24"/>
                <w:lang w:val="en-US" w:eastAsia="zh-CN"/>
              </w:rPr>
              <w:t>2-</w:t>
            </w:r>
            <w:r>
              <w:rPr>
                <w:rFonts w:hint="eastAsia" w:ascii="Times New Roman" w:hAnsi="Times New Roman" w:eastAsia="黑体" w:cs="Times New Roman"/>
                <w:color w:val="auto"/>
                <w:sz w:val="24"/>
                <w:szCs w:val="24"/>
                <w:lang w:val="en-US" w:eastAsia="zh-CN"/>
              </w:rPr>
              <w:t>5</w:t>
            </w:r>
            <w:r>
              <w:rPr>
                <w:rFonts w:hint="default" w:ascii="Times New Roman" w:hAnsi="Times New Roman" w:eastAsia="黑体" w:cs="Times New Roman"/>
                <w:color w:val="auto"/>
                <w:sz w:val="24"/>
                <w:szCs w:val="24"/>
              </w:rPr>
              <w:t xml:space="preserve">  </w:t>
            </w:r>
            <w:r>
              <w:rPr>
                <w:rFonts w:hint="default" w:ascii="Times New Roman" w:hAnsi="Times New Roman" w:eastAsia="黑体" w:cs="Times New Roman"/>
                <w:color w:val="auto"/>
                <w:sz w:val="24"/>
                <w:szCs w:val="24"/>
                <w:lang w:val="en-US" w:eastAsia="zh-CN"/>
              </w:rPr>
              <w:t xml:space="preserve">               本项目</w:t>
            </w:r>
            <w:r>
              <w:rPr>
                <w:rFonts w:hint="default" w:ascii="Times New Roman" w:hAnsi="Times New Roman" w:eastAsia="黑体" w:cs="Times New Roman"/>
                <w:color w:val="auto"/>
                <w:sz w:val="24"/>
                <w:szCs w:val="24"/>
              </w:rPr>
              <w:t>生产设备一览表</w:t>
            </w:r>
          </w:p>
          <w:tbl>
            <w:tblPr>
              <w:tblStyle w:val="2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1802"/>
              <w:gridCol w:w="2212"/>
              <w:gridCol w:w="1151"/>
              <w:gridCol w:w="2095"/>
            </w:tblGrid>
            <w:tr w14:paraId="29222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tcBorders>
                    <w:bottom w:val="single" w:color="auto" w:sz="8" w:space="0"/>
                  </w:tcBorders>
                  <w:noWrap w:val="0"/>
                  <w:vAlign w:val="center"/>
                </w:tcPr>
                <w:p w14:paraId="49E2717F">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序号</w:t>
                  </w:r>
                </w:p>
              </w:tc>
              <w:tc>
                <w:tcPr>
                  <w:tcW w:w="1802" w:type="dxa"/>
                  <w:tcBorders>
                    <w:bottom w:val="single" w:color="auto" w:sz="8" w:space="0"/>
                  </w:tcBorders>
                  <w:noWrap w:val="0"/>
                  <w:vAlign w:val="center"/>
                </w:tcPr>
                <w:p w14:paraId="7C854FD4">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名称</w:t>
                  </w:r>
                </w:p>
              </w:tc>
              <w:tc>
                <w:tcPr>
                  <w:tcW w:w="2212" w:type="dxa"/>
                  <w:tcBorders>
                    <w:bottom w:val="single" w:color="auto" w:sz="8" w:space="0"/>
                  </w:tcBorders>
                  <w:noWrap w:val="0"/>
                  <w:vAlign w:val="center"/>
                </w:tcPr>
                <w:p w14:paraId="3E67E914">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规格/参数</w:t>
                  </w:r>
                </w:p>
              </w:tc>
              <w:tc>
                <w:tcPr>
                  <w:tcW w:w="1151" w:type="dxa"/>
                  <w:tcBorders>
                    <w:bottom w:val="single" w:color="auto" w:sz="8" w:space="0"/>
                  </w:tcBorders>
                  <w:noWrap w:val="0"/>
                  <w:vAlign w:val="center"/>
                </w:tcPr>
                <w:p w14:paraId="3CD132BE">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数量</w:t>
                  </w:r>
                </w:p>
                <w:p w14:paraId="7A222288">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（台</w:t>
                  </w:r>
                  <w:r>
                    <w:rPr>
                      <w:rFonts w:ascii="Times New Roman" w:hAnsi="Times New Roman" w:eastAsia="宋体"/>
                      <w:b/>
                      <w:bCs/>
                      <w:color w:val="auto"/>
                      <w:sz w:val="21"/>
                      <w:szCs w:val="21"/>
                      <w:highlight w:val="none"/>
                    </w:rPr>
                    <w:t>/</w:t>
                  </w:r>
                  <w:r>
                    <w:rPr>
                      <w:rFonts w:hint="eastAsia" w:ascii="Times New Roman" w:hAnsi="Times New Roman" w:eastAsia="宋体"/>
                      <w:b/>
                      <w:bCs/>
                      <w:color w:val="auto"/>
                      <w:sz w:val="21"/>
                      <w:szCs w:val="21"/>
                      <w:highlight w:val="none"/>
                    </w:rPr>
                    <w:t>套）</w:t>
                  </w:r>
                </w:p>
              </w:tc>
              <w:tc>
                <w:tcPr>
                  <w:tcW w:w="2095" w:type="dxa"/>
                  <w:tcBorders>
                    <w:bottom w:val="single" w:color="auto" w:sz="8" w:space="0"/>
                  </w:tcBorders>
                  <w:noWrap w:val="0"/>
                  <w:vAlign w:val="center"/>
                </w:tcPr>
                <w:p w14:paraId="7F838159">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b/>
                      <w:bCs/>
                      <w:color w:val="auto"/>
                      <w:sz w:val="21"/>
                      <w:szCs w:val="21"/>
                      <w:highlight w:val="none"/>
                    </w:rPr>
                  </w:pPr>
                  <w:r>
                    <w:rPr>
                      <w:rFonts w:hint="eastAsia" w:ascii="Times New Roman" w:hAnsi="Times New Roman" w:eastAsia="宋体"/>
                      <w:b/>
                      <w:bCs/>
                      <w:color w:val="auto"/>
                      <w:sz w:val="21"/>
                      <w:szCs w:val="21"/>
                      <w:highlight w:val="none"/>
                    </w:rPr>
                    <w:t>备注</w:t>
                  </w:r>
                </w:p>
              </w:tc>
            </w:tr>
            <w:tr w14:paraId="15E40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restart"/>
                  <w:tcBorders>
                    <w:top w:val="single" w:color="auto" w:sz="8" w:space="0"/>
                  </w:tcBorders>
                  <w:noWrap w:val="0"/>
                  <w:vAlign w:val="center"/>
                </w:tcPr>
                <w:p w14:paraId="4EAEC948">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color w:val="auto"/>
                      <w:sz w:val="21"/>
                      <w:szCs w:val="21"/>
                      <w:highlight w:val="none"/>
                    </w:rPr>
                  </w:pPr>
                  <w:r>
                    <w:rPr>
                      <w:rFonts w:ascii="Times New Roman" w:hAnsi="Times New Roman" w:eastAsia="宋体"/>
                      <w:color w:val="auto"/>
                      <w:sz w:val="21"/>
                      <w:szCs w:val="21"/>
                      <w:highlight w:val="none"/>
                    </w:rPr>
                    <w:t>1</w:t>
                  </w:r>
                </w:p>
              </w:tc>
              <w:tc>
                <w:tcPr>
                  <w:tcW w:w="1802" w:type="dxa"/>
                  <w:vMerge w:val="restart"/>
                  <w:tcBorders>
                    <w:top w:val="single" w:color="auto" w:sz="8" w:space="0"/>
                  </w:tcBorders>
                  <w:noWrap w:val="0"/>
                  <w:vAlign w:val="center"/>
                </w:tcPr>
                <w:p w14:paraId="5D1A6C88">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智能充磁机</w:t>
                  </w:r>
                </w:p>
              </w:tc>
              <w:tc>
                <w:tcPr>
                  <w:tcW w:w="2212" w:type="dxa"/>
                  <w:tcBorders>
                    <w:top w:val="single" w:color="auto" w:sz="8" w:space="0"/>
                  </w:tcBorders>
                  <w:noWrap w:val="0"/>
                  <w:vAlign w:val="center"/>
                </w:tcPr>
                <w:p w14:paraId="54B1B007">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s="宋体"/>
                      <w:color w:val="auto"/>
                      <w:kern w:val="0"/>
                      <w:sz w:val="21"/>
                      <w:szCs w:val="21"/>
                      <w:highlight w:val="none"/>
                      <w:lang w:bidi="ar"/>
                    </w:rPr>
                    <w:t>NS.MI.30100</w:t>
                  </w:r>
                </w:p>
              </w:tc>
              <w:tc>
                <w:tcPr>
                  <w:tcW w:w="1151" w:type="dxa"/>
                  <w:tcBorders>
                    <w:top w:val="single" w:color="auto" w:sz="8" w:space="0"/>
                  </w:tcBorders>
                  <w:noWrap w:val="0"/>
                  <w:vAlign w:val="center"/>
                </w:tcPr>
                <w:p w14:paraId="493272F1">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val="en-US" w:eastAsia="zh-CN"/>
                    </w:rPr>
                    <w:t>1</w:t>
                  </w:r>
                </w:p>
              </w:tc>
              <w:tc>
                <w:tcPr>
                  <w:tcW w:w="2095" w:type="dxa"/>
                  <w:tcBorders>
                    <w:top w:val="single" w:color="auto" w:sz="8" w:space="0"/>
                  </w:tcBorders>
                  <w:noWrap w:val="0"/>
                  <w:vAlign w:val="center"/>
                </w:tcPr>
                <w:p w14:paraId="3A335005">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精加工</w:t>
                  </w:r>
                </w:p>
              </w:tc>
            </w:tr>
            <w:tr w14:paraId="04763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continue"/>
                  <w:noWrap w:val="0"/>
                  <w:vAlign w:val="center"/>
                </w:tcPr>
                <w:p w14:paraId="28B49639">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color w:val="auto"/>
                      <w:sz w:val="21"/>
                      <w:szCs w:val="21"/>
                      <w:highlight w:val="none"/>
                    </w:rPr>
                  </w:pPr>
                </w:p>
              </w:tc>
              <w:tc>
                <w:tcPr>
                  <w:tcW w:w="1802" w:type="dxa"/>
                  <w:vMerge w:val="continue"/>
                  <w:noWrap w:val="0"/>
                  <w:vAlign w:val="center"/>
                </w:tcPr>
                <w:p w14:paraId="617D6D06">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p>
              </w:tc>
              <w:tc>
                <w:tcPr>
                  <w:tcW w:w="2212" w:type="dxa"/>
                  <w:tcBorders>
                    <w:top w:val="single" w:color="auto" w:sz="8" w:space="0"/>
                  </w:tcBorders>
                  <w:noWrap w:val="0"/>
                  <w:vAlign w:val="center"/>
                </w:tcPr>
                <w:p w14:paraId="3F79308D">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宋体"/>
                      <w:color w:val="auto"/>
                      <w:kern w:val="0"/>
                      <w:sz w:val="21"/>
                      <w:szCs w:val="21"/>
                      <w:highlight w:val="none"/>
                      <w:lang w:bidi="ar"/>
                    </w:rPr>
                  </w:pPr>
                  <w:r>
                    <w:rPr>
                      <w:rFonts w:hint="eastAsia" w:ascii="Times New Roman" w:hAnsi="Times New Roman" w:eastAsia="宋体" w:cs="宋体"/>
                      <w:color w:val="auto"/>
                      <w:kern w:val="0"/>
                      <w:sz w:val="21"/>
                      <w:szCs w:val="21"/>
                      <w:highlight w:val="none"/>
                      <w:lang w:bidi="ar"/>
                    </w:rPr>
                    <w:t>NS.MI.3060JAF机</w:t>
                  </w:r>
                </w:p>
              </w:tc>
              <w:tc>
                <w:tcPr>
                  <w:tcW w:w="1151" w:type="dxa"/>
                  <w:tcBorders>
                    <w:top w:val="single" w:color="auto" w:sz="8" w:space="0"/>
                  </w:tcBorders>
                  <w:noWrap w:val="0"/>
                  <w:vAlign w:val="center"/>
                </w:tcPr>
                <w:p w14:paraId="16CAD2B6">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w:t>
                  </w:r>
                </w:p>
              </w:tc>
              <w:tc>
                <w:tcPr>
                  <w:tcW w:w="2095" w:type="dxa"/>
                  <w:tcBorders>
                    <w:top w:val="single" w:color="auto" w:sz="8" w:space="0"/>
                  </w:tcBorders>
                  <w:noWrap w:val="0"/>
                  <w:vAlign w:val="center"/>
                </w:tcPr>
                <w:p w14:paraId="2F4604E4">
                  <w:pPr>
                    <w:keepNext w:val="0"/>
                    <w:keepLines w:val="0"/>
                    <w:pageBreakBefore w:val="0"/>
                    <w:widowControl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rPr>
                    <w:t>精加工</w:t>
                  </w:r>
                </w:p>
              </w:tc>
            </w:tr>
            <w:tr w14:paraId="4FF2D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restart"/>
                  <w:noWrap w:val="0"/>
                  <w:vAlign w:val="center"/>
                </w:tcPr>
                <w:p w14:paraId="55B39789">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w:t>
                  </w:r>
                </w:p>
              </w:tc>
              <w:tc>
                <w:tcPr>
                  <w:tcW w:w="1802" w:type="dxa"/>
                  <w:vMerge w:val="restart"/>
                  <w:noWrap w:val="0"/>
                  <w:vAlign w:val="center"/>
                </w:tcPr>
                <w:p w14:paraId="59044609">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双臂式力学实验机</w:t>
                  </w:r>
                </w:p>
              </w:tc>
              <w:tc>
                <w:tcPr>
                  <w:tcW w:w="2212" w:type="dxa"/>
                  <w:noWrap w:val="0"/>
                  <w:vAlign w:val="center"/>
                </w:tcPr>
                <w:p w14:paraId="7BA0CD28">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s="宋体"/>
                      <w:color w:val="auto"/>
                      <w:kern w:val="0"/>
                      <w:sz w:val="21"/>
                      <w:szCs w:val="21"/>
                      <w:highlight w:val="none"/>
                      <w:lang w:bidi="ar"/>
                    </w:rPr>
                    <w:t>FS-2-CL-UTM-10KN</w:t>
                  </w:r>
                </w:p>
              </w:tc>
              <w:tc>
                <w:tcPr>
                  <w:tcW w:w="1151" w:type="dxa"/>
                  <w:noWrap w:val="0"/>
                  <w:vAlign w:val="center"/>
                </w:tcPr>
                <w:p w14:paraId="05A057C5">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w:t>
                  </w:r>
                </w:p>
              </w:tc>
              <w:tc>
                <w:tcPr>
                  <w:tcW w:w="2095" w:type="dxa"/>
                  <w:vMerge w:val="restart"/>
                  <w:noWrap w:val="0"/>
                  <w:vAlign w:val="center"/>
                </w:tcPr>
                <w:p w14:paraId="4C29066C">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原料检验</w:t>
                  </w:r>
                </w:p>
              </w:tc>
            </w:tr>
            <w:tr w14:paraId="1F0B8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continue"/>
                  <w:noWrap w:val="0"/>
                  <w:vAlign w:val="center"/>
                </w:tcPr>
                <w:p w14:paraId="1552E7E2">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p>
              </w:tc>
              <w:tc>
                <w:tcPr>
                  <w:tcW w:w="1802" w:type="dxa"/>
                  <w:vMerge w:val="continue"/>
                  <w:noWrap w:val="0"/>
                  <w:vAlign w:val="center"/>
                </w:tcPr>
                <w:p w14:paraId="0E647FF8">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p>
              </w:tc>
              <w:tc>
                <w:tcPr>
                  <w:tcW w:w="2212" w:type="dxa"/>
                  <w:noWrap w:val="0"/>
                  <w:vAlign w:val="center"/>
                </w:tcPr>
                <w:p w14:paraId="39928ACA">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宋体"/>
                      <w:color w:val="auto"/>
                      <w:kern w:val="0"/>
                      <w:sz w:val="21"/>
                      <w:szCs w:val="21"/>
                      <w:highlight w:val="none"/>
                      <w:lang w:bidi="ar"/>
                    </w:rPr>
                  </w:pPr>
                  <w:r>
                    <w:rPr>
                      <w:rFonts w:hint="eastAsia" w:ascii="Times New Roman" w:hAnsi="Times New Roman" w:eastAsia="宋体" w:cs="宋体"/>
                      <w:color w:val="auto"/>
                      <w:kern w:val="0"/>
                      <w:sz w:val="21"/>
                      <w:szCs w:val="21"/>
                      <w:highlight w:val="none"/>
                      <w:lang w:bidi="ar"/>
                    </w:rPr>
                    <w:t>CMT-100KN</w:t>
                  </w:r>
                </w:p>
              </w:tc>
              <w:tc>
                <w:tcPr>
                  <w:tcW w:w="1151" w:type="dxa"/>
                  <w:noWrap w:val="0"/>
                  <w:vAlign w:val="center"/>
                </w:tcPr>
                <w:p w14:paraId="55F978C8">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w:t>
                  </w:r>
                </w:p>
              </w:tc>
              <w:tc>
                <w:tcPr>
                  <w:tcW w:w="2095" w:type="dxa"/>
                  <w:vMerge w:val="continue"/>
                  <w:noWrap w:val="0"/>
                  <w:vAlign w:val="center"/>
                </w:tcPr>
                <w:p w14:paraId="1923B075">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p>
              </w:tc>
            </w:tr>
            <w:tr w14:paraId="1319E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restart"/>
                  <w:noWrap w:val="0"/>
                  <w:vAlign w:val="center"/>
                </w:tcPr>
                <w:p w14:paraId="005E7406">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3</w:t>
                  </w:r>
                </w:p>
              </w:tc>
              <w:tc>
                <w:tcPr>
                  <w:tcW w:w="1802" w:type="dxa"/>
                  <w:vMerge w:val="restart"/>
                  <w:noWrap w:val="0"/>
                  <w:vAlign w:val="center"/>
                </w:tcPr>
                <w:p w14:paraId="6EE5F5C9">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lang w:eastAsia="zh-CN"/>
                    </w:rPr>
                  </w:pPr>
                  <w:r>
                    <w:rPr>
                      <w:rFonts w:hint="eastAsia" w:ascii="Times New Roman" w:hAnsi="Times New Roman" w:eastAsia="宋体"/>
                      <w:color w:val="auto"/>
                      <w:sz w:val="21"/>
                      <w:szCs w:val="21"/>
                      <w:highlight w:val="none"/>
                      <w:lang w:eastAsia="zh-CN"/>
                    </w:rPr>
                    <w:t>数控龙门加工中心</w:t>
                  </w:r>
                </w:p>
              </w:tc>
              <w:tc>
                <w:tcPr>
                  <w:tcW w:w="2212" w:type="dxa"/>
                  <w:noWrap w:val="0"/>
                  <w:vAlign w:val="center"/>
                </w:tcPr>
                <w:p w14:paraId="422E4521">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color w:val="auto"/>
                      <w:sz w:val="21"/>
                      <w:szCs w:val="21"/>
                      <w:highlight w:val="none"/>
                    </w:rPr>
                  </w:pPr>
                  <w:r>
                    <w:rPr>
                      <w:rFonts w:hint="eastAsia" w:ascii="Times New Roman" w:hAnsi="Times New Roman" w:eastAsia="宋体" w:cs="宋体"/>
                      <w:color w:val="auto"/>
                      <w:kern w:val="0"/>
                      <w:sz w:val="21"/>
                      <w:szCs w:val="21"/>
                      <w:highlight w:val="none"/>
                      <w:lang w:bidi="ar"/>
                    </w:rPr>
                    <w:t>LB</w:t>
                  </w:r>
                  <w:r>
                    <w:rPr>
                      <w:rFonts w:hint="eastAsia" w:cs="宋体"/>
                      <w:color w:val="auto"/>
                      <w:kern w:val="0"/>
                      <w:sz w:val="21"/>
                      <w:szCs w:val="21"/>
                      <w:highlight w:val="none"/>
                      <w:lang w:val="en-US" w:eastAsia="zh-CN" w:bidi="ar"/>
                    </w:rPr>
                    <w:t>-</w:t>
                  </w:r>
                  <w:r>
                    <w:rPr>
                      <w:rFonts w:hint="eastAsia" w:ascii="Times New Roman" w:hAnsi="Times New Roman" w:eastAsia="宋体" w:cs="宋体"/>
                      <w:color w:val="auto"/>
                      <w:kern w:val="0"/>
                      <w:sz w:val="21"/>
                      <w:szCs w:val="21"/>
                      <w:highlight w:val="none"/>
                      <w:lang w:bidi="ar"/>
                    </w:rPr>
                    <w:t>432Z2</w:t>
                  </w:r>
                </w:p>
              </w:tc>
              <w:tc>
                <w:tcPr>
                  <w:tcW w:w="1151" w:type="dxa"/>
                  <w:noWrap w:val="0"/>
                  <w:vAlign w:val="center"/>
                </w:tcPr>
                <w:p w14:paraId="5F3C9DFD">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w:t>
                  </w:r>
                </w:p>
              </w:tc>
              <w:tc>
                <w:tcPr>
                  <w:tcW w:w="2095" w:type="dxa"/>
                  <w:noWrap w:val="0"/>
                  <w:vAlign w:val="center"/>
                </w:tcPr>
                <w:p w14:paraId="077D36F8">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粗加工</w:t>
                  </w:r>
                </w:p>
              </w:tc>
            </w:tr>
            <w:tr w14:paraId="62B63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continue"/>
                  <w:noWrap w:val="0"/>
                  <w:vAlign w:val="center"/>
                </w:tcPr>
                <w:p w14:paraId="5CF07809">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p>
              </w:tc>
              <w:tc>
                <w:tcPr>
                  <w:tcW w:w="1802" w:type="dxa"/>
                  <w:vMerge w:val="continue"/>
                  <w:noWrap w:val="0"/>
                  <w:vAlign w:val="center"/>
                </w:tcPr>
                <w:p w14:paraId="0306906A">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p>
              </w:tc>
              <w:tc>
                <w:tcPr>
                  <w:tcW w:w="2212" w:type="dxa"/>
                  <w:shd w:val="clear" w:color="auto" w:fill="auto"/>
                  <w:noWrap w:val="0"/>
                  <w:vAlign w:val="center"/>
                </w:tcPr>
                <w:p w14:paraId="26739747">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宋体"/>
                      <w:color w:val="auto"/>
                      <w:kern w:val="0"/>
                      <w:sz w:val="21"/>
                      <w:szCs w:val="21"/>
                      <w:highlight w:val="none"/>
                      <w:lang w:val="en-US" w:eastAsia="zh-CN" w:bidi="ar"/>
                    </w:rPr>
                  </w:pPr>
                  <w:r>
                    <w:rPr>
                      <w:rFonts w:hint="eastAsia" w:cs="宋体"/>
                      <w:color w:val="auto"/>
                      <w:kern w:val="0"/>
                      <w:sz w:val="21"/>
                      <w:szCs w:val="21"/>
                      <w:highlight w:val="none"/>
                      <w:lang w:val="en-US" w:eastAsia="zh-CN" w:bidi="ar"/>
                    </w:rPr>
                    <w:t>LB-432Z4</w:t>
                  </w:r>
                </w:p>
              </w:tc>
              <w:tc>
                <w:tcPr>
                  <w:tcW w:w="1151" w:type="dxa"/>
                  <w:shd w:val="clear" w:color="auto" w:fill="auto"/>
                  <w:noWrap w:val="0"/>
                  <w:vAlign w:val="center"/>
                </w:tcPr>
                <w:p w14:paraId="082FA992">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1</w:t>
                  </w:r>
                </w:p>
              </w:tc>
              <w:tc>
                <w:tcPr>
                  <w:tcW w:w="2095" w:type="dxa"/>
                  <w:shd w:val="clear" w:color="auto" w:fill="auto"/>
                  <w:noWrap w:val="0"/>
                  <w:vAlign w:val="center"/>
                </w:tcPr>
                <w:p w14:paraId="36CD70A1">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color w:val="auto"/>
                      <w:sz w:val="21"/>
                      <w:szCs w:val="21"/>
                      <w:highlight w:val="none"/>
                      <w:lang w:eastAsia="zh-CN"/>
                    </w:rPr>
                    <w:t>粗</w:t>
                  </w:r>
                  <w:r>
                    <w:rPr>
                      <w:rFonts w:hint="eastAsia"/>
                      <w:color w:val="auto"/>
                      <w:sz w:val="21"/>
                      <w:szCs w:val="21"/>
                      <w:highlight w:val="none"/>
                      <w:lang w:val="en-US" w:eastAsia="zh-CN"/>
                    </w:rPr>
                    <w:t>/</w:t>
                  </w:r>
                  <w:r>
                    <w:rPr>
                      <w:rFonts w:hint="eastAsia"/>
                      <w:color w:val="auto"/>
                      <w:sz w:val="21"/>
                      <w:szCs w:val="21"/>
                      <w:highlight w:val="none"/>
                      <w:lang w:eastAsia="zh-CN"/>
                    </w:rPr>
                    <w:t>精加工</w:t>
                  </w:r>
                </w:p>
              </w:tc>
            </w:tr>
            <w:tr w14:paraId="4E8D5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continue"/>
                  <w:noWrap w:val="0"/>
                  <w:vAlign w:val="center"/>
                </w:tcPr>
                <w:p w14:paraId="66C443A4">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p>
              </w:tc>
              <w:tc>
                <w:tcPr>
                  <w:tcW w:w="1802" w:type="dxa"/>
                  <w:vMerge w:val="continue"/>
                  <w:noWrap w:val="0"/>
                  <w:vAlign w:val="center"/>
                </w:tcPr>
                <w:p w14:paraId="64861891">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p>
              </w:tc>
              <w:tc>
                <w:tcPr>
                  <w:tcW w:w="2212" w:type="dxa"/>
                  <w:shd w:val="clear" w:color="auto" w:fill="auto"/>
                  <w:noWrap w:val="0"/>
                  <w:vAlign w:val="center"/>
                </w:tcPr>
                <w:p w14:paraId="47F08676">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宋体"/>
                      <w:color w:val="auto"/>
                      <w:kern w:val="0"/>
                      <w:sz w:val="21"/>
                      <w:szCs w:val="21"/>
                      <w:highlight w:val="none"/>
                      <w:lang w:bidi="ar"/>
                    </w:rPr>
                  </w:pPr>
                  <w:r>
                    <w:rPr>
                      <w:rFonts w:hint="eastAsia" w:ascii="Times New Roman" w:hAnsi="Times New Roman" w:eastAsia="宋体" w:cs="宋体"/>
                      <w:color w:val="auto"/>
                      <w:kern w:val="0"/>
                      <w:sz w:val="21"/>
                      <w:szCs w:val="21"/>
                      <w:highlight w:val="none"/>
                      <w:lang w:bidi="ar"/>
                    </w:rPr>
                    <w:t>ML-532Z2</w:t>
                  </w:r>
                </w:p>
              </w:tc>
              <w:tc>
                <w:tcPr>
                  <w:tcW w:w="1151" w:type="dxa"/>
                  <w:shd w:val="clear" w:color="auto" w:fill="auto"/>
                  <w:noWrap w:val="0"/>
                  <w:vAlign w:val="center"/>
                </w:tcPr>
                <w:p w14:paraId="05FF4AEC">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w:t>
                  </w:r>
                </w:p>
              </w:tc>
              <w:tc>
                <w:tcPr>
                  <w:tcW w:w="2095" w:type="dxa"/>
                  <w:shd w:val="clear" w:color="auto" w:fill="auto"/>
                  <w:noWrap w:val="0"/>
                  <w:vAlign w:val="center"/>
                </w:tcPr>
                <w:p w14:paraId="2F35239B">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精加工</w:t>
                  </w:r>
                </w:p>
              </w:tc>
            </w:tr>
            <w:tr w14:paraId="6064E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continue"/>
                  <w:noWrap w:val="0"/>
                  <w:vAlign w:val="center"/>
                </w:tcPr>
                <w:p w14:paraId="0B854469">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p>
              </w:tc>
              <w:tc>
                <w:tcPr>
                  <w:tcW w:w="1802" w:type="dxa"/>
                  <w:vMerge w:val="continue"/>
                  <w:noWrap w:val="0"/>
                  <w:vAlign w:val="center"/>
                </w:tcPr>
                <w:p w14:paraId="6FC7BC5C">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p>
              </w:tc>
              <w:tc>
                <w:tcPr>
                  <w:tcW w:w="2212" w:type="dxa"/>
                  <w:shd w:val="clear" w:color="auto" w:fill="auto"/>
                  <w:noWrap w:val="0"/>
                  <w:vAlign w:val="center"/>
                </w:tcPr>
                <w:p w14:paraId="4F5BEA87">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宋体"/>
                      <w:color w:val="auto"/>
                      <w:kern w:val="0"/>
                      <w:sz w:val="21"/>
                      <w:szCs w:val="21"/>
                      <w:highlight w:val="none"/>
                      <w:lang w:val="en-US" w:eastAsia="zh-CN" w:bidi="ar"/>
                    </w:rPr>
                  </w:pPr>
                  <w:r>
                    <w:rPr>
                      <w:rFonts w:hint="eastAsia" w:cs="宋体"/>
                      <w:color w:val="auto"/>
                      <w:kern w:val="0"/>
                      <w:sz w:val="21"/>
                      <w:szCs w:val="21"/>
                      <w:highlight w:val="none"/>
                      <w:lang w:val="en-US" w:eastAsia="zh-CN" w:bidi="ar"/>
                    </w:rPr>
                    <w:t>ML-432Z4</w:t>
                  </w:r>
                </w:p>
              </w:tc>
              <w:tc>
                <w:tcPr>
                  <w:tcW w:w="1151" w:type="dxa"/>
                  <w:shd w:val="clear" w:color="auto" w:fill="auto"/>
                  <w:noWrap w:val="0"/>
                  <w:vAlign w:val="center"/>
                </w:tcPr>
                <w:p w14:paraId="3B7583D4">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color w:val="auto"/>
                      <w:sz w:val="21"/>
                      <w:szCs w:val="21"/>
                      <w:highlight w:val="none"/>
                      <w:lang w:val="en-US" w:eastAsia="zh-CN"/>
                    </w:rPr>
                    <w:t>3</w:t>
                  </w:r>
                </w:p>
              </w:tc>
              <w:tc>
                <w:tcPr>
                  <w:tcW w:w="2095" w:type="dxa"/>
                  <w:shd w:val="clear" w:color="auto" w:fill="auto"/>
                  <w:noWrap w:val="0"/>
                  <w:vAlign w:val="center"/>
                </w:tcPr>
                <w:p w14:paraId="3EBDEEC2">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color w:val="auto"/>
                      <w:sz w:val="21"/>
                      <w:szCs w:val="21"/>
                      <w:highlight w:val="none"/>
                      <w:lang w:eastAsia="zh-CN"/>
                    </w:rPr>
                    <w:t>粗</w:t>
                  </w:r>
                  <w:r>
                    <w:rPr>
                      <w:rFonts w:hint="eastAsia"/>
                      <w:color w:val="auto"/>
                      <w:sz w:val="21"/>
                      <w:szCs w:val="21"/>
                      <w:highlight w:val="none"/>
                      <w:lang w:val="en-US" w:eastAsia="zh-CN"/>
                    </w:rPr>
                    <w:t>/</w:t>
                  </w:r>
                  <w:r>
                    <w:rPr>
                      <w:rFonts w:hint="eastAsia"/>
                      <w:color w:val="auto"/>
                      <w:sz w:val="21"/>
                      <w:szCs w:val="21"/>
                      <w:highlight w:val="none"/>
                      <w:lang w:eastAsia="zh-CN"/>
                    </w:rPr>
                    <w:t>精加工</w:t>
                  </w:r>
                </w:p>
              </w:tc>
            </w:tr>
            <w:tr w14:paraId="69BB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continue"/>
                  <w:noWrap w:val="0"/>
                  <w:vAlign w:val="center"/>
                </w:tcPr>
                <w:p w14:paraId="7D59A54F">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p>
              </w:tc>
              <w:tc>
                <w:tcPr>
                  <w:tcW w:w="1802" w:type="dxa"/>
                  <w:vMerge w:val="continue"/>
                  <w:noWrap w:val="0"/>
                  <w:vAlign w:val="center"/>
                </w:tcPr>
                <w:p w14:paraId="051A3E74">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p>
              </w:tc>
              <w:tc>
                <w:tcPr>
                  <w:tcW w:w="2212" w:type="dxa"/>
                  <w:noWrap w:val="0"/>
                  <w:vAlign w:val="center"/>
                </w:tcPr>
                <w:p w14:paraId="0C59493E">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宋体"/>
                      <w:color w:val="auto"/>
                      <w:kern w:val="0"/>
                      <w:sz w:val="21"/>
                      <w:szCs w:val="21"/>
                      <w:highlight w:val="none"/>
                      <w:lang w:bidi="ar"/>
                    </w:rPr>
                  </w:pPr>
                  <w:r>
                    <w:rPr>
                      <w:rFonts w:hint="eastAsia" w:ascii="Times New Roman" w:hAnsi="Times New Roman" w:eastAsia="宋体"/>
                      <w:color w:val="auto"/>
                      <w:sz w:val="21"/>
                      <w:szCs w:val="21"/>
                      <w:highlight w:val="none"/>
                    </w:rPr>
                    <w:t>LB-647Z4</w:t>
                  </w:r>
                </w:p>
              </w:tc>
              <w:tc>
                <w:tcPr>
                  <w:tcW w:w="1151" w:type="dxa"/>
                  <w:noWrap w:val="0"/>
                  <w:vAlign w:val="center"/>
                </w:tcPr>
                <w:p w14:paraId="62F66B5F">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2</w:t>
                  </w:r>
                </w:p>
              </w:tc>
              <w:tc>
                <w:tcPr>
                  <w:tcW w:w="2095" w:type="dxa"/>
                  <w:noWrap w:val="0"/>
                  <w:vAlign w:val="center"/>
                </w:tcPr>
                <w:p w14:paraId="6C56596C">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精加工</w:t>
                  </w:r>
                </w:p>
              </w:tc>
            </w:tr>
            <w:tr w14:paraId="5CEA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continue"/>
                  <w:noWrap w:val="0"/>
                  <w:vAlign w:val="center"/>
                </w:tcPr>
                <w:p w14:paraId="1E95B155">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p>
              </w:tc>
              <w:tc>
                <w:tcPr>
                  <w:tcW w:w="1802" w:type="dxa"/>
                  <w:vMerge w:val="continue"/>
                  <w:noWrap w:val="0"/>
                  <w:vAlign w:val="center"/>
                </w:tcPr>
                <w:p w14:paraId="762BDF4F">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p>
              </w:tc>
              <w:tc>
                <w:tcPr>
                  <w:tcW w:w="2212" w:type="dxa"/>
                  <w:noWrap w:val="0"/>
                  <w:vAlign w:val="center"/>
                </w:tcPr>
                <w:p w14:paraId="73893A04">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宋体"/>
                      <w:color w:val="auto"/>
                      <w:kern w:val="0"/>
                      <w:sz w:val="21"/>
                      <w:szCs w:val="21"/>
                      <w:highlight w:val="none"/>
                      <w:lang w:bidi="ar"/>
                    </w:rPr>
                  </w:pPr>
                  <w:r>
                    <w:rPr>
                      <w:rFonts w:hint="eastAsia" w:ascii="Times New Roman" w:hAnsi="Times New Roman" w:eastAsia="宋体"/>
                      <w:color w:val="auto"/>
                      <w:sz w:val="21"/>
                      <w:szCs w:val="21"/>
                      <w:highlight w:val="none"/>
                    </w:rPr>
                    <w:t>ML-532Z2</w:t>
                  </w:r>
                </w:p>
              </w:tc>
              <w:tc>
                <w:tcPr>
                  <w:tcW w:w="1151" w:type="dxa"/>
                  <w:noWrap w:val="0"/>
                  <w:vAlign w:val="center"/>
                </w:tcPr>
                <w:p w14:paraId="05C66DBE">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2</w:t>
                  </w:r>
                </w:p>
              </w:tc>
              <w:tc>
                <w:tcPr>
                  <w:tcW w:w="2095" w:type="dxa"/>
                  <w:noWrap w:val="0"/>
                  <w:vAlign w:val="center"/>
                </w:tcPr>
                <w:p w14:paraId="68C4749C">
                  <w:pPr>
                    <w:keepNext w:val="0"/>
                    <w:keepLines w:val="0"/>
                    <w:pageBreakBefore w:val="0"/>
                    <w:widowControl/>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精加工</w:t>
                  </w:r>
                </w:p>
              </w:tc>
            </w:tr>
            <w:tr w14:paraId="1F04E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noWrap w:val="0"/>
                  <w:vAlign w:val="center"/>
                </w:tcPr>
                <w:p w14:paraId="564BFA0D">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4</w:t>
                  </w:r>
                </w:p>
              </w:tc>
              <w:tc>
                <w:tcPr>
                  <w:tcW w:w="1802" w:type="dxa"/>
                  <w:noWrap w:val="0"/>
                  <w:vAlign w:val="center"/>
                </w:tcPr>
                <w:p w14:paraId="1E1316DF">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攻丝机</w:t>
                  </w:r>
                </w:p>
              </w:tc>
              <w:tc>
                <w:tcPr>
                  <w:tcW w:w="2212" w:type="dxa"/>
                  <w:noWrap w:val="0"/>
                  <w:vAlign w:val="center"/>
                </w:tcPr>
                <w:p w14:paraId="37106088">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rPr>
                    <w:t>M16</w:t>
                  </w:r>
                </w:p>
              </w:tc>
              <w:tc>
                <w:tcPr>
                  <w:tcW w:w="1151" w:type="dxa"/>
                  <w:noWrap w:val="0"/>
                  <w:vAlign w:val="center"/>
                </w:tcPr>
                <w:p w14:paraId="11B59DEE">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w:t>
                  </w:r>
                </w:p>
              </w:tc>
              <w:tc>
                <w:tcPr>
                  <w:tcW w:w="2095" w:type="dxa"/>
                  <w:noWrap w:val="0"/>
                  <w:vAlign w:val="center"/>
                </w:tcPr>
                <w:p w14:paraId="2F72E6BF">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eastAsia="zh-CN"/>
                    </w:rPr>
                    <w:t>半精加工</w:t>
                  </w:r>
                </w:p>
              </w:tc>
            </w:tr>
            <w:tr w14:paraId="6A314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noWrap w:val="0"/>
                  <w:vAlign w:val="center"/>
                </w:tcPr>
                <w:p w14:paraId="58B7C31F">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5</w:t>
                  </w:r>
                </w:p>
              </w:tc>
              <w:tc>
                <w:tcPr>
                  <w:tcW w:w="1802" w:type="dxa"/>
                  <w:noWrap w:val="0"/>
                  <w:vAlign w:val="center"/>
                </w:tcPr>
                <w:p w14:paraId="66D56667">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真空包装机</w:t>
                  </w:r>
                </w:p>
              </w:tc>
              <w:tc>
                <w:tcPr>
                  <w:tcW w:w="2212" w:type="dxa"/>
                  <w:noWrap w:val="0"/>
                  <w:vAlign w:val="center"/>
                </w:tcPr>
                <w:p w14:paraId="4FB31778">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1000B型</w:t>
                  </w:r>
                </w:p>
              </w:tc>
              <w:tc>
                <w:tcPr>
                  <w:tcW w:w="1151" w:type="dxa"/>
                  <w:noWrap w:val="0"/>
                  <w:vAlign w:val="center"/>
                </w:tcPr>
                <w:p w14:paraId="573928AD">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w:t>
                  </w:r>
                </w:p>
              </w:tc>
              <w:tc>
                <w:tcPr>
                  <w:tcW w:w="2095" w:type="dxa"/>
                  <w:noWrap w:val="0"/>
                  <w:vAlign w:val="center"/>
                </w:tcPr>
                <w:p w14:paraId="47BB2DB1">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包装</w:t>
                  </w:r>
                </w:p>
              </w:tc>
            </w:tr>
            <w:tr w14:paraId="3C755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noWrap w:val="0"/>
                  <w:vAlign w:val="center"/>
                </w:tcPr>
                <w:p w14:paraId="24B8EDC0">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olor w:val="auto"/>
                      <w:sz w:val="21"/>
                      <w:szCs w:val="21"/>
                      <w:highlight w:val="none"/>
                    </w:rPr>
                    <w:t>6</w:t>
                  </w:r>
                </w:p>
              </w:tc>
              <w:tc>
                <w:tcPr>
                  <w:tcW w:w="1802" w:type="dxa"/>
                  <w:noWrap w:val="0"/>
                  <w:vAlign w:val="center"/>
                </w:tcPr>
                <w:p w14:paraId="047AA928">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olor w:val="auto"/>
                      <w:sz w:val="21"/>
                      <w:szCs w:val="21"/>
                      <w:highlight w:val="none"/>
                      <w:lang w:eastAsia="zh-CN"/>
                    </w:rPr>
                    <w:t>卧式加工中心</w:t>
                  </w:r>
                </w:p>
              </w:tc>
              <w:tc>
                <w:tcPr>
                  <w:tcW w:w="2212" w:type="dxa"/>
                  <w:noWrap w:val="0"/>
                  <w:vAlign w:val="center"/>
                </w:tcPr>
                <w:p w14:paraId="5C8FF06B">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宋体"/>
                      <w:color w:val="auto"/>
                      <w:kern w:val="0"/>
                      <w:sz w:val="21"/>
                      <w:szCs w:val="21"/>
                      <w:highlight w:val="none"/>
                      <w:lang w:bidi="ar"/>
                    </w:rPr>
                    <w:t>HDE-63E</w:t>
                  </w:r>
                </w:p>
              </w:tc>
              <w:tc>
                <w:tcPr>
                  <w:tcW w:w="1151" w:type="dxa"/>
                  <w:noWrap w:val="0"/>
                  <w:vAlign w:val="center"/>
                </w:tcPr>
                <w:p w14:paraId="19BC48A8">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olor w:val="auto"/>
                      <w:sz w:val="21"/>
                      <w:szCs w:val="21"/>
                      <w:highlight w:val="none"/>
                    </w:rPr>
                    <w:t>1</w:t>
                  </w:r>
                </w:p>
              </w:tc>
              <w:tc>
                <w:tcPr>
                  <w:tcW w:w="2095" w:type="dxa"/>
                  <w:noWrap w:val="0"/>
                  <w:vAlign w:val="center"/>
                </w:tcPr>
                <w:p w14:paraId="579E08B2">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半精/精加工</w:t>
                  </w:r>
                </w:p>
              </w:tc>
            </w:tr>
            <w:tr w14:paraId="339D5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restart"/>
                  <w:noWrap w:val="0"/>
                  <w:vAlign w:val="center"/>
                </w:tcPr>
                <w:p w14:paraId="7011E0F3">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7</w:t>
                  </w:r>
                </w:p>
              </w:tc>
              <w:tc>
                <w:tcPr>
                  <w:tcW w:w="1802" w:type="dxa"/>
                  <w:vMerge w:val="restart"/>
                  <w:noWrap w:val="0"/>
                  <w:vAlign w:val="center"/>
                </w:tcPr>
                <w:p w14:paraId="2023C913">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三坐标测量</w:t>
                  </w:r>
                </w:p>
              </w:tc>
              <w:tc>
                <w:tcPr>
                  <w:tcW w:w="2212" w:type="dxa"/>
                  <w:noWrap w:val="0"/>
                  <w:vAlign w:val="center"/>
                </w:tcPr>
                <w:p w14:paraId="5CF7F5C6">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宋体"/>
                      <w:color w:val="auto"/>
                      <w:kern w:val="0"/>
                      <w:sz w:val="21"/>
                      <w:szCs w:val="21"/>
                      <w:highlight w:val="none"/>
                      <w:lang w:bidi="ar"/>
                    </w:rPr>
                  </w:pPr>
                  <w:r>
                    <w:rPr>
                      <w:rFonts w:hint="eastAsia" w:ascii="Times New Roman" w:hAnsi="Times New Roman" w:eastAsia="宋体" w:cs="宋体"/>
                      <w:color w:val="auto"/>
                      <w:sz w:val="21"/>
                      <w:szCs w:val="21"/>
                      <w:highlight w:val="none"/>
                    </w:rPr>
                    <w:t>Atlas253015</w:t>
                  </w:r>
                </w:p>
              </w:tc>
              <w:tc>
                <w:tcPr>
                  <w:tcW w:w="1151" w:type="dxa"/>
                  <w:noWrap w:val="0"/>
                  <w:vAlign w:val="center"/>
                </w:tcPr>
                <w:p w14:paraId="186ACF01">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4</w:t>
                  </w:r>
                </w:p>
              </w:tc>
              <w:tc>
                <w:tcPr>
                  <w:tcW w:w="2095" w:type="dxa"/>
                  <w:vMerge w:val="restart"/>
                  <w:noWrap w:val="0"/>
                  <w:vAlign w:val="center"/>
                </w:tcPr>
                <w:p w14:paraId="25999B68">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检测仪器</w:t>
                  </w:r>
                </w:p>
              </w:tc>
            </w:tr>
            <w:tr w14:paraId="213B2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continue"/>
                  <w:noWrap w:val="0"/>
                  <w:vAlign w:val="center"/>
                </w:tcPr>
                <w:p w14:paraId="423BB5E8">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p>
              </w:tc>
              <w:tc>
                <w:tcPr>
                  <w:tcW w:w="1802" w:type="dxa"/>
                  <w:vMerge w:val="continue"/>
                  <w:noWrap w:val="0"/>
                  <w:vAlign w:val="center"/>
                </w:tcPr>
                <w:p w14:paraId="445ACEDF">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p>
              </w:tc>
              <w:tc>
                <w:tcPr>
                  <w:tcW w:w="2212" w:type="dxa"/>
                  <w:noWrap w:val="0"/>
                  <w:vAlign w:val="center"/>
                </w:tcPr>
                <w:p w14:paraId="098D8B9B">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宋体"/>
                      <w:color w:val="auto"/>
                      <w:sz w:val="21"/>
                      <w:szCs w:val="21"/>
                      <w:highlight w:val="none"/>
                    </w:rPr>
                  </w:pPr>
                  <w:r>
                    <w:rPr>
                      <w:rFonts w:hint="eastAsia" w:ascii="Times New Roman" w:hAnsi="Times New Roman" w:eastAsia="宋体"/>
                      <w:color w:val="auto"/>
                      <w:sz w:val="21"/>
                      <w:szCs w:val="21"/>
                      <w:highlight w:val="none"/>
                    </w:rPr>
                    <w:t>2000*5000*1500</w:t>
                  </w:r>
                </w:p>
              </w:tc>
              <w:tc>
                <w:tcPr>
                  <w:tcW w:w="1151" w:type="dxa"/>
                  <w:noWrap w:val="0"/>
                  <w:vAlign w:val="center"/>
                </w:tcPr>
                <w:p w14:paraId="515AC200">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w:t>
                  </w:r>
                </w:p>
              </w:tc>
              <w:tc>
                <w:tcPr>
                  <w:tcW w:w="2095" w:type="dxa"/>
                  <w:vMerge w:val="continue"/>
                  <w:noWrap w:val="0"/>
                  <w:vAlign w:val="center"/>
                </w:tcPr>
                <w:p w14:paraId="49B09161">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p>
              </w:tc>
            </w:tr>
            <w:tr w14:paraId="3B9C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continue"/>
                  <w:noWrap w:val="0"/>
                  <w:vAlign w:val="center"/>
                </w:tcPr>
                <w:p w14:paraId="66DAE483">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p>
              </w:tc>
              <w:tc>
                <w:tcPr>
                  <w:tcW w:w="1802" w:type="dxa"/>
                  <w:vMerge w:val="continue"/>
                  <w:noWrap w:val="0"/>
                  <w:vAlign w:val="center"/>
                </w:tcPr>
                <w:p w14:paraId="5F1C9E3F">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p>
              </w:tc>
              <w:tc>
                <w:tcPr>
                  <w:tcW w:w="2212" w:type="dxa"/>
                  <w:noWrap w:val="0"/>
                  <w:vAlign w:val="center"/>
                </w:tcPr>
                <w:p w14:paraId="30A88BA9">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s="宋体"/>
                      <w:color w:val="auto"/>
                      <w:sz w:val="21"/>
                      <w:szCs w:val="21"/>
                      <w:highlight w:val="none"/>
                    </w:rPr>
                  </w:pPr>
                  <w:r>
                    <w:rPr>
                      <w:rFonts w:hint="eastAsia" w:ascii="Times New Roman" w:hAnsi="Times New Roman" w:eastAsia="宋体"/>
                      <w:color w:val="auto"/>
                      <w:sz w:val="21"/>
                      <w:szCs w:val="21"/>
                      <w:highlight w:val="none"/>
                    </w:rPr>
                    <w:t>CMM MMZ E active 25/50/80 VAST XT</w:t>
                  </w:r>
                </w:p>
              </w:tc>
              <w:tc>
                <w:tcPr>
                  <w:tcW w:w="1151" w:type="dxa"/>
                  <w:noWrap w:val="0"/>
                  <w:vAlign w:val="center"/>
                </w:tcPr>
                <w:p w14:paraId="4555CC58">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w:t>
                  </w:r>
                </w:p>
              </w:tc>
              <w:tc>
                <w:tcPr>
                  <w:tcW w:w="2095" w:type="dxa"/>
                  <w:vMerge w:val="continue"/>
                  <w:noWrap w:val="0"/>
                  <w:vAlign w:val="center"/>
                </w:tcPr>
                <w:p w14:paraId="3E01DB99">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p>
              </w:tc>
            </w:tr>
            <w:tr w14:paraId="36DA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noWrap w:val="0"/>
                  <w:vAlign w:val="center"/>
                </w:tcPr>
                <w:p w14:paraId="4334D599">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8</w:t>
                  </w:r>
                </w:p>
              </w:tc>
              <w:tc>
                <w:tcPr>
                  <w:tcW w:w="1802" w:type="dxa"/>
                  <w:noWrap w:val="0"/>
                  <w:vAlign w:val="center"/>
                </w:tcPr>
                <w:p w14:paraId="29156BF2">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ascii="Times New Roman" w:hAnsi="Times New Roman" w:eastAsia="宋体"/>
                      <w:color w:val="auto"/>
                      <w:sz w:val="21"/>
                      <w:szCs w:val="21"/>
                      <w:highlight w:val="none"/>
                    </w:rPr>
                    <w:t>立式加工中心</w:t>
                  </w:r>
                </w:p>
              </w:tc>
              <w:tc>
                <w:tcPr>
                  <w:tcW w:w="2212" w:type="dxa"/>
                  <w:noWrap w:val="0"/>
                  <w:vAlign w:val="center"/>
                </w:tcPr>
                <w:p w14:paraId="3D7EBAD1">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r>
                    <w:rPr>
                      <w:rFonts w:ascii="Times New Roman" w:hAnsi="Times New Roman" w:eastAsia="宋体"/>
                      <w:color w:val="auto"/>
                      <w:sz w:val="21"/>
                      <w:szCs w:val="21"/>
                      <w:highlight w:val="none"/>
                    </w:rPr>
                    <w:t>VMC1200II</w:t>
                  </w:r>
                </w:p>
              </w:tc>
              <w:tc>
                <w:tcPr>
                  <w:tcW w:w="1151" w:type="dxa"/>
                  <w:noWrap w:val="0"/>
                  <w:vAlign w:val="center"/>
                </w:tcPr>
                <w:p w14:paraId="73DFA8C7">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6</w:t>
                  </w:r>
                </w:p>
              </w:tc>
              <w:tc>
                <w:tcPr>
                  <w:tcW w:w="2095" w:type="dxa"/>
                  <w:noWrap w:val="0"/>
                  <w:vAlign w:val="center"/>
                </w:tcPr>
                <w:p w14:paraId="17E5D462">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rPr>
                    <w:t>精加工</w:t>
                  </w:r>
                </w:p>
              </w:tc>
            </w:tr>
            <w:tr w14:paraId="6E0FD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noWrap w:val="0"/>
                  <w:vAlign w:val="center"/>
                </w:tcPr>
                <w:p w14:paraId="70D5B849">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9</w:t>
                  </w:r>
                </w:p>
              </w:tc>
              <w:tc>
                <w:tcPr>
                  <w:tcW w:w="1802" w:type="dxa"/>
                  <w:noWrap w:val="0"/>
                  <w:vAlign w:val="center"/>
                </w:tcPr>
                <w:p w14:paraId="7C346FCE">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五轴加工中心</w:t>
                  </w:r>
                </w:p>
              </w:tc>
              <w:tc>
                <w:tcPr>
                  <w:tcW w:w="2212" w:type="dxa"/>
                  <w:noWrap w:val="0"/>
                  <w:vAlign w:val="center"/>
                </w:tcPr>
                <w:p w14:paraId="3261ECA2">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DMX80U</w:t>
                  </w:r>
                </w:p>
              </w:tc>
              <w:tc>
                <w:tcPr>
                  <w:tcW w:w="1151" w:type="dxa"/>
                  <w:noWrap w:val="0"/>
                  <w:vAlign w:val="center"/>
                </w:tcPr>
                <w:p w14:paraId="35536654">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6</w:t>
                  </w:r>
                </w:p>
              </w:tc>
              <w:tc>
                <w:tcPr>
                  <w:tcW w:w="2095" w:type="dxa"/>
                  <w:noWrap w:val="0"/>
                  <w:vAlign w:val="center"/>
                </w:tcPr>
                <w:p w14:paraId="03355A23">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rPr>
                    <w:t>精加工</w:t>
                  </w:r>
                </w:p>
              </w:tc>
            </w:tr>
            <w:tr w14:paraId="0359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noWrap w:val="0"/>
                  <w:vAlign w:val="center"/>
                </w:tcPr>
                <w:p w14:paraId="20366829">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10</w:t>
                  </w:r>
                </w:p>
              </w:tc>
              <w:tc>
                <w:tcPr>
                  <w:tcW w:w="1802" w:type="dxa"/>
                  <w:noWrap w:val="0"/>
                  <w:vAlign w:val="center"/>
                </w:tcPr>
                <w:p w14:paraId="2D7268EB">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ascii="Times New Roman" w:hAnsi="Times New Roman" w:eastAsia="宋体"/>
                      <w:color w:val="auto"/>
                      <w:sz w:val="21"/>
                      <w:szCs w:val="21"/>
                      <w:highlight w:val="none"/>
                    </w:rPr>
                    <w:t>程控龙门平面磨床</w:t>
                  </w:r>
                </w:p>
              </w:tc>
              <w:tc>
                <w:tcPr>
                  <w:tcW w:w="2212" w:type="dxa"/>
                  <w:noWrap w:val="0"/>
                  <w:vAlign w:val="center"/>
                </w:tcPr>
                <w:p w14:paraId="4D8D0521">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r>
                    <w:rPr>
                      <w:rFonts w:ascii="Times New Roman" w:hAnsi="Times New Roman" w:eastAsia="宋体"/>
                      <w:color w:val="auto"/>
                      <w:sz w:val="21"/>
                      <w:szCs w:val="21"/>
                      <w:highlight w:val="none"/>
                    </w:rPr>
                    <w:t>GM-C4016J</w:t>
                  </w:r>
                </w:p>
              </w:tc>
              <w:tc>
                <w:tcPr>
                  <w:tcW w:w="1151" w:type="dxa"/>
                  <w:noWrap w:val="0"/>
                  <w:vAlign w:val="center"/>
                </w:tcPr>
                <w:p w14:paraId="6AA360F1">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2</w:t>
                  </w:r>
                </w:p>
              </w:tc>
              <w:tc>
                <w:tcPr>
                  <w:tcW w:w="2095" w:type="dxa"/>
                  <w:noWrap w:val="0"/>
                  <w:vAlign w:val="center"/>
                </w:tcPr>
                <w:p w14:paraId="5996DD01">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精加工</w:t>
                  </w:r>
                </w:p>
              </w:tc>
            </w:tr>
            <w:tr w14:paraId="25D06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noWrap w:val="0"/>
                  <w:vAlign w:val="center"/>
                </w:tcPr>
                <w:p w14:paraId="7A8D810C">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olor w:val="auto"/>
                      <w:sz w:val="21"/>
                      <w:szCs w:val="21"/>
                      <w:highlight w:val="none"/>
                      <w:lang w:val="en-US" w:eastAsia="zh-CN"/>
                    </w:rPr>
                    <w:t>11</w:t>
                  </w:r>
                </w:p>
              </w:tc>
              <w:tc>
                <w:tcPr>
                  <w:tcW w:w="1802" w:type="dxa"/>
                  <w:noWrap w:val="0"/>
                  <w:vAlign w:val="center"/>
                </w:tcPr>
                <w:p w14:paraId="58814CF5">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电退火炉</w:t>
                  </w:r>
                </w:p>
              </w:tc>
              <w:tc>
                <w:tcPr>
                  <w:tcW w:w="2212" w:type="dxa"/>
                  <w:noWrap w:val="0"/>
                  <w:vAlign w:val="center"/>
                </w:tcPr>
                <w:p w14:paraId="3CD51F9A">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3m×4m×2m</w:t>
                  </w:r>
                </w:p>
              </w:tc>
              <w:tc>
                <w:tcPr>
                  <w:tcW w:w="1151" w:type="dxa"/>
                  <w:noWrap w:val="0"/>
                  <w:vAlign w:val="center"/>
                </w:tcPr>
                <w:p w14:paraId="7D367BFC">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w:t>
                  </w:r>
                </w:p>
              </w:tc>
              <w:tc>
                <w:tcPr>
                  <w:tcW w:w="2095" w:type="dxa"/>
                  <w:noWrap w:val="0"/>
                  <w:vAlign w:val="center"/>
                </w:tcPr>
                <w:p w14:paraId="006C774A">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电退火</w:t>
                  </w:r>
                </w:p>
              </w:tc>
            </w:tr>
            <w:tr w14:paraId="71688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restart"/>
                  <w:noWrap w:val="0"/>
                  <w:vAlign w:val="center"/>
                </w:tcPr>
                <w:p w14:paraId="252673D2">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12</w:t>
                  </w:r>
                </w:p>
              </w:tc>
              <w:tc>
                <w:tcPr>
                  <w:tcW w:w="1802" w:type="dxa"/>
                  <w:vMerge w:val="restart"/>
                  <w:noWrap w:val="0"/>
                  <w:vAlign w:val="center"/>
                </w:tcPr>
                <w:p w14:paraId="46663097">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ascii="Times New Roman" w:hAnsi="Times New Roman" w:eastAsia="宋体"/>
                      <w:color w:val="auto"/>
                      <w:sz w:val="21"/>
                      <w:szCs w:val="21"/>
                      <w:highlight w:val="none"/>
                    </w:rPr>
                    <w:t>电动单梁起重机</w:t>
                  </w:r>
                </w:p>
              </w:tc>
              <w:tc>
                <w:tcPr>
                  <w:tcW w:w="2212" w:type="dxa"/>
                  <w:noWrap w:val="0"/>
                  <w:vAlign w:val="center"/>
                </w:tcPr>
                <w:p w14:paraId="6C9382EC">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ascii="Times New Roman" w:hAnsi="Times New Roman" w:eastAsia="宋体"/>
                      <w:color w:val="auto"/>
                      <w:sz w:val="21"/>
                      <w:szCs w:val="21"/>
                      <w:highlight w:val="none"/>
                    </w:rPr>
                    <w:t>LD5t-18.3m</w:t>
                  </w:r>
                </w:p>
              </w:tc>
              <w:tc>
                <w:tcPr>
                  <w:tcW w:w="1151" w:type="dxa"/>
                  <w:noWrap w:val="0"/>
                  <w:vAlign w:val="center"/>
                </w:tcPr>
                <w:p w14:paraId="4F8AB81D">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w:t>
                  </w:r>
                </w:p>
              </w:tc>
              <w:tc>
                <w:tcPr>
                  <w:tcW w:w="2095" w:type="dxa"/>
                  <w:vMerge w:val="restart"/>
                  <w:noWrap w:val="0"/>
                  <w:vAlign w:val="center"/>
                </w:tcPr>
                <w:p w14:paraId="49F4B696">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搬运、装卸</w:t>
                  </w:r>
                </w:p>
              </w:tc>
            </w:tr>
            <w:tr w14:paraId="30EA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continue"/>
                  <w:noWrap w:val="0"/>
                  <w:vAlign w:val="center"/>
                </w:tcPr>
                <w:p w14:paraId="6A22E78D">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p>
              </w:tc>
              <w:tc>
                <w:tcPr>
                  <w:tcW w:w="1802" w:type="dxa"/>
                  <w:vMerge w:val="continue"/>
                  <w:noWrap w:val="0"/>
                  <w:vAlign w:val="center"/>
                </w:tcPr>
                <w:p w14:paraId="6017FFF5">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p>
              </w:tc>
              <w:tc>
                <w:tcPr>
                  <w:tcW w:w="2212" w:type="dxa"/>
                  <w:noWrap w:val="0"/>
                  <w:vAlign w:val="center"/>
                </w:tcPr>
                <w:p w14:paraId="4830D9B2">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ascii="Times New Roman" w:hAnsi="Times New Roman" w:eastAsia="宋体"/>
                      <w:color w:val="auto"/>
                      <w:sz w:val="21"/>
                      <w:szCs w:val="21"/>
                      <w:highlight w:val="none"/>
                    </w:rPr>
                    <w:t>LDE8t+8t--26m</w:t>
                  </w:r>
                </w:p>
              </w:tc>
              <w:tc>
                <w:tcPr>
                  <w:tcW w:w="1151" w:type="dxa"/>
                  <w:noWrap w:val="0"/>
                  <w:vAlign w:val="center"/>
                </w:tcPr>
                <w:p w14:paraId="601268F6">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1</w:t>
                  </w:r>
                </w:p>
              </w:tc>
              <w:tc>
                <w:tcPr>
                  <w:tcW w:w="2095" w:type="dxa"/>
                  <w:vMerge w:val="continue"/>
                  <w:noWrap w:val="0"/>
                  <w:vAlign w:val="center"/>
                </w:tcPr>
                <w:p w14:paraId="5E34FD10">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p>
              </w:tc>
            </w:tr>
            <w:tr w14:paraId="4F0D8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vMerge w:val="continue"/>
                  <w:noWrap w:val="0"/>
                  <w:vAlign w:val="center"/>
                </w:tcPr>
                <w:p w14:paraId="165D6752">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p>
              </w:tc>
              <w:tc>
                <w:tcPr>
                  <w:tcW w:w="1802" w:type="dxa"/>
                  <w:vMerge w:val="continue"/>
                  <w:noWrap w:val="0"/>
                  <w:vAlign w:val="center"/>
                </w:tcPr>
                <w:p w14:paraId="04490BA8">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p>
              </w:tc>
              <w:tc>
                <w:tcPr>
                  <w:tcW w:w="2212" w:type="dxa"/>
                  <w:noWrap w:val="0"/>
                  <w:vAlign w:val="center"/>
                </w:tcPr>
                <w:p w14:paraId="7D5E3E01">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ascii="Times New Roman" w:hAnsi="Times New Roman" w:eastAsia="宋体"/>
                      <w:color w:val="auto"/>
                      <w:sz w:val="21"/>
                      <w:szCs w:val="21"/>
                      <w:highlight w:val="none"/>
                    </w:rPr>
                    <w:t>LDE8t+8t--23.55m</w:t>
                  </w:r>
                </w:p>
              </w:tc>
              <w:tc>
                <w:tcPr>
                  <w:tcW w:w="1151" w:type="dxa"/>
                  <w:noWrap w:val="0"/>
                  <w:vAlign w:val="center"/>
                </w:tcPr>
                <w:p w14:paraId="3F59B3DA">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w:t>
                  </w:r>
                </w:p>
              </w:tc>
              <w:tc>
                <w:tcPr>
                  <w:tcW w:w="2095" w:type="dxa"/>
                  <w:vMerge w:val="continue"/>
                  <w:noWrap w:val="0"/>
                  <w:vAlign w:val="center"/>
                </w:tcPr>
                <w:p w14:paraId="2F78031A">
                  <w:pPr>
                    <w:keepNext w:val="0"/>
                    <w:keepLines w:val="0"/>
                    <w:pageBreakBefore w:val="0"/>
                    <w:kinsoku/>
                    <w:wordWrap/>
                    <w:overflowPunct/>
                    <w:topLinePunct w:val="0"/>
                    <w:autoSpaceDE/>
                    <w:autoSpaceDN/>
                    <w:bidi w:val="0"/>
                    <w:adjustRightInd/>
                    <w:snapToGrid/>
                    <w:spacing w:line="240" w:lineRule="auto"/>
                    <w:ind w:left="0" w:firstLine="0" w:firstLineChars="0"/>
                    <w:jc w:val="both"/>
                    <w:textAlignment w:val="auto"/>
                    <w:rPr>
                      <w:rFonts w:hint="eastAsia" w:ascii="Times New Roman" w:hAnsi="Times New Roman" w:eastAsia="宋体"/>
                      <w:color w:val="auto"/>
                      <w:sz w:val="21"/>
                      <w:szCs w:val="21"/>
                      <w:highlight w:val="none"/>
                      <w:lang w:eastAsia="zh-CN"/>
                    </w:rPr>
                  </w:pPr>
                </w:p>
              </w:tc>
            </w:tr>
            <w:tr w14:paraId="120D4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56" w:type="dxa"/>
                  <w:noWrap w:val="0"/>
                  <w:vAlign w:val="center"/>
                </w:tcPr>
                <w:p w14:paraId="32E9DACD">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default" w:ascii="Times New Roman" w:hAnsi="Times New Roman" w:eastAsia="宋体"/>
                      <w:color w:val="auto"/>
                      <w:sz w:val="21"/>
                      <w:szCs w:val="21"/>
                      <w:highlight w:val="none"/>
                      <w:lang w:val="en-US" w:eastAsia="zh-CN"/>
                    </w:rPr>
                  </w:pPr>
                  <w:r>
                    <w:rPr>
                      <w:rFonts w:hint="eastAsia" w:ascii="Times New Roman" w:hAnsi="Times New Roman" w:eastAsia="宋体"/>
                      <w:color w:val="auto"/>
                      <w:sz w:val="21"/>
                      <w:szCs w:val="21"/>
                      <w:highlight w:val="none"/>
                      <w:lang w:val="en-US" w:eastAsia="zh-CN"/>
                    </w:rPr>
                    <w:t>13</w:t>
                  </w:r>
                </w:p>
              </w:tc>
              <w:tc>
                <w:tcPr>
                  <w:tcW w:w="1802" w:type="dxa"/>
                  <w:noWrap w:val="0"/>
                  <w:vAlign w:val="center"/>
                </w:tcPr>
                <w:p w14:paraId="1B1D20EE">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ascii="Times New Roman" w:hAnsi="Times New Roman" w:eastAsia="宋体"/>
                      <w:color w:val="auto"/>
                      <w:sz w:val="21"/>
                      <w:szCs w:val="21"/>
                      <w:highlight w:val="none"/>
                    </w:rPr>
                    <w:t>电动葫芦桥式起重机</w:t>
                  </w:r>
                </w:p>
              </w:tc>
              <w:tc>
                <w:tcPr>
                  <w:tcW w:w="2212" w:type="dxa"/>
                  <w:noWrap w:val="0"/>
                  <w:vAlign w:val="center"/>
                </w:tcPr>
                <w:p w14:paraId="6B6FD4D9">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val="en-US" w:eastAsia="zh-CN"/>
                    </w:rPr>
                  </w:pPr>
                  <w:r>
                    <w:rPr>
                      <w:rFonts w:ascii="Times New Roman" w:hAnsi="Times New Roman" w:eastAsia="宋体"/>
                      <w:color w:val="auto"/>
                      <w:sz w:val="21"/>
                      <w:szCs w:val="21"/>
                      <w:highlight w:val="none"/>
                    </w:rPr>
                    <w:t>LHE1t+1t-18.3</w:t>
                  </w:r>
                </w:p>
              </w:tc>
              <w:tc>
                <w:tcPr>
                  <w:tcW w:w="1151" w:type="dxa"/>
                  <w:noWrap w:val="0"/>
                  <w:vAlign w:val="center"/>
                </w:tcPr>
                <w:p w14:paraId="2B914B9A">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rPr>
                  </w:pPr>
                  <w:r>
                    <w:rPr>
                      <w:rFonts w:hint="eastAsia" w:ascii="Times New Roman" w:hAnsi="Times New Roman" w:eastAsia="宋体"/>
                      <w:color w:val="auto"/>
                      <w:sz w:val="21"/>
                      <w:szCs w:val="21"/>
                      <w:highlight w:val="none"/>
                    </w:rPr>
                    <w:t>2</w:t>
                  </w:r>
                </w:p>
              </w:tc>
              <w:tc>
                <w:tcPr>
                  <w:tcW w:w="2095" w:type="dxa"/>
                  <w:noWrap w:val="0"/>
                  <w:vAlign w:val="center"/>
                </w:tcPr>
                <w:p w14:paraId="11BC206D">
                  <w:pPr>
                    <w:keepNext w:val="0"/>
                    <w:keepLines w:val="0"/>
                    <w:pageBreakBefore w:val="0"/>
                    <w:kinsoku/>
                    <w:wordWrap/>
                    <w:overflowPunct/>
                    <w:topLinePunct w:val="0"/>
                    <w:autoSpaceDE/>
                    <w:autoSpaceDN/>
                    <w:bidi w:val="0"/>
                    <w:adjustRightInd/>
                    <w:snapToGrid/>
                    <w:spacing w:line="240" w:lineRule="auto"/>
                    <w:ind w:left="0" w:firstLine="0" w:firstLineChars="0"/>
                    <w:jc w:val="center"/>
                    <w:textAlignment w:val="auto"/>
                    <w:rPr>
                      <w:rFonts w:hint="eastAsia" w:ascii="Times New Roman" w:hAnsi="Times New Roman" w:eastAsia="宋体"/>
                      <w:color w:val="auto"/>
                      <w:sz w:val="21"/>
                      <w:szCs w:val="21"/>
                      <w:highlight w:val="none"/>
                      <w:lang w:eastAsia="zh-CN"/>
                    </w:rPr>
                  </w:pPr>
                  <w:r>
                    <w:rPr>
                      <w:rFonts w:hint="eastAsia" w:ascii="Times New Roman" w:hAnsi="Times New Roman" w:eastAsia="宋体"/>
                      <w:color w:val="auto"/>
                      <w:sz w:val="21"/>
                      <w:szCs w:val="21"/>
                      <w:highlight w:val="none"/>
                      <w:lang w:eastAsia="zh-CN"/>
                    </w:rPr>
                    <w:t>搬运、装卸</w:t>
                  </w:r>
                </w:p>
              </w:tc>
            </w:tr>
          </w:tbl>
          <w:p w14:paraId="47DD197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leftChars="0" w:right="0" w:firstLine="241" w:firstLineChars="100"/>
              <w:textAlignment w:val="auto"/>
              <w:outlineLvl w:val="9"/>
              <w:rPr>
                <w:rFonts w:hint="default" w:ascii="Times New Roman" w:hAnsi="Times New Roman" w:eastAsia="宋体" w:cs="Times New Roman"/>
                <w:b/>
                <w:color w:val="auto"/>
                <w:sz w:val="24"/>
                <w:szCs w:val="22"/>
                <w:lang w:val="en-US" w:eastAsia="zh-CN"/>
              </w:rPr>
            </w:pPr>
            <w:r>
              <w:rPr>
                <w:rFonts w:hint="eastAsia" w:ascii="Times New Roman" w:hAnsi="Times New Roman" w:eastAsia="宋体" w:cs="Times New Roman"/>
                <w:b/>
                <w:color w:val="auto"/>
                <w:sz w:val="24"/>
                <w:szCs w:val="22"/>
                <w:lang w:val="en-US" w:eastAsia="zh-CN"/>
              </w:rPr>
              <w:t>7</w:t>
            </w:r>
            <w:r>
              <w:rPr>
                <w:rFonts w:hint="default" w:ascii="Times New Roman" w:hAnsi="Times New Roman" w:eastAsia="宋体" w:cs="Times New Roman"/>
                <w:b/>
                <w:color w:val="auto"/>
                <w:sz w:val="24"/>
                <w:szCs w:val="22"/>
                <w:lang w:val="en-US" w:eastAsia="zh-CN"/>
              </w:rPr>
              <w:t>、</w:t>
            </w:r>
            <w:r>
              <w:rPr>
                <w:rFonts w:hint="eastAsia" w:ascii="Times New Roman" w:hAnsi="Times New Roman" w:eastAsia="宋体" w:cs="Times New Roman"/>
                <w:b/>
                <w:color w:val="auto"/>
                <w:sz w:val="24"/>
                <w:szCs w:val="22"/>
                <w:lang w:val="en-US" w:eastAsia="zh-CN"/>
              </w:rPr>
              <w:t>公用工程</w:t>
            </w:r>
          </w:p>
          <w:p w14:paraId="6B17CB81">
            <w:pPr>
              <w:keepNext w:val="0"/>
              <w:keepLines w:val="0"/>
              <w:pageBreakBefore w:val="0"/>
              <w:widowControl w:val="0"/>
              <w:tabs>
                <w:tab w:val="left" w:pos="1260"/>
              </w:tabs>
              <w:kinsoku/>
              <w:wordWrap/>
              <w:overflowPunct/>
              <w:topLinePunct w:val="0"/>
              <w:autoSpaceDE/>
              <w:autoSpaceDN/>
              <w:bidi w:val="0"/>
              <w:adjustRightInd w:val="0"/>
              <w:spacing w:line="520" w:lineRule="exact"/>
              <w:ind w:firstLine="480" w:firstLineChars="200"/>
              <w:textAlignment w:val="auto"/>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1</w:t>
            </w:r>
            <w:r>
              <w:rPr>
                <w:rFonts w:hint="eastAsia" w:ascii="Times New Roman" w:hAnsi="Times New Roman" w:eastAsia="宋体" w:cs="Times New Roman"/>
                <w:color w:val="auto"/>
                <w:sz w:val="24"/>
                <w:szCs w:val="24"/>
                <w:lang w:eastAsia="zh-CN"/>
              </w:rPr>
              <w:t>）供水</w:t>
            </w:r>
          </w:p>
          <w:p w14:paraId="34EA438D">
            <w:pPr>
              <w:pStyle w:val="7"/>
              <w:keepNext w:val="0"/>
              <w:keepLines w:val="0"/>
              <w:pageBreakBefore w:val="0"/>
              <w:widowControl w:val="0"/>
              <w:kinsoku/>
              <w:wordWrap/>
              <w:overflowPunct/>
              <w:topLinePunct w:val="0"/>
              <w:autoSpaceDE/>
              <w:autoSpaceDN/>
              <w:bidi w:val="0"/>
              <w:spacing w:line="520" w:lineRule="exact"/>
              <w:textAlignment w:val="auto"/>
              <w:rPr>
                <w:rFonts w:hint="eastAsia" w:ascii="Times New Roman" w:hAnsi="Times New Roman"/>
                <w:color w:val="auto"/>
                <w:sz w:val="24"/>
              </w:rPr>
            </w:pPr>
            <w:r>
              <w:rPr>
                <w:rFonts w:hint="eastAsia" w:ascii="Times New Roman" w:hAnsi="Times New Roman" w:eastAsia="宋体" w:cs="Times New Roman"/>
                <w:b w:val="0"/>
                <w:bCs w:val="0"/>
                <w:color w:val="000000"/>
                <w:sz w:val="24"/>
              </w:rPr>
              <w:t>本项目用水主要为</w:t>
            </w:r>
            <w:r>
              <w:rPr>
                <w:rFonts w:hint="default" w:ascii="Times New Roman" w:hAnsi="Times New Roman" w:eastAsia="宋体" w:cs="Times New Roman"/>
                <w:color w:val="000000"/>
                <w:sz w:val="24"/>
                <w:szCs w:val="24"/>
                <w:lang w:eastAsia="zh-CN"/>
              </w:rPr>
              <w:t>职工生活用水</w:t>
            </w:r>
            <w:r>
              <w:rPr>
                <w:rFonts w:hint="eastAsia" w:ascii="Times New Roman" w:hAnsi="Times New Roman" w:eastAsia="宋体" w:cs="Times New Roman"/>
                <w:b w:val="0"/>
                <w:bCs w:val="0"/>
                <w:color w:val="000000"/>
                <w:sz w:val="24"/>
              </w:rPr>
              <w:t>。</w:t>
            </w:r>
            <w:r>
              <w:rPr>
                <w:rFonts w:hint="default" w:ascii="Times New Roman" w:hAnsi="Times New Roman" w:eastAsia="宋体" w:cs="Times New Roman"/>
                <w:b w:val="0"/>
                <w:bCs w:val="0"/>
                <w:color w:val="000000"/>
                <w:sz w:val="24"/>
              </w:rPr>
              <w:t>项目劳动定员</w:t>
            </w:r>
            <w:r>
              <w:rPr>
                <w:rFonts w:hint="eastAsia" w:ascii="Times New Roman" w:hAnsi="Times New Roman" w:eastAsia="宋体" w:cs="Times New Roman"/>
                <w:b w:val="0"/>
                <w:bCs w:val="0"/>
                <w:color w:val="000000"/>
                <w:sz w:val="24"/>
                <w:lang w:val="en-US" w:eastAsia="zh-CN"/>
              </w:rPr>
              <w:t>40</w:t>
            </w:r>
            <w:r>
              <w:rPr>
                <w:rFonts w:hint="default" w:ascii="Times New Roman" w:hAnsi="Times New Roman" w:eastAsia="宋体" w:cs="Times New Roman"/>
                <w:b w:val="0"/>
                <w:bCs w:val="0"/>
                <w:color w:val="000000"/>
                <w:sz w:val="24"/>
              </w:rPr>
              <w:t>人，</w:t>
            </w:r>
            <w:r>
              <w:rPr>
                <w:rFonts w:hint="eastAsia" w:ascii="Times New Roman" w:hAnsi="Times New Roman" w:eastAsia="宋体" w:cs="Times New Roman"/>
                <w:b w:val="0"/>
                <w:bCs w:val="0"/>
                <w:color w:val="000000"/>
                <w:sz w:val="24"/>
                <w:lang w:eastAsia="zh-CN"/>
              </w:rPr>
              <w:t>单班生产</w:t>
            </w:r>
            <w:r>
              <w:rPr>
                <w:rFonts w:hint="eastAsia" w:ascii="Times New Roman" w:hAnsi="Times New Roman" w:eastAsia="宋体" w:cs="Times New Roman"/>
                <w:b w:val="0"/>
                <w:bCs w:val="0"/>
                <w:color w:val="000000"/>
                <w:sz w:val="24"/>
                <w:lang w:val="en-US" w:eastAsia="zh-CN"/>
              </w:rPr>
              <w:t>，年工作260天，员工均不在厂内食宿，本项目员工用水量按照30L/人</w:t>
            </w:r>
            <w:r>
              <w:rPr>
                <w:rFonts w:hint="eastAsia" w:ascii="Times New Roman" w:hAnsi="Times New Roman" w:eastAsia="宋体" w:cs="宋体"/>
                <w:sz w:val="24"/>
              </w:rPr>
              <w:t>·</w:t>
            </w:r>
            <w:r>
              <w:rPr>
                <w:rFonts w:hint="eastAsia" w:ascii="Times New Roman" w:hAnsi="Times New Roman" w:eastAsia="宋体" w:cs="Times New Roman"/>
                <w:b w:val="0"/>
                <w:bCs w:val="0"/>
                <w:color w:val="000000"/>
                <w:sz w:val="24"/>
                <w:lang w:val="en-US" w:eastAsia="zh-CN"/>
              </w:rPr>
              <w:t>天计算，则项目员工用水量为</w:t>
            </w:r>
            <w:r>
              <w:rPr>
                <w:rFonts w:hint="eastAsia" w:ascii="Times New Roman" w:hAnsi="Times New Roman" w:eastAsia="宋体" w:cs="Times New Roman"/>
                <w:b w:val="0"/>
                <w:bCs w:val="0"/>
                <w:color w:val="000000"/>
                <w:sz w:val="24"/>
                <w:szCs w:val="24"/>
                <w:u w:val="none"/>
                <w:lang w:val="en-US" w:eastAsia="zh-CN"/>
              </w:rPr>
              <w:t>1.2</w:t>
            </w:r>
            <w:r>
              <w:rPr>
                <w:rFonts w:hint="default" w:ascii="Times New Roman" w:hAnsi="Times New Roman" w:eastAsia="宋体" w:cs="Times New Roman"/>
                <w:b w:val="0"/>
                <w:bCs w:val="0"/>
                <w:color w:val="000000"/>
                <w:sz w:val="24"/>
                <w:szCs w:val="24"/>
                <w:u w:val="none"/>
                <w:lang w:val="en-US" w:eastAsia="zh-CN"/>
              </w:rPr>
              <w:t>m</w:t>
            </w:r>
            <w:r>
              <w:rPr>
                <w:rFonts w:hint="default" w:ascii="Times New Roman" w:hAnsi="Times New Roman" w:eastAsia="宋体" w:cs="Times New Roman"/>
                <w:b w:val="0"/>
                <w:bCs w:val="0"/>
                <w:color w:val="000000"/>
                <w:sz w:val="24"/>
                <w:szCs w:val="24"/>
                <w:u w:val="none"/>
                <w:vertAlign w:val="superscript"/>
                <w:lang w:val="en-US" w:eastAsia="zh-CN"/>
              </w:rPr>
              <w:t>3</w:t>
            </w:r>
            <w:r>
              <w:rPr>
                <w:rFonts w:hint="default" w:ascii="Times New Roman" w:hAnsi="Times New Roman" w:eastAsia="宋体" w:cs="Times New Roman"/>
                <w:b w:val="0"/>
                <w:bCs w:val="0"/>
                <w:color w:val="000000"/>
                <w:sz w:val="24"/>
                <w:szCs w:val="24"/>
                <w:u w:val="none"/>
              </w:rPr>
              <w:t>/d（</w:t>
            </w:r>
            <w:r>
              <w:rPr>
                <w:rFonts w:hint="eastAsia" w:ascii="Times New Roman" w:hAnsi="Times New Roman" w:eastAsia="宋体" w:cs="Times New Roman"/>
                <w:b w:val="0"/>
                <w:bCs w:val="0"/>
                <w:color w:val="000000"/>
                <w:sz w:val="24"/>
                <w:szCs w:val="24"/>
                <w:u w:val="none"/>
                <w:lang w:val="en-US" w:eastAsia="zh-CN"/>
              </w:rPr>
              <w:t>312</w:t>
            </w:r>
            <w:r>
              <w:rPr>
                <w:rFonts w:hint="default" w:ascii="Times New Roman" w:hAnsi="Times New Roman" w:eastAsia="宋体" w:cs="Times New Roman"/>
                <w:b w:val="0"/>
                <w:bCs w:val="0"/>
                <w:color w:val="000000"/>
                <w:sz w:val="24"/>
                <w:szCs w:val="24"/>
                <w:u w:val="none"/>
                <w:lang w:val="en-US" w:eastAsia="zh-CN"/>
              </w:rPr>
              <w:t>m</w:t>
            </w:r>
            <w:r>
              <w:rPr>
                <w:rFonts w:hint="default" w:ascii="Times New Roman" w:hAnsi="Times New Roman" w:eastAsia="宋体" w:cs="Times New Roman"/>
                <w:b w:val="0"/>
                <w:bCs w:val="0"/>
                <w:color w:val="000000"/>
                <w:sz w:val="24"/>
                <w:szCs w:val="24"/>
                <w:u w:val="none"/>
                <w:vertAlign w:val="superscript"/>
                <w:lang w:val="en-US" w:eastAsia="zh-CN"/>
              </w:rPr>
              <w:t>3</w:t>
            </w:r>
            <w:r>
              <w:rPr>
                <w:rFonts w:hint="default" w:ascii="Times New Roman" w:hAnsi="Times New Roman" w:eastAsia="宋体" w:cs="Times New Roman"/>
                <w:b w:val="0"/>
                <w:bCs w:val="0"/>
                <w:color w:val="000000"/>
                <w:sz w:val="24"/>
                <w:szCs w:val="24"/>
                <w:u w:val="none"/>
              </w:rPr>
              <w:t>/a）</w:t>
            </w:r>
            <w:r>
              <w:rPr>
                <w:rFonts w:hint="default" w:ascii="Times New Roman" w:hAnsi="Times New Roman" w:eastAsia="宋体" w:cs="Times New Roman"/>
                <w:b w:val="0"/>
                <w:bCs w:val="0"/>
                <w:color w:val="000000"/>
                <w:sz w:val="24"/>
              </w:rPr>
              <w:t>。</w:t>
            </w:r>
          </w:p>
          <w:p w14:paraId="5BFD596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color w:val="auto"/>
                <w:sz w:val="24"/>
              </w:rPr>
            </w:pPr>
            <w:r>
              <w:rPr>
                <w:rFonts w:hint="default" w:ascii="Times New Roman" w:hAnsi="Times New Roman" w:eastAsia="宋体" w:cs="Times New Roman"/>
                <w:bCs/>
                <w:color w:val="auto"/>
                <w:sz w:val="24"/>
                <w:shd w:val="clear" w:color="auto" w:fill="FFFFFF"/>
              </w:rPr>
              <w:t>（2）排水</w:t>
            </w:r>
          </w:p>
          <w:p w14:paraId="64EEFBDD">
            <w:pPr>
              <w:tabs>
                <w:tab w:val="left" w:pos="1260"/>
              </w:tabs>
              <w:adjustRightInd w:val="0"/>
              <w:spacing w:line="520" w:lineRule="exact"/>
              <w:ind w:firstLine="480" w:firstLineChars="200"/>
              <w:rPr>
                <w:rFonts w:hint="eastAsia" w:eastAsia="宋体"/>
                <w:color w:val="auto"/>
                <w:sz w:val="24"/>
                <w:lang w:eastAsia="zh-CN"/>
              </w:rPr>
            </w:pPr>
            <w:r>
              <w:rPr>
                <w:color w:val="auto"/>
                <w:sz w:val="24"/>
              </w:rPr>
              <w:t>本项目</w:t>
            </w:r>
            <w:r>
              <w:rPr>
                <w:rFonts w:hint="eastAsia"/>
                <w:color w:val="auto"/>
                <w:sz w:val="24"/>
              </w:rPr>
              <w:t>生活用水量为</w:t>
            </w:r>
            <w:r>
              <w:rPr>
                <w:rFonts w:hint="eastAsia" w:ascii="Times New Roman" w:hAnsi="Times New Roman" w:eastAsia="宋体" w:cs="Times New Roman"/>
                <w:b w:val="0"/>
                <w:bCs w:val="0"/>
                <w:color w:val="000000"/>
                <w:sz w:val="24"/>
                <w:szCs w:val="24"/>
                <w:u w:val="none"/>
                <w:lang w:val="en-US" w:eastAsia="zh-CN"/>
              </w:rPr>
              <w:t>1.2</w:t>
            </w:r>
            <w:r>
              <w:rPr>
                <w:rFonts w:hint="default" w:ascii="Times New Roman" w:hAnsi="Times New Roman" w:eastAsia="宋体" w:cs="Times New Roman"/>
                <w:b w:val="0"/>
                <w:bCs w:val="0"/>
                <w:color w:val="000000"/>
                <w:sz w:val="24"/>
                <w:szCs w:val="24"/>
                <w:u w:val="none"/>
                <w:lang w:val="en-US" w:eastAsia="zh-CN"/>
              </w:rPr>
              <w:t>m</w:t>
            </w:r>
            <w:r>
              <w:rPr>
                <w:rFonts w:hint="default" w:ascii="Times New Roman" w:hAnsi="Times New Roman" w:eastAsia="宋体" w:cs="Times New Roman"/>
                <w:b w:val="0"/>
                <w:bCs w:val="0"/>
                <w:color w:val="000000"/>
                <w:sz w:val="24"/>
                <w:szCs w:val="24"/>
                <w:u w:val="none"/>
                <w:vertAlign w:val="superscript"/>
                <w:lang w:val="en-US" w:eastAsia="zh-CN"/>
              </w:rPr>
              <w:t>3</w:t>
            </w:r>
            <w:r>
              <w:rPr>
                <w:rFonts w:hint="default" w:ascii="Times New Roman" w:hAnsi="Times New Roman" w:eastAsia="宋体" w:cs="Times New Roman"/>
                <w:b w:val="0"/>
                <w:bCs w:val="0"/>
                <w:color w:val="000000"/>
                <w:sz w:val="24"/>
                <w:szCs w:val="24"/>
                <w:u w:val="none"/>
              </w:rPr>
              <w:t>/d（</w:t>
            </w:r>
            <w:r>
              <w:rPr>
                <w:rFonts w:hint="eastAsia" w:ascii="Times New Roman" w:hAnsi="Times New Roman" w:eastAsia="宋体" w:cs="Times New Roman"/>
                <w:b w:val="0"/>
                <w:bCs w:val="0"/>
                <w:color w:val="000000"/>
                <w:sz w:val="24"/>
                <w:szCs w:val="24"/>
                <w:u w:val="none"/>
                <w:lang w:val="en-US" w:eastAsia="zh-CN"/>
              </w:rPr>
              <w:t>312</w:t>
            </w:r>
            <w:r>
              <w:rPr>
                <w:rFonts w:hint="default" w:ascii="Times New Roman" w:hAnsi="Times New Roman" w:eastAsia="宋体" w:cs="Times New Roman"/>
                <w:b w:val="0"/>
                <w:bCs w:val="0"/>
                <w:color w:val="000000"/>
                <w:sz w:val="24"/>
                <w:szCs w:val="24"/>
                <w:u w:val="none"/>
                <w:lang w:val="en-US" w:eastAsia="zh-CN"/>
              </w:rPr>
              <w:t>m</w:t>
            </w:r>
            <w:r>
              <w:rPr>
                <w:rFonts w:hint="default" w:ascii="Times New Roman" w:hAnsi="Times New Roman" w:eastAsia="宋体" w:cs="Times New Roman"/>
                <w:b w:val="0"/>
                <w:bCs w:val="0"/>
                <w:color w:val="000000"/>
                <w:sz w:val="24"/>
                <w:szCs w:val="24"/>
                <w:u w:val="none"/>
                <w:vertAlign w:val="superscript"/>
                <w:lang w:val="en-US" w:eastAsia="zh-CN"/>
              </w:rPr>
              <w:t>3</w:t>
            </w:r>
            <w:r>
              <w:rPr>
                <w:rFonts w:hint="default" w:ascii="Times New Roman" w:hAnsi="Times New Roman" w:eastAsia="宋体" w:cs="Times New Roman"/>
                <w:b w:val="0"/>
                <w:bCs w:val="0"/>
                <w:color w:val="000000"/>
                <w:sz w:val="24"/>
                <w:szCs w:val="24"/>
                <w:u w:val="none"/>
              </w:rPr>
              <w:t>/a）</w:t>
            </w:r>
            <w:r>
              <w:rPr>
                <w:rFonts w:hint="eastAsia"/>
                <w:color w:val="auto"/>
                <w:sz w:val="24"/>
                <w:lang w:eastAsia="zh-CN"/>
              </w:rPr>
              <w:t>，</w:t>
            </w:r>
            <w:r>
              <w:rPr>
                <w:rFonts w:hint="default" w:ascii="Times New Roman" w:hAnsi="Times New Roman" w:cs="Times New Roman"/>
                <w:color w:val="auto"/>
                <w:sz w:val="24"/>
              </w:rPr>
              <w:t>排放系数以0.8计，则生活污水排放量为</w:t>
            </w:r>
            <w:r>
              <w:rPr>
                <w:rFonts w:hint="eastAsia" w:ascii="Times New Roman" w:hAnsi="Times New Roman" w:eastAsia="宋体" w:cs="Times New Roman"/>
                <w:b w:val="0"/>
                <w:bCs w:val="0"/>
                <w:color w:val="000000"/>
                <w:sz w:val="24"/>
                <w:szCs w:val="24"/>
                <w:u w:val="none"/>
                <w:lang w:val="en-US" w:eastAsia="zh-CN"/>
              </w:rPr>
              <w:t>0.96</w:t>
            </w:r>
            <w:r>
              <w:rPr>
                <w:rFonts w:hint="default" w:ascii="Times New Roman" w:hAnsi="Times New Roman" w:eastAsia="宋体" w:cs="Times New Roman"/>
                <w:b w:val="0"/>
                <w:bCs w:val="0"/>
                <w:color w:val="000000"/>
                <w:sz w:val="24"/>
                <w:szCs w:val="24"/>
                <w:u w:val="none"/>
                <w:lang w:val="en-US" w:eastAsia="zh-CN"/>
              </w:rPr>
              <w:t>m</w:t>
            </w:r>
            <w:r>
              <w:rPr>
                <w:rFonts w:hint="default" w:ascii="Times New Roman" w:hAnsi="Times New Roman" w:eastAsia="宋体" w:cs="Times New Roman"/>
                <w:b w:val="0"/>
                <w:bCs w:val="0"/>
                <w:color w:val="000000"/>
                <w:sz w:val="24"/>
                <w:szCs w:val="24"/>
                <w:u w:val="none"/>
                <w:vertAlign w:val="superscript"/>
                <w:lang w:val="en-US" w:eastAsia="zh-CN"/>
              </w:rPr>
              <w:t>3</w:t>
            </w:r>
            <w:r>
              <w:rPr>
                <w:rFonts w:hint="default" w:ascii="Times New Roman" w:hAnsi="Times New Roman" w:eastAsia="宋体" w:cs="Times New Roman"/>
                <w:b w:val="0"/>
                <w:bCs w:val="0"/>
                <w:color w:val="000000"/>
                <w:sz w:val="24"/>
                <w:szCs w:val="24"/>
                <w:u w:val="none"/>
              </w:rPr>
              <w:t>/d（</w:t>
            </w:r>
            <w:r>
              <w:rPr>
                <w:rFonts w:hint="eastAsia" w:ascii="Times New Roman" w:hAnsi="Times New Roman" w:eastAsia="宋体" w:cs="Times New Roman"/>
                <w:b w:val="0"/>
                <w:bCs w:val="0"/>
                <w:color w:val="000000"/>
                <w:sz w:val="24"/>
                <w:szCs w:val="24"/>
                <w:u w:val="none"/>
                <w:lang w:val="en-US" w:eastAsia="zh-CN"/>
              </w:rPr>
              <w:t>249.6</w:t>
            </w:r>
            <w:r>
              <w:rPr>
                <w:rFonts w:hint="default" w:ascii="Times New Roman" w:hAnsi="Times New Roman" w:eastAsia="宋体" w:cs="Times New Roman"/>
                <w:b w:val="0"/>
                <w:bCs w:val="0"/>
                <w:color w:val="000000"/>
                <w:sz w:val="24"/>
                <w:szCs w:val="24"/>
                <w:u w:val="none"/>
                <w:lang w:val="en-US" w:eastAsia="zh-CN"/>
              </w:rPr>
              <w:t>m</w:t>
            </w:r>
            <w:r>
              <w:rPr>
                <w:rFonts w:hint="default" w:ascii="Times New Roman" w:hAnsi="Times New Roman" w:eastAsia="宋体" w:cs="Times New Roman"/>
                <w:b w:val="0"/>
                <w:bCs w:val="0"/>
                <w:color w:val="000000"/>
                <w:sz w:val="24"/>
                <w:szCs w:val="24"/>
                <w:u w:val="none"/>
                <w:vertAlign w:val="superscript"/>
                <w:lang w:val="en-US" w:eastAsia="zh-CN"/>
              </w:rPr>
              <w:t>3</w:t>
            </w:r>
            <w:r>
              <w:rPr>
                <w:rFonts w:hint="default" w:ascii="Times New Roman" w:hAnsi="Times New Roman" w:eastAsia="宋体" w:cs="Times New Roman"/>
                <w:b w:val="0"/>
                <w:bCs w:val="0"/>
                <w:color w:val="000000"/>
                <w:sz w:val="24"/>
                <w:szCs w:val="24"/>
                <w:u w:val="none"/>
              </w:rPr>
              <w:t>/a）</w:t>
            </w:r>
            <w:r>
              <w:rPr>
                <w:rFonts w:hint="eastAsia"/>
                <w:color w:val="auto"/>
                <w:sz w:val="24"/>
              </w:rPr>
              <w:t>。</w:t>
            </w:r>
            <w:r>
              <w:rPr>
                <w:rFonts w:hint="eastAsia"/>
                <w:color w:val="auto"/>
                <w:sz w:val="24"/>
                <w:lang w:eastAsia="zh-CN"/>
              </w:rPr>
              <w:t>生活污水经园区化粪池处理后排入新乡县综合污水处理厂进一步处理。</w:t>
            </w:r>
          </w:p>
          <w:p w14:paraId="793C5BDD">
            <w:pPr>
              <w:pStyle w:val="5"/>
              <w:keepNext w:val="0"/>
              <w:keepLines w:val="0"/>
              <w:pageBreakBefore w:val="0"/>
              <w:widowControl w:val="0"/>
              <w:kinsoku/>
              <w:wordWrap/>
              <w:overflowPunct/>
              <w:topLinePunct w:val="0"/>
              <w:autoSpaceDE/>
              <w:autoSpaceDN/>
              <w:bidi w:val="0"/>
              <w:adjustRightInd/>
              <w:snapToGrid w:val="0"/>
              <w:spacing w:line="520" w:lineRule="exact"/>
              <w:ind w:right="0" w:firstLine="480" w:firstLineChars="200"/>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（3）</w:t>
            </w:r>
            <w:r>
              <w:rPr>
                <w:rFonts w:hint="default" w:ascii="Times New Roman" w:hAnsi="Times New Roman" w:eastAsia="宋体" w:cs="Times New Roman"/>
                <w:b w:val="0"/>
                <w:bCs w:val="0"/>
                <w:color w:val="auto"/>
                <w:sz w:val="24"/>
                <w:szCs w:val="24"/>
              </w:rPr>
              <w:t>供电</w:t>
            </w:r>
          </w:p>
          <w:p w14:paraId="7693FDC2">
            <w:pPr>
              <w:pStyle w:val="59"/>
              <w:keepNext w:val="0"/>
              <w:keepLines w:val="0"/>
              <w:pageBreakBefore w:val="0"/>
              <w:widowControl w:val="0"/>
              <w:kinsoku/>
              <w:wordWrap/>
              <w:overflowPunct/>
              <w:topLinePunct w:val="0"/>
              <w:autoSpaceDE/>
              <w:autoSpaceDN/>
              <w:bidi w:val="0"/>
              <w:adjustRightInd/>
              <w:snapToGrid w:val="0"/>
              <w:spacing w:line="520" w:lineRule="exact"/>
              <w:ind w:right="0" w:firstLine="482"/>
              <w:jc w:val="both"/>
              <w:textAlignment w:val="auto"/>
              <w:rPr>
                <w:rFonts w:hint="eastAsia" w:ascii="Times New Roman" w:hAnsi="Times New Roman" w:eastAsia="宋体" w:cs="Times New Roman"/>
                <w:b/>
                <w:color w:val="auto"/>
                <w:lang w:val="en-US" w:eastAsia="zh-CN"/>
              </w:rPr>
            </w:pPr>
            <w:r>
              <w:rPr>
                <w:rFonts w:hint="default" w:ascii="Times New Roman" w:hAnsi="Times New Roman" w:eastAsia="宋体" w:cs="Times New Roman"/>
                <w:bCs/>
                <w:color w:val="auto"/>
                <w:sz w:val="24"/>
                <w:szCs w:val="24"/>
                <w:lang w:eastAsia="zh-CN"/>
              </w:rPr>
              <w:t>本</w:t>
            </w:r>
            <w:r>
              <w:rPr>
                <w:rFonts w:hint="default" w:ascii="Times New Roman" w:hAnsi="Times New Roman" w:eastAsia="宋体" w:cs="Times New Roman"/>
                <w:bCs/>
                <w:color w:val="auto"/>
                <w:sz w:val="24"/>
                <w:szCs w:val="24"/>
              </w:rPr>
              <w:t>项目用电量</w:t>
            </w:r>
            <w:r>
              <w:rPr>
                <w:rFonts w:hint="eastAsia" w:ascii="Times New Roman" w:hAnsi="Times New Roman" w:eastAsia="宋体" w:cs="Times New Roman"/>
                <w:bCs/>
                <w:color w:val="auto"/>
                <w:sz w:val="24"/>
                <w:szCs w:val="24"/>
                <w:lang w:val="en-US" w:eastAsia="zh-CN"/>
              </w:rPr>
              <w:t>40</w:t>
            </w:r>
            <w:r>
              <w:rPr>
                <w:rFonts w:hint="default" w:ascii="Times New Roman" w:hAnsi="Times New Roman" w:eastAsia="宋体" w:cs="Times New Roman"/>
                <w:bCs/>
                <w:color w:val="auto"/>
                <w:sz w:val="24"/>
                <w:szCs w:val="24"/>
              </w:rPr>
              <w:t>万kW·h/a，</w:t>
            </w:r>
            <w:r>
              <w:rPr>
                <w:rFonts w:hint="default" w:ascii="Times New Roman" w:hAnsi="Times New Roman" w:eastAsia="宋体" w:cs="Times New Roman"/>
                <w:color w:val="auto"/>
                <w:sz w:val="24"/>
                <w:szCs w:val="24"/>
              </w:rPr>
              <w:t>由</w:t>
            </w:r>
            <w:r>
              <w:rPr>
                <w:rFonts w:hint="eastAsia" w:ascii="Times New Roman" w:hAnsi="Times New Roman" w:eastAsia="宋体" w:cs="Times New Roman"/>
                <w:color w:val="auto"/>
                <w:sz w:val="24"/>
                <w:szCs w:val="24"/>
                <w:lang w:val="en-US" w:eastAsia="zh-CN"/>
              </w:rPr>
              <w:t>国家电网供</w:t>
            </w:r>
            <w:r>
              <w:rPr>
                <w:rFonts w:hint="default" w:ascii="Times New Roman" w:hAnsi="Times New Roman" w:eastAsia="宋体" w:cs="Times New Roman"/>
                <w:color w:val="auto"/>
                <w:sz w:val="24"/>
                <w:szCs w:val="24"/>
                <w:lang w:val="en-US" w:eastAsia="zh-CN"/>
              </w:rPr>
              <w:t>电</w:t>
            </w:r>
            <w:r>
              <w:rPr>
                <w:rFonts w:hint="default" w:ascii="Times New Roman" w:hAnsi="Times New Roman" w:eastAsia="宋体" w:cs="Times New Roman"/>
                <w:color w:val="auto"/>
                <w:spacing w:val="-48"/>
                <w:sz w:val="24"/>
                <w:szCs w:val="24"/>
              </w:rPr>
              <w:t>，</w:t>
            </w:r>
            <w:r>
              <w:rPr>
                <w:rFonts w:hint="default" w:ascii="Times New Roman" w:hAnsi="Times New Roman" w:eastAsia="宋体" w:cs="Times New Roman"/>
                <w:color w:val="auto"/>
                <w:sz w:val="24"/>
                <w:szCs w:val="24"/>
              </w:rPr>
              <w:t>主要用于项目生产设备用电，可满足项目生产的需求</w:t>
            </w:r>
            <w:r>
              <w:rPr>
                <w:rFonts w:hint="eastAsia" w:ascii="Times New Roman" w:hAnsi="Times New Roman" w:eastAsia="宋体" w:cs="Times New Roman"/>
                <w:color w:val="auto"/>
                <w:sz w:val="24"/>
                <w:szCs w:val="24"/>
                <w:lang w:eastAsia="zh-CN"/>
              </w:rPr>
              <w:t>。</w:t>
            </w:r>
          </w:p>
          <w:p w14:paraId="4635EC8D">
            <w:pPr>
              <w:pStyle w:val="59"/>
              <w:keepNext w:val="0"/>
              <w:keepLines w:val="0"/>
              <w:pageBreakBefore w:val="0"/>
              <w:widowControl w:val="0"/>
              <w:tabs>
                <w:tab w:val="left" w:pos="388"/>
              </w:tabs>
              <w:kinsoku/>
              <w:wordWrap/>
              <w:overflowPunct/>
              <w:topLinePunct w:val="0"/>
              <w:autoSpaceDE/>
              <w:autoSpaceDN/>
              <w:bidi w:val="0"/>
              <w:adjustRightInd/>
              <w:snapToGrid w:val="0"/>
              <w:spacing w:line="520" w:lineRule="exact"/>
              <w:ind w:right="0" w:firstLine="482"/>
              <w:jc w:val="both"/>
              <w:textAlignment w:val="auto"/>
              <w:rPr>
                <w:rFonts w:hint="default" w:ascii="Times New Roman" w:hAnsi="Times New Roman" w:cs="Times New Roman"/>
                <w:b/>
                <w:color w:val="auto"/>
              </w:rPr>
            </w:pPr>
            <w:r>
              <w:rPr>
                <w:rFonts w:hint="eastAsia" w:ascii="Times New Roman" w:hAnsi="Times New Roman" w:eastAsia="宋体" w:cs="Times New Roman"/>
                <w:b/>
                <w:color w:val="auto"/>
                <w:lang w:val="en-US" w:eastAsia="zh-CN"/>
              </w:rPr>
              <w:t>8</w:t>
            </w:r>
            <w:r>
              <w:rPr>
                <w:rFonts w:hint="default" w:ascii="Times New Roman" w:hAnsi="Times New Roman" w:eastAsia="宋体" w:cs="Times New Roman"/>
                <w:b/>
                <w:color w:val="auto"/>
                <w:lang w:val="en-US" w:eastAsia="zh-CN"/>
              </w:rPr>
              <w:t>、</w:t>
            </w:r>
            <w:r>
              <w:rPr>
                <w:rFonts w:hint="default" w:ascii="Times New Roman" w:hAnsi="Times New Roman" w:eastAsia="宋体" w:cs="Times New Roman"/>
                <w:b/>
                <w:color w:val="auto"/>
              </w:rPr>
              <w:t>工作制度及劳动定员</w:t>
            </w:r>
          </w:p>
          <w:p w14:paraId="7CB67AC7">
            <w:pPr>
              <w:keepNext w:val="0"/>
              <w:keepLines w:val="0"/>
              <w:pageBreakBefore w:val="0"/>
              <w:widowControl w:val="0"/>
              <w:kinsoku/>
              <w:wordWrap/>
              <w:overflowPunct/>
              <w:topLinePunct w:val="0"/>
              <w:autoSpaceDE/>
              <w:autoSpaceDN/>
              <w:bidi w:val="0"/>
              <w:adjustRightInd/>
              <w:snapToGrid w:val="0"/>
              <w:spacing w:line="520" w:lineRule="exact"/>
              <w:ind w:right="0" w:firstLine="480"/>
              <w:textAlignment w:val="auto"/>
              <w:rPr>
                <w:rFonts w:hint="default" w:ascii="Times New Roman" w:hAnsi="Times New Roman" w:cs="Times New Roman"/>
                <w:color w:val="auto"/>
              </w:rPr>
            </w:pPr>
            <w:r>
              <w:rPr>
                <w:rFonts w:hint="default" w:ascii="Times New Roman" w:hAnsi="Times New Roman" w:cs="Times New Roman"/>
                <w:color w:val="auto"/>
              </w:rPr>
              <w:t>（1）工作制度</w:t>
            </w:r>
          </w:p>
          <w:p w14:paraId="47F04EEC">
            <w:pPr>
              <w:keepNext w:val="0"/>
              <w:keepLines w:val="0"/>
              <w:pageBreakBefore w:val="0"/>
              <w:widowControl w:val="0"/>
              <w:kinsoku/>
              <w:wordWrap/>
              <w:overflowPunct/>
              <w:topLinePunct w:val="0"/>
              <w:autoSpaceDE/>
              <w:autoSpaceDN/>
              <w:bidi w:val="0"/>
              <w:adjustRightInd/>
              <w:snapToGrid w:val="0"/>
              <w:spacing w:line="520" w:lineRule="exact"/>
              <w:ind w:right="0" w:firstLine="470" w:firstLineChars="196"/>
              <w:textAlignment w:val="auto"/>
              <w:rPr>
                <w:rFonts w:hint="default" w:ascii="Times New Roman" w:hAnsi="Times New Roman" w:cs="Times New Roman"/>
                <w:color w:val="auto"/>
              </w:rPr>
            </w:pPr>
            <w:r>
              <w:rPr>
                <w:rFonts w:hint="default" w:ascii="Times New Roman" w:hAnsi="Times New Roman" w:cs="Times New Roman"/>
                <w:color w:val="auto"/>
              </w:rPr>
              <w:t>年工作日：</w:t>
            </w:r>
            <w:r>
              <w:rPr>
                <w:rFonts w:hint="eastAsia" w:cs="Times New Roman"/>
                <w:color w:val="auto"/>
                <w:lang w:val="en-US" w:eastAsia="zh-CN"/>
              </w:rPr>
              <w:t>260</w:t>
            </w:r>
            <w:r>
              <w:rPr>
                <w:rFonts w:hint="default" w:ascii="Times New Roman" w:hAnsi="Times New Roman" w:cs="Times New Roman"/>
                <w:color w:val="auto"/>
              </w:rPr>
              <w:t>天/年；</w:t>
            </w:r>
          </w:p>
          <w:p w14:paraId="769B7C26">
            <w:pPr>
              <w:keepNext w:val="0"/>
              <w:keepLines w:val="0"/>
              <w:pageBreakBefore w:val="0"/>
              <w:widowControl w:val="0"/>
              <w:kinsoku/>
              <w:wordWrap/>
              <w:overflowPunct/>
              <w:topLinePunct w:val="0"/>
              <w:autoSpaceDE/>
              <w:autoSpaceDN/>
              <w:bidi w:val="0"/>
              <w:adjustRightInd/>
              <w:snapToGrid w:val="0"/>
              <w:spacing w:line="520" w:lineRule="exact"/>
              <w:ind w:right="0" w:firstLine="470" w:firstLineChars="196"/>
              <w:textAlignment w:val="auto"/>
              <w:rPr>
                <w:color w:val="auto"/>
              </w:rPr>
            </w:pPr>
            <w:r>
              <w:rPr>
                <w:color w:val="auto"/>
              </w:rPr>
              <w:t>生产制度：生产岗位为</w:t>
            </w:r>
            <w:r>
              <w:rPr>
                <w:rFonts w:hint="eastAsia"/>
                <w:color w:val="auto"/>
                <w:lang w:eastAsia="zh-CN"/>
              </w:rPr>
              <w:t>单</w:t>
            </w:r>
            <w:r>
              <w:rPr>
                <w:rFonts w:hint="eastAsia"/>
                <w:color w:val="auto"/>
              </w:rPr>
              <w:t>班</w:t>
            </w:r>
            <w:r>
              <w:rPr>
                <w:color w:val="auto"/>
              </w:rPr>
              <w:t>制，</w:t>
            </w:r>
            <w:r>
              <w:rPr>
                <w:rFonts w:hint="eastAsia"/>
                <w:color w:val="auto"/>
                <w:lang w:eastAsia="zh-CN"/>
              </w:rPr>
              <w:t>每班</w:t>
            </w:r>
            <w:r>
              <w:rPr>
                <w:rFonts w:hint="eastAsia"/>
                <w:color w:val="auto"/>
                <w:lang w:val="en-US" w:eastAsia="zh-CN"/>
              </w:rPr>
              <w:t>8小时</w:t>
            </w:r>
            <w:r>
              <w:rPr>
                <w:color w:val="auto"/>
              </w:rPr>
              <w:t>。</w:t>
            </w:r>
          </w:p>
          <w:p w14:paraId="38C0631E">
            <w:pPr>
              <w:keepNext w:val="0"/>
              <w:keepLines w:val="0"/>
              <w:pageBreakBefore w:val="0"/>
              <w:widowControl w:val="0"/>
              <w:kinsoku/>
              <w:wordWrap/>
              <w:overflowPunct/>
              <w:topLinePunct w:val="0"/>
              <w:autoSpaceDE/>
              <w:autoSpaceDN/>
              <w:bidi w:val="0"/>
              <w:adjustRightInd/>
              <w:snapToGrid w:val="0"/>
              <w:spacing w:line="520" w:lineRule="exact"/>
              <w:ind w:right="0" w:firstLine="480"/>
              <w:textAlignment w:val="auto"/>
              <w:rPr>
                <w:rFonts w:hint="default" w:ascii="Times New Roman" w:hAnsi="Times New Roman" w:cs="Times New Roman"/>
                <w:color w:val="auto"/>
              </w:rPr>
            </w:pPr>
            <w:r>
              <w:rPr>
                <w:rFonts w:hint="default" w:ascii="Times New Roman" w:hAnsi="Times New Roman" w:cs="Times New Roman"/>
                <w:color w:val="auto"/>
              </w:rPr>
              <w:t>（2）劳动定员</w:t>
            </w:r>
          </w:p>
          <w:p w14:paraId="4CD54CE6">
            <w:pPr>
              <w:keepNext w:val="0"/>
              <w:keepLines w:val="0"/>
              <w:pageBreakBefore w:val="0"/>
              <w:widowControl w:val="0"/>
              <w:kinsoku/>
              <w:wordWrap/>
              <w:overflowPunct/>
              <w:topLinePunct w:val="0"/>
              <w:autoSpaceDE/>
              <w:autoSpaceDN/>
              <w:bidi w:val="0"/>
              <w:adjustRightInd/>
              <w:snapToGrid w:val="0"/>
              <w:spacing w:line="520" w:lineRule="exact"/>
              <w:ind w:right="0" w:firstLine="480"/>
              <w:textAlignment w:val="auto"/>
              <w:rPr>
                <w:rFonts w:hint="default" w:ascii="Times New Roman" w:hAnsi="Times New Roman" w:eastAsia="宋体" w:cs="Times New Roman"/>
                <w:color w:val="auto"/>
                <w:lang w:val="en-US" w:eastAsia="zh-CN"/>
              </w:rPr>
            </w:pPr>
            <w:r>
              <w:rPr>
                <w:rFonts w:hint="default" w:ascii="Times New Roman" w:hAnsi="Times New Roman" w:cs="Times New Roman"/>
                <w:color w:val="auto"/>
              </w:rPr>
              <w:t>本项目劳动定员</w:t>
            </w:r>
            <w:r>
              <w:rPr>
                <w:rFonts w:hint="eastAsia" w:cs="Times New Roman"/>
                <w:color w:val="auto"/>
                <w:lang w:val="en-US" w:eastAsia="zh-CN"/>
              </w:rPr>
              <w:t>40</w:t>
            </w:r>
            <w:r>
              <w:rPr>
                <w:rFonts w:hint="default" w:ascii="Times New Roman" w:hAnsi="Times New Roman" w:cs="Times New Roman"/>
                <w:color w:val="auto"/>
              </w:rPr>
              <w:t>人，均不在厂内食宿。</w:t>
            </w:r>
          </w:p>
          <w:p w14:paraId="50EEFF5A">
            <w:pPr>
              <w:keepNext w:val="0"/>
              <w:keepLines w:val="0"/>
              <w:pageBreakBefore w:val="0"/>
              <w:widowControl w:val="0"/>
              <w:kinsoku/>
              <w:wordWrap/>
              <w:overflowPunct/>
              <w:topLinePunct w:val="0"/>
              <w:autoSpaceDE/>
              <w:autoSpaceDN/>
              <w:bidi w:val="0"/>
              <w:adjustRightInd/>
              <w:snapToGrid w:val="0"/>
              <w:spacing w:line="520" w:lineRule="exact"/>
              <w:ind w:right="0" w:firstLine="482"/>
              <w:textAlignment w:val="auto"/>
              <w:rPr>
                <w:rFonts w:hint="default" w:ascii="Times New Roman" w:hAnsi="Times New Roman" w:cs="Times New Roman"/>
                <w:b/>
                <w:color w:val="auto"/>
              </w:rPr>
            </w:pPr>
            <w:r>
              <w:rPr>
                <w:rFonts w:hint="eastAsia" w:ascii="Times New Roman" w:hAnsi="Times New Roman" w:cs="Times New Roman"/>
                <w:b/>
                <w:color w:val="auto"/>
                <w:lang w:val="en-US" w:eastAsia="zh-CN"/>
              </w:rPr>
              <w:t>9</w:t>
            </w:r>
            <w:r>
              <w:rPr>
                <w:rFonts w:hint="default" w:ascii="Times New Roman" w:hAnsi="Times New Roman" w:cs="Times New Roman"/>
                <w:b/>
                <w:color w:val="auto"/>
                <w:lang w:val="en-US" w:eastAsia="zh-CN"/>
              </w:rPr>
              <w:t>、</w:t>
            </w:r>
            <w:r>
              <w:rPr>
                <w:rFonts w:hint="default" w:ascii="Times New Roman" w:hAnsi="Times New Roman" w:cs="Times New Roman"/>
                <w:b/>
                <w:color w:val="auto"/>
              </w:rPr>
              <w:t>项目选址及平面布置</w:t>
            </w:r>
          </w:p>
          <w:p w14:paraId="7045C421">
            <w:pPr>
              <w:keepNext w:val="0"/>
              <w:keepLines w:val="0"/>
              <w:pageBreakBefore w:val="0"/>
              <w:widowControl w:val="0"/>
              <w:kinsoku/>
              <w:wordWrap/>
              <w:overflowPunct/>
              <w:topLinePunct w:val="0"/>
              <w:autoSpaceDE w:val="0"/>
              <w:autoSpaceDN w:val="0"/>
              <w:bidi w:val="0"/>
              <w:adjustRightInd w:val="0"/>
              <w:snapToGrid w:val="0"/>
              <w:spacing w:line="520" w:lineRule="exact"/>
              <w:jc w:val="both"/>
              <w:textAlignment w:val="auto"/>
              <w:rPr>
                <w:rFonts w:hint="default" w:ascii="Times New Roman" w:hAnsi="Times New Roman" w:eastAsia="宋体" w:cs="Times New Roman"/>
                <w:b/>
                <w:bCs/>
                <w:color w:val="auto"/>
                <w:sz w:val="24"/>
                <w:szCs w:val="24"/>
                <w:highlight w:val="none"/>
                <w:lang w:val="en-US" w:eastAsia="zh-CN"/>
              </w:rPr>
            </w:pPr>
            <w:r>
              <w:rPr>
                <w:rFonts w:hint="default" w:ascii="Times New Roman" w:hAnsi="Times New Roman" w:eastAsia="宋体" w:cs="Times New Roman"/>
                <w:color w:val="auto"/>
                <w:sz w:val="24"/>
                <w:szCs w:val="24"/>
              </w:rPr>
              <w:t>本项目位于</w:t>
            </w:r>
            <w:r>
              <w:rPr>
                <w:rFonts w:hint="eastAsia" w:cs="Times New Roman"/>
                <w:b w:val="0"/>
                <w:bCs/>
                <w:color w:val="auto"/>
                <w:sz w:val="24"/>
                <w:szCs w:val="24"/>
                <w:u w:val="none"/>
                <w:lang w:eastAsia="zh-CN"/>
              </w:rPr>
              <w:t>新乡市新乡县翟坡镇东大阳堤村村西中央大道东侧</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b w:val="0"/>
                <w:bCs w:val="0"/>
                <w:color w:val="auto"/>
                <w:sz w:val="24"/>
                <w:szCs w:val="24"/>
                <w:lang w:val="en-US" w:eastAsia="zh-CN"/>
              </w:rPr>
              <w:t>本项目四周环境为：</w:t>
            </w:r>
            <w:r>
              <w:rPr>
                <w:rFonts w:hint="eastAsia" w:cs="Times New Roman"/>
                <w:b w:val="0"/>
                <w:bCs w:val="0"/>
                <w:color w:val="auto"/>
                <w:sz w:val="24"/>
                <w:szCs w:val="24"/>
                <w:highlight w:val="none"/>
                <w:lang w:val="en-US" w:eastAsia="zh-CN"/>
              </w:rPr>
              <w:t>东侧为空地</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南</w:t>
            </w:r>
            <w:r>
              <w:rPr>
                <w:rFonts w:hint="default" w:ascii="Times New Roman" w:hAnsi="Times New Roman" w:eastAsia="宋体" w:cs="Times New Roman"/>
                <w:color w:val="auto"/>
                <w:sz w:val="24"/>
                <w:szCs w:val="24"/>
                <w:highlight w:val="none"/>
                <w:lang w:val="en-US" w:eastAsia="zh-CN"/>
              </w:rPr>
              <w:t>侧为</w:t>
            </w:r>
            <w:r>
              <w:rPr>
                <w:rFonts w:hint="eastAsia" w:cs="Times New Roman"/>
                <w:color w:val="auto"/>
                <w:sz w:val="24"/>
                <w:szCs w:val="24"/>
                <w:highlight w:val="none"/>
                <w:lang w:val="en-US" w:eastAsia="zh-CN"/>
              </w:rPr>
              <w:t>河南百川汽车部件有限公司</w:t>
            </w:r>
            <w:r>
              <w:rPr>
                <w:rFonts w:hint="default" w:ascii="Times New Roman" w:hAnsi="Times New Roman" w:eastAsia="宋体" w:cs="Times New Roman"/>
                <w:color w:val="auto"/>
                <w:sz w:val="24"/>
                <w:szCs w:val="24"/>
                <w:highlight w:val="none"/>
                <w:lang w:val="en-US" w:eastAsia="zh-CN"/>
              </w:rPr>
              <w:t>，西侧</w:t>
            </w:r>
            <w:r>
              <w:rPr>
                <w:rFonts w:hint="eastAsia" w:ascii="Times New Roman" w:hAnsi="Times New Roman" w:eastAsia="宋体" w:cs="Times New Roman"/>
                <w:color w:val="auto"/>
                <w:sz w:val="24"/>
                <w:szCs w:val="24"/>
                <w:highlight w:val="none"/>
                <w:lang w:val="en-US" w:eastAsia="zh-CN"/>
              </w:rPr>
              <w:t>为</w:t>
            </w:r>
            <w:r>
              <w:rPr>
                <w:rFonts w:hint="eastAsia" w:cs="Times New Roman"/>
                <w:color w:val="auto"/>
                <w:sz w:val="24"/>
                <w:szCs w:val="24"/>
                <w:highlight w:val="none"/>
                <w:lang w:val="en-US" w:eastAsia="zh-CN"/>
              </w:rPr>
              <w:t>中央大道</w:t>
            </w:r>
            <w:r>
              <w:rPr>
                <w:rFonts w:hint="eastAsia" w:ascii="Times New Roman" w:hAnsi="Times New Roman" w:eastAsia="宋体" w:cs="Times New Roman"/>
                <w:color w:val="auto"/>
                <w:sz w:val="24"/>
                <w:szCs w:val="24"/>
                <w:highlight w:val="none"/>
                <w:lang w:val="en-US" w:eastAsia="zh-CN"/>
              </w:rPr>
              <w:t>，北侧为</w:t>
            </w:r>
            <w:r>
              <w:rPr>
                <w:rFonts w:hint="eastAsia" w:cs="Times New Roman"/>
                <w:color w:val="auto"/>
                <w:sz w:val="24"/>
                <w:szCs w:val="24"/>
                <w:highlight w:val="none"/>
                <w:lang w:val="en-US" w:eastAsia="zh-CN"/>
              </w:rPr>
              <w:t>道路</w:t>
            </w:r>
            <w:r>
              <w:rPr>
                <w:rFonts w:hint="eastAsia" w:ascii="Times New Roman" w:hAnsi="Times New Roman" w:eastAsia="宋体" w:cs="Times New Roman"/>
                <w:b w:val="0"/>
                <w:bCs w:val="0"/>
                <w:color w:val="auto"/>
                <w:sz w:val="24"/>
                <w:szCs w:val="24"/>
                <w:lang w:val="en-US" w:eastAsia="zh-CN"/>
              </w:rPr>
              <w:t>。</w:t>
            </w:r>
            <w:r>
              <w:rPr>
                <w:rFonts w:hint="eastAsia" w:ascii="Times New Roman" w:hAnsi="Times New Roman" w:eastAsia="宋体" w:cs="Times New Roman"/>
                <w:b w:val="0"/>
                <w:bCs w:val="0"/>
                <w:color w:val="auto"/>
                <w:sz w:val="24"/>
                <w:szCs w:val="24"/>
                <w:highlight w:val="none"/>
                <w:lang w:val="en-US" w:eastAsia="zh-CN"/>
              </w:rPr>
              <w:t>本项目周围敏感点为：</w:t>
            </w:r>
            <w:r>
              <w:rPr>
                <w:rFonts w:hint="eastAsia" w:cs="Times New Roman"/>
                <w:b w:val="0"/>
                <w:bCs w:val="0"/>
                <w:color w:val="auto"/>
                <w:sz w:val="24"/>
                <w:szCs w:val="24"/>
                <w:highlight w:val="none"/>
                <w:lang w:val="en-US" w:eastAsia="zh-CN"/>
              </w:rPr>
              <w:t>东侧114m处的朝阳社区、东南侧498m处的兴宁村、西侧378m处的中大阳堤村</w:t>
            </w:r>
            <w:r>
              <w:rPr>
                <w:rFonts w:hint="eastAsia" w:ascii="Times New Roman" w:hAnsi="Times New Roman" w:eastAsia="宋体" w:cs="Times New Roman"/>
                <w:b w:val="0"/>
                <w:bCs w:val="0"/>
                <w:color w:val="auto"/>
                <w:sz w:val="24"/>
                <w:szCs w:val="24"/>
                <w:highlight w:val="none"/>
                <w:lang w:val="en-US" w:eastAsia="zh-CN"/>
              </w:rPr>
              <w:t>（项目周边环境敏感图见附图</w:t>
            </w:r>
            <w:r>
              <w:rPr>
                <w:rFonts w:hint="eastAsia" w:cs="Times New Roman"/>
                <w:b w:val="0"/>
                <w:bCs w:val="0"/>
                <w:color w:val="auto"/>
                <w:sz w:val="24"/>
                <w:szCs w:val="24"/>
                <w:highlight w:val="none"/>
                <w:lang w:val="en-US" w:eastAsia="zh-CN"/>
              </w:rPr>
              <w:t>7</w:t>
            </w:r>
            <w:r>
              <w:rPr>
                <w:rFonts w:hint="eastAsia" w:ascii="Times New Roman" w:hAnsi="Times New Roman" w:eastAsia="宋体" w:cs="Times New Roman"/>
                <w:b w:val="0"/>
                <w:bCs w:val="0"/>
                <w:color w:val="auto"/>
                <w:sz w:val="24"/>
                <w:szCs w:val="24"/>
                <w:highlight w:val="none"/>
                <w:lang w:val="en-US" w:eastAsia="zh-CN"/>
              </w:rPr>
              <w:t>）。</w:t>
            </w:r>
          </w:p>
          <w:p w14:paraId="78B5D5D3">
            <w:pPr>
              <w:keepNext w:val="0"/>
              <w:keepLines w:val="0"/>
              <w:pageBreakBefore w:val="0"/>
              <w:widowControl w:val="0"/>
              <w:kinsoku/>
              <w:wordWrap/>
              <w:overflowPunct/>
              <w:topLinePunct w:val="0"/>
              <w:autoSpaceDE/>
              <w:autoSpaceDN/>
              <w:bidi w:val="0"/>
              <w:adjustRightInd/>
              <w:snapToGrid w:val="0"/>
              <w:spacing w:line="520" w:lineRule="exact"/>
              <w:ind w:right="0" w:firstLine="470" w:firstLineChars="196"/>
              <w:textAlignment w:val="auto"/>
              <w:rPr>
                <w:rFonts w:hint="eastAsia" w:ascii="Times New Roman" w:hAnsi="Times New Roman" w:eastAsia="宋体" w:cs="Times New Roman"/>
                <w:bCs/>
                <w:color w:val="auto"/>
                <w:sz w:val="24"/>
                <w:szCs w:val="24"/>
                <w:lang w:eastAsia="zh-CN"/>
              </w:rPr>
            </w:pPr>
            <w:r>
              <w:rPr>
                <w:rFonts w:hint="eastAsia" w:ascii="Times New Roman" w:hAnsi="Times New Roman" w:eastAsia="宋体" w:cs="Times New Roman"/>
                <w:bCs/>
                <w:color w:val="auto"/>
                <w:sz w:val="24"/>
                <w:szCs w:val="24"/>
                <w:lang w:eastAsia="zh-CN"/>
              </w:rPr>
              <w:t>本项目厂区内设备按生产流程依次分布，同时车间中间预留安全通道，供产品运转和员工通行，布局紧凑合理，车间中转运输量少，便于生产管理。项目各功能分区之间有绿化隔离，这样能保证各功能分区之间既相互独立，又联系紧密，充分展示现代工业建筑总平面布置的特点，营造舒适优美的生产、办公环境。</w:t>
            </w:r>
          </w:p>
          <w:p w14:paraId="42FA605A">
            <w:pPr>
              <w:pStyle w:val="13"/>
              <w:rPr>
                <w:rFonts w:hint="eastAsia" w:ascii="Times New Roman" w:hAnsi="Times New Roman" w:eastAsia="宋体" w:cs="Times New Roman"/>
                <w:bCs/>
                <w:color w:val="auto"/>
                <w:sz w:val="24"/>
                <w:szCs w:val="24"/>
                <w:lang w:eastAsia="zh-CN"/>
              </w:rPr>
            </w:pPr>
          </w:p>
          <w:p w14:paraId="1375B39B">
            <w:pPr>
              <w:pStyle w:val="18"/>
              <w:rPr>
                <w:rFonts w:hint="eastAsia" w:ascii="Times New Roman" w:hAnsi="Times New Roman" w:eastAsia="宋体" w:cs="Times New Roman"/>
                <w:bCs/>
                <w:color w:val="auto"/>
                <w:sz w:val="24"/>
                <w:szCs w:val="24"/>
                <w:lang w:eastAsia="zh-CN"/>
              </w:rPr>
            </w:pPr>
          </w:p>
          <w:p w14:paraId="7D6FE6BF">
            <w:pPr>
              <w:rPr>
                <w:rFonts w:hint="eastAsia" w:ascii="Times New Roman" w:hAnsi="Times New Roman" w:eastAsia="宋体" w:cs="Times New Roman"/>
                <w:bCs/>
                <w:color w:val="auto"/>
                <w:sz w:val="24"/>
                <w:szCs w:val="24"/>
                <w:lang w:eastAsia="zh-CN"/>
              </w:rPr>
            </w:pPr>
          </w:p>
          <w:p w14:paraId="044D46DC">
            <w:pPr>
              <w:pStyle w:val="13"/>
              <w:rPr>
                <w:rFonts w:hint="eastAsia" w:ascii="Times New Roman" w:hAnsi="Times New Roman" w:eastAsia="宋体" w:cs="Times New Roman"/>
                <w:bCs/>
                <w:color w:val="auto"/>
                <w:sz w:val="24"/>
                <w:szCs w:val="24"/>
                <w:lang w:eastAsia="zh-CN"/>
              </w:rPr>
            </w:pPr>
          </w:p>
          <w:p w14:paraId="75E2F726">
            <w:pPr>
              <w:pStyle w:val="18"/>
              <w:rPr>
                <w:rFonts w:hint="eastAsia" w:ascii="Times New Roman" w:hAnsi="Times New Roman" w:eastAsia="宋体" w:cs="Times New Roman"/>
                <w:bCs/>
                <w:color w:val="auto"/>
                <w:sz w:val="24"/>
                <w:szCs w:val="24"/>
                <w:lang w:eastAsia="zh-CN"/>
              </w:rPr>
            </w:pPr>
          </w:p>
          <w:p w14:paraId="60D172B8">
            <w:pPr>
              <w:rPr>
                <w:rFonts w:hint="eastAsia" w:ascii="Times New Roman" w:hAnsi="Times New Roman" w:eastAsia="宋体" w:cs="Times New Roman"/>
                <w:bCs/>
                <w:color w:val="auto"/>
                <w:sz w:val="24"/>
                <w:szCs w:val="24"/>
                <w:lang w:eastAsia="zh-CN"/>
              </w:rPr>
            </w:pPr>
          </w:p>
          <w:p w14:paraId="601E33BE">
            <w:pPr>
              <w:pStyle w:val="13"/>
              <w:rPr>
                <w:rFonts w:hint="default"/>
                <w:color w:val="auto"/>
              </w:rPr>
            </w:pPr>
          </w:p>
          <w:p w14:paraId="57CB05DD">
            <w:pPr>
              <w:pStyle w:val="2"/>
              <w:ind w:left="0" w:leftChars="0" w:firstLine="0" w:firstLineChars="0"/>
              <w:rPr>
                <w:rFonts w:hint="default"/>
              </w:rPr>
            </w:pPr>
          </w:p>
          <w:p w14:paraId="5A7D0E9E">
            <w:pPr>
              <w:rPr>
                <w:rFonts w:hint="default"/>
              </w:rPr>
            </w:pPr>
          </w:p>
          <w:p w14:paraId="54BE3712">
            <w:pPr>
              <w:ind w:left="0" w:leftChars="0" w:firstLine="0" w:firstLineChars="0"/>
              <w:rPr>
                <w:rFonts w:hint="default"/>
                <w:color w:val="auto"/>
              </w:rPr>
            </w:pPr>
          </w:p>
        </w:tc>
      </w:tr>
      <w:tr w14:paraId="4CFC5BD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 w:type="dxa"/>
            <w:noWrap w:val="0"/>
            <w:vAlign w:val="center"/>
          </w:tcPr>
          <w:p w14:paraId="67BA309D">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120" w:leftChars="-50" w:right="-120" w:rightChars="-50" w:firstLine="0" w:firstLineChars="0"/>
              <w:jc w:val="center"/>
              <w:textAlignment w:val="auto"/>
              <w:rPr>
                <w:rFonts w:hint="default" w:ascii="Times New Roman" w:hAnsi="Times New Roman" w:cs="Times New Roman"/>
                <w:color w:val="auto"/>
                <w:szCs w:val="24"/>
              </w:rPr>
            </w:pPr>
            <w:r>
              <w:rPr>
                <w:rFonts w:hint="default" w:ascii="Times New Roman" w:hAnsi="Times New Roman" w:cs="Times New Roman"/>
                <w:color w:val="auto"/>
                <w:szCs w:val="24"/>
              </w:rPr>
              <w:t>工艺流程和产排污环节</w:t>
            </w:r>
          </w:p>
        </w:tc>
        <w:tc>
          <w:tcPr>
            <w:tcW w:w="8243" w:type="dxa"/>
            <w:noWrap w:val="0"/>
            <w:vAlign w:val="top"/>
          </w:tcPr>
          <w:p w14:paraId="7FBDA790">
            <w:pPr>
              <w:adjustRightInd w:val="0"/>
              <w:snapToGrid w:val="0"/>
              <w:spacing w:line="480" w:lineRule="exact"/>
              <w:rPr>
                <w:rFonts w:hint="default" w:ascii="Times New Roman" w:hAnsi="Times New Roman" w:eastAsia="宋体" w:cs="Times New Roman"/>
                <w:b/>
                <w:bCs/>
                <w:color w:val="auto"/>
                <w:spacing w:val="3"/>
                <w:sz w:val="24"/>
                <w:szCs w:val="24"/>
              </w:rPr>
            </w:pPr>
            <w:r>
              <w:rPr>
                <w:rFonts w:hint="default" w:ascii="Times New Roman" w:hAnsi="Times New Roman" w:eastAsia="宋体" w:cs="Times New Roman"/>
                <w:b/>
                <w:bCs/>
                <w:color w:val="auto"/>
                <w:spacing w:val="3"/>
                <w:sz w:val="24"/>
                <w:szCs w:val="24"/>
                <w:lang w:val="en-US" w:eastAsia="zh-CN"/>
              </w:rPr>
              <w:t>1、</w:t>
            </w:r>
            <w:r>
              <w:rPr>
                <w:rFonts w:hint="default" w:ascii="Times New Roman" w:hAnsi="Times New Roman" w:eastAsia="宋体" w:cs="Times New Roman"/>
                <w:b/>
                <w:bCs/>
                <w:color w:val="auto"/>
                <w:spacing w:val="3"/>
                <w:sz w:val="24"/>
                <w:szCs w:val="24"/>
              </w:rPr>
              <w:t>施工期</w:t>
            </w:r>
          </w:p>
          <w:p w14:paraId="51049E2C">
            <w:pPr>
              <w:pStyle w:val="13"/>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default" w:ascii="Times New Roman" w:hAnsi="Times New Roman" w:eastAsia="宋体" w:cs="Times New Roman"/>
                <w:b/>
                <w:color w:val="000000"/>
                <w:sz w:val="28"/>
              </w:rPr>
            </w:pPr>
            <w:r>
              <w:rPr>
                <w:rFonts w:hint="default" w:ascii="Times New Roman" w:hAnsi="Times New Roman" w:eastAsia="宋体" w:cs="Times New Roman"/>
                <w:sz w:val="24"/>
                <w:szCs w:val="24"/>
              </w:rPr>
              <w:t>根据建设单位提供的资料，项目拟</w:t>
            </w:r>
            <w:r>
              <w:rPr>
                <w:rFonts w:hint="eastAsia" w:ascii="Times New Roman" w:hAnsi="Times New Roman" w:eastAsia="宋体" w:cs="Times New Roman"/>
                <w:sz w:val="24"/>
                <w:szCs w:val="24"/>
                <w:lang w:eastAsia="zh-CN"/>
              </w:rPr>
              <w:t>新</w:t>
            </w:r>
            <w:r>
              <w:rPr>
                <w:rFonts w:hint="default" w:ascii="Times New Roman" w:hAnsi="Times New Roman" w:eastAsia="宋体" w:cs="Times New Roman"/>
                <w:sz w:val="24"/>
                <w:szCs w:val="24"/>
              </w:rPr>
              <w:t>建</w:t>
            </w:r>
            <w:r>
              <w:rPr>
                <w:rFonts w:hint="eastAsia" w:ascii="Times New Roman" w:hAnsi="Times New Roman" w:eastAsia="宋体" w:cs="Times New Roman"/>
                <w:sz w:val="24"/>
                <w:szCs w:val="24"/>
                <w:lang w:eastAsia="zh-CN"/>
              </w:rPr>
              <w:t>生产车间、办公楼等</w:t>
            </w:r>
            <w:r>
              <w:rPr>
                <w:rFonts w:hint="default" w:ascii="Times New Roman" w:hAnsi="Times New Roman" w:eastAsia="宋体" w:cs="Times New Roman"/>
                <w:sz w:val="24"/>
                <w:szCs w:val="24"/>
              </w:rPr>
              <w:t>，施工期主要是场地平整、基础开挖，基础施工，而后进行建筑主体及配套设施的建设</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施工期工艺流程见图</w:t>
            </w:r>
            <w:r>
              <w:rPr>
                <w:rFonts w:hint="eastAsia"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rPr>
              <w:t>。</w:t>
            </w:r>
          </w:p>
          <w:p w14:paraId="465D9175">
            <w:pPr>
              <w:pStyle w:val="2"/>
              <w:rPr>
                <w:rFonts w:hint="eastAsia" w:ascii="Times New Roman" w:hAnsi="Times New Roman"/>
              </w:rPr>
            </w:pPr>
            <w:r>
              <w:rPr>
                <w:rFonts w:ascii="Times New Roman" w:hAnsi="Times New Roman"/>
                <w:sz w:val="30"/>
              </w:rPr>
              <mc:AlternateContent>
                <mc:Choice Requires="wpg">
                  <w:drawing>
                    <wp:anchor distT="0" distB="0" distL="114300" distR="114300" simplePos="0" relativeHeight="251661312" behindDoc="0" locked="0" layoutInCell="1" allowOverlap="1">
                      <wp:simplePos x="0" y="0"/>
                      <wp:positionH relativeFrom="column">
                        <wp:posOffset>62865</wp:posOffset>
                      </wp:positionH>
                      <wp:positionV relativeFrom="paragraph">
                        <wp:posOffset>64135</wp:posOffset>
                      </wp:positionV>
                      <wp:extent cx="4933950" cy="1617345"/>
                      <wp:effectExtent l="4445" t="4445" r="14605" b="16510"/>
                      <wp:wrapNone/>
                      <wp:docPr id="27" name="组合 88"/>
                      <wp:cNvGraphicFramePr/>
                      <a:graphic xmlns:a="http://schemas.openxmlformats.org/drawingml/2006/main">
                        <a:graphicData uri="http://schemas.microsoft.com/office/word/2010/wordprocessingGroup">
                          <wpg:wgp>
                            <wpg:cNvGrpSpPr/>
                            <wpg:grpSpPr>
                              <a:xfrm>
                                <a:off x="0" y="0"/>
                                <a:ext cx="4933950" cy="1617345"/>
                                <a:chOff x="2741" y="278666"/>
                                <a:chExt cx="7589" cy="2143"/>
                              </a:xfrm>
                            </wpg:grpSpPr>
                            <wps:wsp>
                              <wps:cNvPr id="4" name="矩形 311"/>
                              <wps:cNvSpPr/>
                              <wps:spPr>
                                <a:xfrm>
                                  <a:off x="2741" y="279490"/>
                                  <a:ext cx="1185" cy="420"/>
                                </a:xfrm>
                                <a:prstGeom prst="rect">
                                  <a:avLst/>
                                </a:prstGeom>
                                <a:noFill/>
                                <a:ln w="9525" cap="flat" cmpd="sng">
                                  <a:solidFill>
                                    <a:srgbClr val="000000"/>
                                  </a:solidFill>
                                  <a:prstDash val="solid"/>
                                  <a:miter/>
                                  <a:headEnd type="none" w="med" len="med"/>
                                  <a:tailEnd type="none" w="med" len="med"/>
                                </a:ln>
                              </wps:spPr>
                              <wps:txbx>
                                <w:txbxContent>
                                  <w:p w14:paraId="0690E7A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eastAsia"/>
                                        <w:sz w:val="21"/>
                                        <w:szCs w:val="21"/>
                                      </w:rPr>
                                    </w:pPr>
                                    <w:r>
                                      <w:rPr>
                                        <w:rFonts w:hint="eastAsia"/>
                                        <w:sz w:val="21"/>
                                        <w:szCs w:val="21"/>
                                      </w:rPr>
                                      <w:t>基础工程</w:t>
                                    </w:r>
                                  </w:p>
                                </w:txbxContent>
                              </wps:txbx>
                              <wps:bodyPr wrap="square" lIns="91439" tIns="45719" rIns="91439" bIns="45719" upright="1"/>
                            </wps:wsp>
                            <wps:wsp>
                              <wps:cNvPr id="5" name="矩形 310"/>
                              <wps:cNvSpPr/>
                              <wps:spPr>
                                <a:xfrm>
                                  <a:off x="4241" y="279476"/>
                                  <a:ext cx="1216" cy="421"/>
                                </a:xfrm>
                                <a:prstGeom prst="rect">
                                  <a:avLst/>
                                </a:prstGeom>
                                <a:noFill/>
                                <a:ln w="9525" cap="flat" cmpd="sng">
                                  <a:solidFill>
                                    <a:srgbClr val="000000"/>
                                  </a:solidFill>
                                  <a:prstDash val="solid"/>
                                  <a:miter/>
                                  <a:headEnd type="none" w="med" len="med"/>
                                  <a:tailEnd type="none" w="med" len="med"/>
                                </a:ln>
                              </wps:spPr>
                              <wps:txbx>
                                <w:txbxContent>
                                  <w:p w14:paraId="0D046C8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eastAsia"/>
                                        <w:sz w:val="21"/>
                                        <w:szCs w:val="21"/>
                                      </w:rPr>
                                    </w:pPr>
                                    <w:r>
                                      <w:rPr>
                                        <w:rFonts w:hint="eastAsia"/>
                                        <w:sz w:val="21"/>
                                        <w:szCs w:val="21"/>
                                      </w:rPr>
                                      <w:t>主体工程</w:t>
                                    </w:r>
                                  </w:p>
                                </w:txbxContent>
                              </wps:txbx>
                              <wps:bodyPr wrap="square" lIns="91439" tIns="45719" rIns="91439" bIns="45719" upright="1"/>
                            </wps:wsp>
                            <wps:wsp>
                              <wps:cNvPr id="6" name="矩形 309"/>
                              <wps:cNvSpPr/>
                              <wps:spPr>
                                <a:xfrm>
                                  <a:off x="5756" y="279506"/>
                                  <a:ext cx="1276" cy="404"/>
                                </a:xfrm>
                                <a:prstGeom prst="rect">
                                  <a:avLst/>
                                </a:prstGeom>
                                <a:noFill/>
                                <a:ln w="9525" cap="flat" cmpd="sng">
                                  <a:solidFill>
                                    <a:srgbClr val="000000"/>
                                  </a:solidFill>
                                  <a:prstDash val="solid"/>
                                  <a:miter/>
                                  <a:headEnd type="none" w="med" len="med"/>
                                  <a:tailEnd type="none" w="med" len="med"/>
                                </a:ln>
                              </wps:spPr>
                              <wps:txbx>
                                <w:txbxContent>
                                  <w:p w14:paraId="009894C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sz w:val="21"/>
                                        <w:szCs w:val="21"/>
                                      </w:rPr>
                                    </w:pPr>
                                    <w:r>
                                      <w:rPr>
                                        <w:rFonts w:hint="eastAsia"/>
                                        <w:sz w:val="21"/>
                                        <w:szCs w:val="21"/>
                                      </w:rPr>
                                      <w:t>设备安装</w:t>
                                    </w:r>
                                  </w:p>
                                </w:txbxContent>
                              </wps:txbx>
                              <wps:bodyPr wrap="square" lIns="91439" tIns="45719" rIns="91439" bIns="45719" upright="1"/>
                            </wps:wsp>
                            <wps:wsp>
                              <wps:cNvPr id="7" name="矩形 308"/>
                              <wps:cNvSpPr/>
                              <wps:spPr>
                                <a:xfrm>
                                  <a:off x="7346" y="279506"/>
                                  <a:ext cx="1185" cy="404"/>
                                </a:xfrm>
                                <a:prstGeom prst="rect">
                                  <a:avLst/>
                                </a:prstGeom>
                                <a:noFill/>
                                <a:ln w="9525" cap="flat" cmpd="sng">
                                  <a:solidFill>
                                    <a:srgbClr val="000000"/>
                                  </a:solidFill>
                                  <a:prstDash val="solid"/>
                                  <a:miter/>
                                  <a:headEnd type="none" w="med" len="med"/>
                                  <a:tailEnd type="none" w="med" len="med"/>
                                </a:ln>
                              </wps:spPr>
                              <wps:txbx>
                                <w:txbxContent>
                                  <w:p w14:paraId="2CD3B573">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sz w:val="21"/>
                                        <w:szCs w:val="21"/>
                                      </w:rPr>
                                    </w:pPr>
                                    <w:r>
                                      <w:rPr>
                                        <w:rFonts w:hint="eastAsia"/>
                                        <w:sz w:val="21"/>
                                        <w:szCs w:val="21"/>
                                      </w:rPr>
                                      <w:t>工程验收</w:t>
                                    </w:r>
                                  </w:p>
                                </w:txbxContent>
                              </wps:txbx>
                              <wps:bodyPr wrap="square" lIns="91439" tIns="45719" rIns="91439" bIns="45719" upright="1"/>
                            </wps:wsp>
                            <wps:wsp>
                              <wps:cNvPr id="8" name="矩形 307"/>
                              <wps:cNvSpPr/>
                              <wps:spPr>
                                <a:xfrm>
                                  <a:off x="8772" y="279521"/>
                                  <a:ext cx="1155" cy="420"/>
                                </a:xfrm>
                                <a:prstGeom prst="rect">
                                  <a:avLst/>
                                </a:prstGeom>
                                <a:noFill/>
                                <a:ln w="9525" cap="flat" cmpd="sng">
                                  <a:solidFill>
                                    <a:srgbClr val="000000"/>
                                  </a:solidFill>
                                  <a:prstDash val="solid"/>
                                  <a:miter/>
                                  <a:headEnd type="none" w="med" len="med"/>
                                  <a:tailEnd type="none" w="med" len="med"/>
                                </a:ln>
                              </wps:spPr>
                              <wps:txbx>
                                <w:txbxContent>
                                  <w:p w14:paraId="35DE624B">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sz w:val="21"/>
                                        <w:szCs w:val="21"/>
                                      </w:rPr>
                                    </w:pPr>
                                    <w:r>
                                      <w:rPr>
                                        <w:rFonts w:hint="eastAsia"/>
                                        <w:sz w:val="21"/>
                                        <w:szCs w:val="21"/>
                                      </w:rPr>
                                      <w:t>装饰工程</w:t>
                                    </w:r>
                                  </w:p>
                                </w:txbxContent>
                              </wps:txbx>
                              <wps:bodyPr wrap="square" lIns="91439" tIns="45719" rIns="91439" bIns="45719" upright="1"/>
                            </wps:wsp>
                            <wps:wsp>
                              <wps:cNvPr id="9" name="矩形 301"/>
                              <wps:cNvSpPr/>
                              <wps:spPr>
                                <a:xfrm>
                                  <a:off x="4091" y="278680"/>
                                  <a:ext cx="1559" cy="391"/>
                                </a:xfrm>
                                <a:prstGeom prst="rect">
                                  <a:avLst/>
                                </a:prstGeom>
                                <a:noFill/>
                                <a:ln w="9525" cap="flat" cmpd="sng">
                                  <a:solidFill>
                                    <a:srgbClr val="000000"/>
                                  </a:solidFill>
                                  <a:prstDash val="dash"/>
                                  <a:miter/>
                                  <a:headEnd type="none" w="med" len="med"/>
                                  <a:tailEnd type="none" w="med" len="med"/>
                                </a:ln>
                              </wps:spPr>
                              <wps:txbx>
                                <w:txbxContent>
                                  <w:p w14:paraId="65D8D66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sz w:val="21"/>
                                        <w:szCs w:val="21"/>
                                      </w:rPr>
                                    </w:pPr>
                                    <w:r>
                                      <w:rPr>
                                        <w:rFonts w:hint="eastAsia"/>
                                        <w:sz w:val="21"/>
                                        <w:szCs w:val="21"/>
                                      </w:rPr>
                                      <w:t>噪声、扬尘</w:t>
                                    </w:r>
                                  </w:p>
                                </w:txbxContent>
                              </wps:txbx>
                              <wps:bodyPr wrap="square" lIns="91439" tIns="45719" rIns="91439" bIns="45719" upright="1"/>
                            </wps:wsp>
                            <wps:wsp>
                              <wps:cNvPr id="10" name="矩形 322"/>
                              <wps:cNvSpPr/>
                              <wps:spPr>
                                <a:xfrm>
                                  <a:off x="2802" y="280391"/>
                                  <a:ext cx="4154" cy="419"/>
                                </a:xfrm>
                                <a:prstGeom prst="rect">
                                  <a:avLst/>
                                </a:prstGeom>
                                <a:noFill/>
                                <a:ln w="9525" cap="flat" cmpd="sng">
                                  <a:solidFill>
                                    <a:srgbClr val="000000"/>
                                  </a:solidFill>
                                  <a:prstDash val="dash"/>
                                  <a:miter/>
                                  <a:headEnd type="none" w="med" len="med"/>
                                  <a:tailEnd type="none" w="med" len="med"/>
                                </a:ln>
                              </wps:spPr>
                              <wps:txbx>
                                <w:txbxContent>
                                  <w:p w14:paraId="26209D8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sz w:val="21"/>
                                        <w:szCs w:val="21"/>
                                      </w:rPr>
                                    </w:pPr>
                                    <w:r>
                                      <w:rPr>
                                        <w:rFonts w:hint="eastAsia"/>
                                        <w:sz w:val="21"/>
                                        <w:szCs w:val="21"/>
                                      </w:rPr>
                                      <w:t>施工废水、建筑垃圾、施工人员生活垃圾</w:t>
                                    </w:r>
                                  </w:p>
                                </w:txbxContent>
                              </wps:txbx>
                              <wps:bodyPr wrap="square" lIns="91439" tIns="45719" rIns="91439" bIns="45719" upright="1"/>
                            </wps:wsp>
                            <wps:wsp>
                              <wps:cNvPr id="11" name="矩形 300"/>
                              <wps:cNvSpPr/>
                              <wps:spPr>
                                <a:xfrm>
                                  <a:off x="8366" y="278666"/>
                                  <a:ext cx="1965" cy="420"/>
                                </a:xfrm>
                                <a:prstGeom prst="rect">
                                  <a:avLst/>
                                </a:prstGeom>
                                <a:noFill/>
                                <a:ln w="9525" cap="flat" cmpd="sng">
                                  <a:solidFill>
                                    <a:srgbClr val="000000"/>
                                  </a:solidFill>
                                  <a:prstDash val="dash"/>
                                  <a:miter/>
                                  <a:headEnd type="none" w="med" len="med"/>
                                  <a:tailEnd type="none" w="med" len="med"/>
                                </a:ln>
                              </wps:spPr>
                              <wps:txbx>
                                <w:txbxContent>
                                  <w:p w14:paraId="3E59101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eastAsia"/>
                                        <w:sz w:val="21"/>
                                        <w:szCs w:val="21"/>
                                      </w:rPr>
                                    </w:pPr>
                                    <w:r>
                                      <w:rPr>
                                        <w:rFonts w:hint="eastAsia"/>
                                        <w:sz w:val="21"/>
                                        <w:szCs w:val="21"/>
                                      </w:rPr>
                                      <w:t>噪声、扬尘、废气</w:t>
                                    </w:r>
                                  </w:p>
                                </w:txbxContent>
                              </wps:txbx>
                              <wps:bodyPr wrap="square" lIns="91439" tIns="45719" rIns="91439" bIns="45719" upright="1"/>
                            </wps:wsp>
                            <wps:wsp>
                              <wps:cNvPr id="12" name="矩形 321"/>
                              <wps:cNvSpPr/>
                              <wps:spPr>
                                <a:xfrm>
                                  <a:off x="8757" y="280375"/>
                                  <a:ext cx="1170" cy="407"/>
                                </a:xfrm>
                                <a:prstGeom prst="rect">
                                  <a:avLst/>
                                </a:prstGeom>
                                <a:noFill/>
                                <a:ln w="9525" cap="flat" cmpd="sng">
                                  <a:solidFill>
                                    <a:srgbClr val="000000"/>
                                  </a:solidFill>
                                  <a:prstDash val="dash"/>
                                  <a:miter/>
                                  <a:headEnd type="none" w="med" len="med"/>
                                  <a:tailEnd type="none" w="med" len="med"/>
                                </a:ln>
                              </wps:spPr>
                              <wps:txbx>
                                <w:txbxContent>
                                  <w:p w14:paraId="36ED6CF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sz w:val="21"/>
                                        <w:szCs w:val="21"/>
                                      </w:rPr>
                                    </w:pPr>
                                    <w:r>
                                      <w:rPr>
                                        <w:rFonts w:hint="eastAsia"/>
                                        <w:sz w:val="21"/>
                                        <w:szCs w:val="21"/>
                                      </w:rPr>
                                      <w:t>装修垃圾</w:t>
                                    </w:r>
                                  </w:p>
                                </w:txbxContent>
                              </wps:txbx>
                              <wps:bodyPr wrap="square" lIns="91439" tIns="45719" rIns="91439" bIns="45719" upright="1"/>
                            </wps:wsp>
                            <wps:wsp>
                              <wps:cNvPr id="13" name="直线 306"/>
                              <wps:cNvCnPr/>
                              <wps:spPr>
                                <a:xfrm flipV="1">
                                  <a:off x="3311" y="279251"/>
                                  <a:ext cx="1" cy="225"/>
                                </a:xfrm>
                                <a:prstGeom prst="line">
                                  <a:avLst/>
                                </a:prstGeom>
                                <a:ln w="9525" cap="flat" cmpd="sng">
                                  <a:solidFill>
                                    <a:srgbClr val="000000"/>
                                  </a:solidFill>
                                  <a:prstDash val="solid"/>
                                  <a:round/>
                                  <a:headEnd type="none" w="med" len="med"/>
                                  <a:tailEnd type="triangle" w="med" len="med"/>
                                </a:ln>
                              </wps:spPr>
                              <wps:bodyPr upright="1"/>
                            </wps:wsp>
                            <wps:wsp>
                              <wps:cNvPr id="14" name="直线 303"/>
                              <wps:cNvCnPr/>
                              <wps:spPr>
                                <a:xfrm flipV="1">
                                  <a:off x="4842" y="279071"/>
                                  <a:ext cx="2" cy="419"/>
                                </a:xfrm>
                                <a:prstGeom prst="line">
                                  <a:avLst/>
                                </a:prstGeom>
                                <a:ln w="9525" cap="flat" cmpd="sng">
                                  <a:solidFill>
                                    <a:srgbClr val="000000"/>
                                  </a:solidFill>
                                  <a:prstDash val="solid"/>
                                  <a:round/>
                                  <a:headEnd type="none" w="med" len="med"/>
                                  <a:tailEnd type="triangle" w="med" len="med"/>
                                </a:ln>
                              </wps:spPr>
                              <wps:bodyPr upright="1"/>
                            </wps:wsp>
                            <wps:wsp>
                              <wps:cNvPr id="15" name="直线 305"/>
                              <wps:cNvCnPr/>
                              <wps:spPr>
                                <a:xfrm flipV="1">
                                  <a:off x="6371" y="279250"/>
                                  <a:ext cx="2" cy="240"/>
                                </a:xfrm>
                                <a:prstGeom prst="line">
                                  <a:avLst/>
                                </a:prstGeom>
                                <a:ln w="9525" cap="flat" cmpd="sng">
                                  <a:solidFill>
                                    <a:srgbClr val="000000"/>
                                  </a:solidFill>
                                  <a:prstDash val="solid"/>
                                  <a:round/>
                                  <a:headEnd type="none" w="med" len="med"/>
                                  <a:tailEnd type="triangle" w="med" len="med"/>
                                </a:ln>
                              </wps:spPr>
                              <wps:bodyPr upright="1"/>
                            </wps:wsp>
                            <wps:wsp>
                              <wps:cNvPr id="16" name="直线 302"/>
                              <wps:cNvCnPr/>
                              <wps:spPr>
                                <a:xfrm flipV="1">
                                  <a:off x="9357" y="279086"/>
                                  <a:ext cx="0" cy="420"/>
                                </a:xfrm>
                                <a:prstGeom prst="line">
                                  <a:avLst/>
                                </a:prstGeom>
                                <a:ln w="9525" cap="flat" cmpd="sng">
                                  <a:solidFill>
                                    <a:srgbClr val="000000"/>
                                  </a:solidFill>
                                  <a:prstDash val="solid"/>
                                  <a:round/>
                                  <a:headEnd type="none" w="med" len="med"/>
                                  <a:tailEnd type="triangle" w="med" len="med"/>
                                </a:ln>
                              </wps:spPr>
                              <wps:bodyPr upright="1"/>
                            </wps:wsp>
                            <wps:wsp>
                              <wps:cNvPr id="17" name="直线 319"/>
                              <wps:cNvCnPr/>
                              <wps:spPr>
                                <a:xfrm>
                                  <a:off x="6386" y="279926"/>
                                  <a:ext cx="1" cy="300"/>
                                </a:xfrm>
                                <a:prstGeom prst="line">
                                  <a:avLst/>
                                </a:prstGeom>
                                <a:ln w="9525" cap="flat" cmpd="sng">
                                  <a:solidFill>
                                    <a:srgbClr val="000000"/>
                                  </a:solidFill>
                                  <a:prstDash val="solid"/>
                                  <a:round/>
                                  <a:headEnd type="none" w="med" len="med"/>
                                  <a:tailEnd type="triangle" w="med" len="med"/>
                                </a:ln>
                              </wps:spPr>
                              <wps:bodyPr upright="1"/>
                            </wps:wsp>
                            <wps:wsp>
                              <wps:cNvPr id="18" name="直线 318"/>
                              <wps:cNvCnPr/>
                              <wps:spPr>
                                <a:xfrm flipH="1">
                                  <a:off x="3311" y="279941"/>
                                  <a:ext cx="1" cy="254"/>
                                </a:xfrm>
                                <a:prstGeom prst="line">
                                  <a:avLst/>
                                </a:prstGeom>
                                <a:ln w="9525" cap="flat" cmpd="sng">
                                  <a:solidFill>
                                    <a:srgbClr val="000000"/>
                                  </a:solidFill>
                                  <a:prstDash val="solid"/>
                                  <a:round/>
                                  <a:headEnd type="none" w="med" len="med"/>
                                  <a:tailEnd type="triangle" w="med" len="med"/>
                                </a:ln>
                              </wps:spPr>
                              <wps:bodyPr upright="1"/>
                            </wps:wsp>
                            <wps:wsp>
                              <wps:cNvPr id="19" name="直线 317"/>
                              <wps:cNvCnPr/>
                              <wps:spPr>
                                <a:xfrm>
                                  <a:off x="9357" y="279955"/>
                                  <a:ext cx="1" cy="420"/>
                                </a:xfrm>
                                <a:prstGeom prst="line">
                                  <a:avLst/>
                                </a:prstGeom>
                                <a:ln w="9525" cap="flat" cmpd="sng">
                                  <a:solidFill>
                                    <a:srgbClr val="000000"/>
                                  </a:solidFill>
                                  <a:prstDash val="solid"/>
                                  <a:round/>
                                  <a:headEnd type="none" w="med" len="med"/>
                                  <a:tailEnd type="triangle" w="med" len="med"/>
                                </a:ln>
                              </wps:spPr>
                              <wps:bodyPr upright="1"/>
                            </wps:wsp>
                            <wps:wsp>
                              <wps:cNvPr id="20" name="直线 304"/>
                              <wps:cNvCnPr/>
                              <wps:spPr>
                                <a:xfrm>
                                  <a:off x="3296" y="279281"/>
                                  <a:ext cx="3075" cy="1"/>
                                </a:xfrm>
                                <a:prstGeom prst="line">
                                  <a:avLst/>
                                </a:prstGeom>
                                <a:ln w="9525" cap="flat" cmpd="sng">
                                  <a:solidFill>
                                    <a:srgbClr val="000000"/>
                                  </a:solidFill>
                                  <a:prstDash val="solid"/>
                                  <a:round/>
                                  <a:headEnd type="none" w="med" len="med"/>
                                  <a:tailEnd type="none" w="med" len="med"/>
                                </a:ln>
                              </wps:spPr>
                              <wps:bodyPr upright="1"/>
                            </wps:wsp>
                            <wps:wsp>
                              <wps:cNvPr id="21" name="直线 320"/>
                              <wps:cNvCnPr/>
                              <wps:spPr>
                                <a:xfrm>
                                  <a:off x="3311" y="280195"/>
                                  <a:ext cx="3091" cy="3"/>
                                </a:xfrm>
                                <a:prstGeom prst="line">
                                  <a:avLst/>
                                </a:prstGeom>
                                <a:ln w="9525" cap="flat" cmpd="sng">
                                  <a:solidFill>
                                    <a:srgbClr val="000000"/>
                                  </a:solidFill>
                                  <a:prstDash val="solid"/>
                                  <a:round/>
                                  <a:headEnd type="none" w="med" len="med"/>
                                  <a:tailEnd type="none" w="med" len="med"/>
                                </a:ln>
                              </wps:spPr>
                              <wps:bodyPr upright="1"/>
                            </wps:wsp>
                            <wps:wsp>
                              <wps:cNvPr id="22" name="直线 316"/>
                              <wps:cNvCnPr/>
                              <wps:spPr>
                                <a:xfrm>
                                  <a:off x="3926" y="279730"/>
                                  <a:ext cx="330" cy="0"/>
                                </a:xfrm>
                                <a:prstGeom prst="line">
                                  <a:avLst/>
                                </a:prstGeom>
                                <a:ln w="9525" cap="flat" cmpd="sng">
                                  <a:solidFill>
                                    <a:srgbClr val="000000"/>
                                  </a:solidFill>
                                  <a:prstDash val="solid"/>
                                  <a:round/>
                                  <a:headEnd type="none" w="med" len="med"/>
                                  <a:tailEnd type="triangle" w="med" len="med"/>
                                </a:ln>
                              </wps:spPr>
                              <wps:bodyPr upright="1"/>
                            </wps:wsp>
                            <wps:wsp>
                              <wps:cNvPr id="23" name="直线 315"/>
                              <wps:cNvCnPr/>
                              <wps:spPr>
                                <a:xfrm>
                                  <a:off x="5471" y="279730"/>
                                  <a:ext cx="285" cy="0"/>
                                </a:xfrm>
                                <a:prstGeom prst="line">
                                  <a:avLst/>
                                </a:prstGeom>
                                <a:ln w="9525" cap="flat" cmpd="sng">
                                  <a:solidFill>
                                    <a:srgbClr val="000000"/>
                                  </a:solidFill>
                                  <a:prstDash val="solid"/>
                                  <a:round/>
                                  <a:headEnd type="none" w="med" len="med"/>
                                  <a:tailEnd type="triangle" w="med" len="med"/>
                                </a:ln>
                              </wps:spPr>
                              <wps:bodyPr upright="1"/>
                            </wps:wsp>
                            <wps:wsp>
                              <wps:cNvPr id="24" name="直线 314"/>
                              <wps:cNvCnPr/>
                              <wps:spPr>
                                <a:xfrm>
                                  <a:off x="7046" y="279730"/>
                                  <a:ext cx="271" cy="0"/>
                                </a:xfrm>
                                <a:prstGeom prst="line">
                                  <a:avLst/>
                                </a:prstGeom>
                                <a:ln w="9525" cap="flat" cmpd="sng">
                                  <a:solidFill>
                                    <a:srgbClr val="000000"/>
                                  </a:solidFill>
                                  <a:prstDash val="solid"/>
                                  <a:round/>
                                  <a:headEnd type="none" w="med" len="med"/>
                                  <a:tailEnd type="triangle" w="med" len="med"/>
                                </a:ln>
                              </wps:spPr>
                              <wps:bodyPr upright="1"/>
                            </wps:wsp>
                            <wps:wsp>
                              <wps:cNvPr id="25" name="直线 313"/>
                              <wps:cNvCnPr/>
                              <wps:spPr>
                                <a:xfrm>
                                  <a:off x="8531" y="279746"/>
                                  <a:ext cx="241" cy="0"/>
                                </a:xfrm>
                                <a:prstGeom prst="line">
                                  <a:avLst/>
                                </a:prstGeom>
                                <a:ln w="9525" cap="flat" cmpd="sng">
                                  <a:solidFill>
                                    <a:srgbClr val="000000"/>
                                  </a:solidFill>
                                  <a:prstDash val="solid"/>
                                  <a:round/>
                                  <a:headEnd type="none" w="med" len="med"/>
                                  <a:tailEnd type="triangle" w="med" len="med"/>
                                </a:ln>
                              </wps:spPr>
                              <wps:bodyPr upright="1"/>
                            </wps:wsp>
                            <wps:wsp>
                              <wps:cNvPr id="26" name="直线 312"/>
                              <wps:cNvCnPr/>
                              <wps:spPr>
                                <a:xfrm>
                                  <a:off x="4848" y="279885"/>
                                  <a:ext cx="1" cy="495"/>
                                </a:xfrm>
                                <a:prstGeom prst="line">
                                  <a:avLst/>
                                </a:prstGeom>
                                <a:ln w="9525" cap="flat" cmpd="sng">
                                  <a:solidFill>
                                    <a:srgbClr val="000000"/>
                                  </a:solidFill>
                                  <a:prstDash val="solid"/>
                                  <a:round/>
                                  <a:headEnd type="none" w="med" len="med"/>
                                  <a:tailEnd type="triangle" w="med" len="med"/>
                                </a:ln>
                              </wps:spPr>
                              <wps:bodyPr upright="1"/>
                            </wps:wsp>
                          </wpg:wgp>
                        </a:graphicData>
                      </a:graphic>
                    </wp:anchor>
                  </w:drawing>
                </mc:Choice>
                <mc:Fallback>
                  <w:pict>
                    <v:group id="组合 88" o:spid="_x0000_s1026" o:spt="203" style="position:absolute;left:0pt;margin-left:4.95pt;margin-top:5.05pt;height:127.35pt;width:388.5pt;z-index:251661312;mso-width-relative:page;mso-height-relative:page;" coordorigin="2741,278666" coordsize="7589,2143" o:gfxdata="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">
                      <o:lock v:ext="edit" aspectratio="f"/>
                      <v:rect id="矩形 311" o:spid="_x0000_s1026" o:spt="1" style="position:absolute;left:2741;top:279490;height:420;width:1185;" filled="f" stroked="t" coordsize="21600,21600" o:gfxdata="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LnmfS8AAAA&#10;2gAAAA8AAAAAAAAAAQAgAAAAIgAAAGRycy9kb3ducmV2LnhtbFBLAQIUABQAAAAIAIdO4kAzLwWe&#10;OwAAADkAAAAQAAAAAAAAAAEAIAAAAAsBAABkcnMvc2hhcGV4bWwueG1sUEsFBgAAAAAGAAYAWwEA&#10;ALUDAAAAAA==&#10;">
                        <v:fill on="f" focussize="0,0"/>
                        <v:stroke color="#000000" joinstyle="miter"/>
                        <v:imagedata o:title=""/>
                        <o:lock v:ext="edit" aspectratio="f"/>
                        <v:textbox inset="7.19992125984252pt,3.59992125984252pt,7.19992125984252pt,3.59992125984252pt">
                          <w:txbxContent>
                            <w:p w14:paraId="0690E7A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eastAsia"/>
                                  <w:sz w:val="21"/>
                                  <w:szCs w:val="21"/>
                                </w:rPr>
                              </w:pPr>
                              <w:r>
                                <w:rPr>
                                  <w:rFonts w:hint="eastAsia"/>
                                  <w:sz w:val="21"/>
                                  <w:szCs w:val="21"/>
                                </w:rPr>
                                <w:t>基础工程</w:t>
                              </w:r>
                            </w:p>
                          </w:txbxContent>
                        </v:textbox>
                      </v:rect>
                      <v:rect id="矩形 310" o:spid="_x0000_s1026" o:spt="1" style="position:absolute;left:4241;top:279476;height:421;width:1216;" filled="f" stroked="t" coordsize="21600,21600" o:gfxdata="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as8b7sAAADa&#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inset="7.19992125984252pt,3.59992125984252pt,7.19992125984252pt,3.59992125984252pt">
                          <w:txbxContent>
                            <w:p w14:paraId="0D046C8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eastAsia"/>
                                  <w:sz w:val="21"/>
                                  <w:szCs w:val="21"/>
                                </w:rPr>
                              </w:pPr>
                              <w:r>
                                <w:rPr>
                                  <w:rFonts w:hint="eastAsia"/>
                                  <w:sz w:val="21"/>
                                  <w:szCs w:val="21"/>
                                </w:rPr>
                                <w:t>主体工程</w:t>
                              </w:r>
                            </w:p>
                          </w:txbxContent>
                        </v:textbox>
                      </v:rect>
                      <v:rect id="矩形 309" o:spid="_x0000_s1026" o:spt="1" style="position:absolute;left:5756;top:279506;height:404;width:1276;" filled="f" stroked="t" coordsize="21600,21600" o:gfxdata="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XmiGLsAAADa&#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inset="7.19992125984252pt,3.59992125984252pt,7.19992125984252pt,3.59992125984252pt">
                          <w:txbxContent>
                            <w:p w14:paraId="009894CD">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sz w:val="21"/>
                                  <w:szCs w:val="21"/>
                                </w:rPr>
                              </w:pPr>
                              <w:r>
                                <w:rPr>
                                  <w:rFonts w:hint="eastAsia"/>
                                  <w:sz w:val="21"/>
                                  <w:szCs w:val="21"/>
                                </w:rPr>
                                <w:t>设备安装</w:t>
                              </w:r>
                            </w:p>
                          </w:txbxContent>
                        </v:textbox>
                      </v:rect>
                      <v:rect id="矩形 308" o:spid="_x0000_s1026" o:spt="1" style="position:absolute;left:7346;top:279506;height:404;width:1185;" filled="f" stroked="t" coordsize="21600,21600" o:gfxdata="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jUHg7sAAADa&#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inset="7.19992125984252pt,3.59992125984252pt,7.19992125984252pt,3.59992125984252pt">
                          <w:txbxContent>
                            <w:p w14:paraId="2CD3B573">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sz w:val="21"/>
                                  <w:szCs w:val="21"/>
                                </w:rPr>
                              </w:pPr>
                              <w:r>
                                <w:rPr>
                                  <w:rFonts w:hint="eastAsia"/>
                                  <w:sz w:val="21"/>
                                  <w:szCs w:val="21"/>
                                </w:rPr>
                                <w:t>工程验收</w:t>
                              </w:r>
                            </w:p>
                          </w:txbxContent>
                        </v:textbox>
                      </v:rect>
                      <v:rect id="矩形 307" o:spid="_x0000_s1026" o:spt="1" style="position:absolute;left:8772;top:279521;height:420;width:1155;" filled="f" stroked="t" coordsize="21600,21600" o:gfxdata="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zqpPxtwAAANoAAAAP&#10;AAAAAAAAAAEAIAAAACIAAABkcnMvZG93bnJldi54bWxQSwECFAAUAAAACACHTuJAMy8FnjsAAAA5&#10;AAAAEAAAAAAAAAABACAAAAAGAQAAZHJzL3NoYXBleG1sLnhtbFBLBQYAAAAABgAGAFsBAACwAwAA&#10;AAA=&#10;">
                        <v:fill on="f" focussize="0,0"/>
                        <v:stroke color="#000000" joinstyle="miter"/>
                        <v:imagedata o:title=""/>
                        <o:lock v:ext="edit" aspectratio="f"/>
                        <v:textbox inset="7.19992125984252pt,3.59992125984252pt,7.19992125984252pt,3.59992125984252pt">
                          <w:txbxContent>
                            <w:p w14:paraId="35DE624B">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sz w:val="21"/>
                                  <w:szCs w:val="21"/>
                                </w:rPr>
                              </w:pPr>
                              <w:r>
                                <w:rPr>
                                  <w:rFonts w:hint="eastAsia"/>
                                  <w:sz w:val="21"/>
                                  <w:szCs w:val="21"/>
                                </w:rPr>
                                <w:t>装饰工程</w:t>
                              </w:r>
                            </w:p>
                          </w:txbxContent>
                        </v:textbox>
                      </v:rect>
                      <v:rect id="矩形 301" o:spid="_x0000_s1026" o:spt="1" style="position:absolute;left:4091;top:278680;height:391;width:1559;" filled="f" stroked="t" coordsize="21600,21600" o:gfxdata="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nrEPW/&#10;AAAA2gAAAA8AAAAAAAAAAQAgAAAAIgAAAGRycy9kb3ducmV2LnhtbFBLAQIUABQAAAAIAIdO4kAz&#10;LwWeOwAAADkAAAAQAAAAAAAAAAEAIAAAAA4BAABkcnMvc2hhcGV4bWwueG1sUEsFBgAAAAAGAAYA&#10;WwEAALgDAAAAAA==&#10;">
                        <v:fill on="f" focussize="0,0"/>
                        <v:stroke color="#000000" joinstyle="miter" dashstyle="dash"/>
                        <v:imagedata o:title=""/>
                        <o:lock v:ext="edit" aspectratio="f"/>
                        <v:textbox inset="7.19992125984252pt,3.59992125984252pt,7.19992125984252pt,3.59992125984252pt">
                          <w:txbxContent>
                            <w:p w14:paraId="65D8D66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sz w:val="21"/>
                                  <w:szCs w:val="21"/>
                                </w:rPr>
                              </w:pPr>
                              <w:r>
                                <w:rPr>
                                  <w:rFonts w:hint="eastAsia"/>
                                  <w:sz w:val="21"/>
                                  <w:szCs w:val="21"/>
                                </w:rPr>
                                <w:t>噪声、扬尘</w:t>
                              </w:r>
                            </w:p>
                          </w:txbxContent>
                        </v:textbox>
                      </v:rect>
                      <v:rect id="矩形 322" o:spid="_x0000_s1026" o:spt="1" style="position:absolute;left:2802;top:280391;height:419;width:4154;" filled="f" stroked="t" coordsize="21600,21600" o:gfxdata="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R4xGh&#10;wAAAANsAAAAPAAAAAAAAAAEAIAAAACIAAABkcnMvZG93bnJldi54bWxQSwECFAAUAAAACACHTuJA&#10;My8FnjsAAAA5AAAAEAAAAAAAAAABACAAAAAPAQAAZHJzL3NoYXBleG1sLnhtbFBLBQYAAAAABgAG&#10;AFsBAAC5AwAAAAA=&#10;">
                        <v:fill on="f" focussize="0,0"/>
                        <v:stroke color="#000000" joinstyle="miter" dashstyle="dash"/>
                        <v:imagedata o:title=""/>
                        <o:lock v:ext="edit" aspectratio="f"/>
                        <v:textbox inset="7.19992125984252pt,3.59992125984252pt,7.19992125984252pt,3.59992125984252pt">
                          <w:txbxContent>
                            <w:p w14:paraId="26209D8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sz w:val="21"/>
                                  <w:szCs w:val="21"/>
                                </w:rPr>
                              </w:pPr>
                              <w:r>
                                <w:rPr>
                                  <w:rFonts w:hint="eastAsia"/>
                                  <w:sz w:val="21"/>
                                  <w:szCs w:val="21"/>
                                </w:rPr>
                                <w:t>施工废水、建筑垃圾、施工人员生活垃圾</w:t>
                              </w:r>
                            </w:p>
                          </w:txbxContent>
                        </v:textbox>
                      </v:rect>
                      <v:rect id="矩形 300" o:spid="_x0000_s1026" o:spt="1" style="position:absolute;left:8366;top:278666;height:420;width:1965;" filled="f" stroked="t" coordsize="21600,21600" o:gfxdata="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7Q6vQAA&#10;ANsAAAAPAAAAAAAAAAEAIAAAACIAAABkcnMvZG93bnJldi54bWxQSwECFAAUAAAACACHTuJAMy8F&#10;njsAAAA5AAAAEAAAAAAAAAABACAAAAAMAQAAZHJzL3NoYXBleG1sLnhtbFBLBQYAAAAABgAGAFsB&#10;AAC2AwAAAAA=&#10;">
                        <v:fill on="f" focussize="0,0"/>
                        <v:stroke color="#000000" joinstyle="miter" dashstyle="dash"/>
                        <v:imagedata o:title=""/>
                        <o:lock v:ext="edit" aspectratio="f"/>
                        <v:textbox inset="7.19992125984252pt,3.59992125984252pt,7.19992125984252pt,3.59992125984252pt">
                          <w:txbxContent>
                            <w:p w14:paraId="3E59101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textAlignment w:val="auto"/>
                                <w:rPr>
                                  <w:rFonts w:hint="eastAsia"/>
                                  <w:sz w:val="21"/>
                                  <w:szCs w:val="21"/>
                                </w:rPr>
                              </w:pPr>
                              <w:r>
                                <w:rPr>
                                  <w:rFonts w:hint="eastAsia"/>
                                  <w:sz w:val="21"/>
                                  <w:szCs w:val="21"/>
                                </w:rPr>
                                <w:t>噪声、扬尘、废气</w:t>
                              </w:r>
                            </w:p>
                          </w:txbxContent>
                        </v:textbox>
                      </v:rect>
                      <v:rect id="矩形 321" o:spid="_x0000_s1026" o:spt="1" style="position:absolute;left:8757;top:280375;height:407;width:1170;" filled="f" stroked="t" coordsize="21600,21600" o:gfxdata="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59Kk28AAAA&#10;2wAAAA8AAAAAAAAAAQAgAAAAIgAAAGRycy9kb3ducmV2LnhtbFBLAQIUABQAAAAIAIdO4kAzLwWe&#10;OwAAADkAAAAQAAAAAAAAAAEAIAAAAAsBAABkcnMvc2hhcGV4bWwueG1sUEsFBgAAAAAGAAYAWwEA&#10;ALUDAAAAAA==&#10;">
                        <v:fill on="f" focussize="0,0"/>
                        <v:stroke color="#000000" joinstyle="miter" dashstyle="dash"/>
                        <v:imagedata o:title=""/>
                        <o:lock v:ext="edit" aspectratio="f"/>
                        <v:textbox inset="7.19992125984252pt,3.59992125984252pt,7.19992125984252pt,3.59992125984252pt">
                          <w:txbxContent>
                            <w:p w14:paraId="36ED6CF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both"/>
                                <w:textAlignment w:val="auto"/>
                                <w:rPr>
                                  <w:rFonts w:hint="eastAsia"/>
                                  <w:sz w:val="21"/>
                                  <w:szCs w:val="21"/>
                                </w:rPr>
                              </w:pPr>
                              <w:r>
                                <w:rPr>
                                  <w:rFonts w:hint="eastAsia"/>
                                  <w:sz w:val="21"/>
                                  <w:szCs w:val="21"/>
                                </w:rPr>
                                <w:t>装修垃圾</w:t>
                              </w:r>
                            </w:p>
                          </w:txbxContent>
                        </v:textbox>
                      </v:rect>
                      <v:line id="直线 306" o:spid="_x0000_s1026" o:spt="20" style="position:absolute;left:3311;top:279251;flip:y;height:225;width:1;" filled="f" stroked="t" coordsize="21600,21600" o:gfxdata="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oEQA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直线 303" o:spid="_x0000_s1026" o:spt="20" style="position:absolute;left:4842;top:279071;flip:y;height:419;width:2;" filled="f" stroked="t" coordsize="21600,21600" o:gfxdata="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xJ3HS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线 305" o:spid="_x0000_s1026" o:spt="20" style="position:absolute;left:6371;top:279250;flip:y;height:240;width:2;" filled="f" stroked="t" coordsize="21600,21600" o:gfxdata="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MFee+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线 302" o:spid="_x0000_s1026" o:spt="20" style="position:absolute;left:9357;top:279086;flip:y;height:420;width:0;" filled="f" stroked="t" coordsize="21600,21600" o:gfxdata="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PX55i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线 319" o:spid="_x0000_s1026" o:spt="20" style="position:absolute;left:6386;top:279926;height:300;width:1;" filled="f" stroked="t" coordsize="21600,21600" o:gfxdata="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ZAZN+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线 318" o:spid="_x0000_s1026" o:spt="20" style="position:absolute;left:3311;top:279941;flip:x;height:254;width:1;" filled="f" stroked="t" coordsize="21600,21600" o:gfxdata="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QTWc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线 317" o:spid="_x0000_s1026" o:spt="20" style="position:absolute;left:9357;top:279955;height:420;width:1;" filled="f" stroked="t" coordsize="21600,21600" o:gfxdata="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4k1U2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line id="直线 304" o:spid="_x0000_s1026" o:spt="20" style="position:absolute;left:3296;top:279281;height:1;width:3075;" filled="f" stroked="t" coordsize="21600,21600" o:gfxdata="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UBoVugAAANsA&#10;AAAPAAAAAAAAAAEAIAAAACIAAABkcnMvZG93bnJldi54bWxQSwECFAAUAAAACACHTuJAMy8FnjsA&#10;AAA5AAAAEAAAAAAAAAABACAAAAAJAQAAZHJzL3NoYXBleG1sLnhtbFBLBQYAAAAABgAGAFsBAACz&#10;AwAAAAA=&#10;">
                        <v:fill on="f" focussize="0,0"/>
                        <v:stroke color="#000000" joinstyle="round"/>
                        <v:imagedata o:title=""/>
                        <o:lock v:ext="edit" aspectratio="f"/>
                      </v:line>
                      <v:line id="直线 320" o:spid="_x0000_s1026" o:spt="20" style="position:absolute;left:3311;top:280195;height:3;width:3091;" filled="f" stroked="t" coordsize="21600,21600" o:gfxdata="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Ycv468AAAA&#10;2wAAAA8AAAAAAAAAAQAgAAAAIgAAAGRycy9kb3ducmV2LnhtbFBLAQIUABQAAAAIAIdO4kAzLwWe&#10;OwAAADkAAAAQAAAAAAAAAAEAIAAAAAsBAABkcnMvc2hhcGV4bWwueG1sUEsFBgAAAAAGAAYAWwEA&#10;ALUDAAAAAA==&#10;">
                        <v:fill on="f" focussize="0,0"/>
                        <v:stroke color="#000000" joinstyle="round"/>
                        <v:imagedata o:title=""/>
                        <o:lock v:ext="edit" aspectratio="f"/>
                      </v:line>
                      <v:line id="直线 316" o:spid="_x0000_s1026" o:spt="20" style="position:absolute;left:3926;top:279730;height:0;width:330;" filled="f" stroked="t" coordsize="21600,21600" o:gfxdata="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hbDfq/&#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线 315" o:spid="_x0000_s1026" o:spt="20" style="position:absolute;left:5471;top:279730;height:0;width:285;" filled="f" stroked="t" coordsize="21600,21600" o:gfxdata="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cXqGG/&#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线 314" o:spid="_x0000_s1026" o:spt="20" style="position:absolute;left:7046;top:279730;height:0;width:271;" filled="f" stroked="t" coordsize="21600,21600" o:gfxdata="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j+MBW/&#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线 313" o:spid="_x0000_s1026" o:spt="20" style="position:absolute;left:8531;top:279746;height:0;width:241;" filled="f" stroked="t" coordsize="21600,21600" o:gfxdata="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eylY6/&#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line id="直线 312" o:spid="_x0000_s1026" o:spt="20" style="position:absolute;left:4848;top:279885;height:495;width:1;" filled="f" stroked="t" coordsize="21600,21600" o:gfxdata="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2AL+b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group>
                  </w:pict>
                </mc:Fallback>
              </mc:AlternateContent>
            </w:r>
          </w:p>
          <w:p w14:paraId="7A92D6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rPr>
            </w:pPr>
          </w:p>
          <w:p w14:paraId="16CED3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rPr>
            </w:pPr>
          </w:p>
          <w:p w14:paraId="3032CC3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rPr>
            </w:pPr>
          </w:p>
          <w:p w14:paraId="1BDBF6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rPr>
            </w:pPr>
          </w:p>
          <w:p w14:paraId="5BE0F8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rPr>
            </w:pPr>
          </w:p>
          <w:p w14:paraId="5B7E32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rPr>
            </w:pPr>
          </w:p>
          <w:p w14:paraId="72344AE5">
            <w:pPr>
              <w:spacing w:line="400" w:lineRule="exact"/>
              <w:ind w:left="0" w:leftChars="0" w:firstLine="0" w:firstLineChars="0"/>
              <w:jc w:val="both"/>
              <w:rPr>
                <w:rFonts w:hint="eastAsia" w:ascii="Times New Roman" w:hAnsi="Times New Roman"/>
                <w:b/>
                <w:bCs/>
                <w:sz w:val="21"/>
                <w:szCs w:val="21"/>
              </w:rPr>
            </w:pPr>
          </w:p>
          <w:p w14:paraId="6239CCBF">
            <w:pPr>
              <w:pStyle w:val="59"/>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leftChars="0" w:right="0" w:firstLine="0" w:firstLineChars="0"/>
              <w:jc w:val="center"/>
              <w:textAlignment w:val="auto"/>
              <w:rPr>
                <w:rFonts w:hint="eastAsia" w:ascii="Times New Roman" w:hAnsi="Times New Roman" w:cs="Times New Roman"/>
                <w:b w:val="0"/>
                <w:bCs w:val="0"/>
                <w:color w:val="000000"/>
                <w:spacing w:val="0"/>
                <w:kern w:val="0"/>
                <w:sz w:val="24"/>
                <w:szCs w:val="24"/>
                <w:lang w:val="en-US" w:eastAsia="zh-CN"/>
              </w:rPr>
            </w:pPr>
            <w:r>
              <w:rPr>
                <w:rFonts w:hint="default" w:ascii="Times New Roman" w:hAnsi="Times New Roman" w:cs="Times New Roman"/>
                <w:b w:val="0"/>
                <w:bCs w:val="0"/>
                <w:color w:val="000000"/>
                <w:spacing w:val="0"/>
                <w:kern w:val="0"/>
                <w:sz w:val="24"/>
                <w:szCs w:val="24"/>
                <w:lang w:val="en-US" w:eastAsia="zh-CN"/>
              </w:rPr>
              <w:t>图</w:t>
            </w:r>
            <w:r>
              <w:rPr>
                <w:rFonts w:hint="eastAsia" w:ascii="Times New Roman" w:hAnsi="Times New Roman" w:cs="Times New Roman"/>
                <w:b w:val="0"/>
                <w:bCs w:val="0"/>
                <w:color w:val="000000"/>
                <w:spacing w:val="0"/>
                <w:kern w:val="0"/>
                <w:sz w:val="24"/>
                <w:szCs w:val="24"/>
                <w:lang w:val="en-US" w:eastAsia="zh-CN"/>
              </w:rPr>
              <w:t>1</w:t>
            </w:r>
            <w:r>
              <w:rPr>
                <w:rFonts w:hint="default" w:ascii="Times New Roman" w:hAnsi="Times New Roman" w:cs="Times New Roman"/>
                <w:b w:val="0"/>
                <w:bCs w:val="0"/>
                <w:color w:val="000000"/>
                <w:spacing w:val="0"/>
                <w:kern w:val="0"/>
                <w:sz w:val="24"/>
                <w:szCs w:val="24"/>
                <w:lang w:val="en-US" w:eastAsia="zh-CN"/>
              </w:rPr>
              <w:t xml:space="preserve"> </w:t>
            </w:r>
            <w:r>
              <w:rPr>
                <w:rFonts w:hint="eastAsia" w:ascii="Times New Roman" w:hAnsi="Times New Roman" w:cs="Times New Roman"/>
                <w:b w:val="0"/>
                <w:bCs w:val="0"/>
                <w:color w:val="000000"/>
                <w:spacing w:val="0"/>
                <w:kern w:val="0"/>
                <w:sz w:val="24"/>
                <w:szCs w:val="24"/>
                <w:lang w:val="en-US" w:eastAsia="zh-CN"/>
              </w:rPr>
              <w:t xml:space="preserve">        项目施工期</w:t>
            </w:r>
            <w:r>
              <w:rPr>
                <w:rFonts w:hint="default" w:ascii="Times New Roman" w:hAnsi="Times New Roman" w:cs="Times New Roman"/>
                <w:b w:val="0"/>
                <w:bCs w:val="0"/>
                <w:color w:val="000000"/>
                <w:spacing w:val="0"/>
                <w:kern w:val="0"/>
                <w:sz w:val="24"/>
                <w:szCs w:val="24"/>
                <w:lang w:val="en-US" w:eastAsia="zh-CN"/>
              </w:rPr>
              <w:t>工艺流程及产污环节</w:t>
            </w:r>
            <w:r>
              <w:rPr>
                <w:rFonts w:hint="eastAsia" w:ascii="Times New Roman" w:hAnsi="Times New Roman" w:cs="Times New Roman"/>
                <w:b w:val="0"/>
                <w:bCs w:val="0"/>
                <w:color w:val="000000"/>
                <w:spacing w:val="0"/>
                <w:kern w:val="0"/>
                <w:sz w:val="24"/>
                <w:szCs w:val="24"/>
                <w:lang w:val="en-US" w:eastAsia="zh-CN"/>
              </w:rPr>
              <w:t>图</w:t>
            </w:r>
          </w:p>
          <w:p w14:paraId="7179837A">
            <w:pPr>
              <w:keepNext w:val="0"/>
              <w:keepLines w:val="0"/>
              <w:pageBreakBefore w:val="0"/>
              <w:widowControl w:val="0"/>
              <w:kinsoku/>
              <w:wordWrap/>
              <w:overflowPunct/>
              <w:topLinePunct w:val="0"/>
              <w:autoSpaceDE/>
              <w:autoSpaceDN/>
              <w:bidi w:val="0"/>
              <w:adjustRightInd w:val="0"/>
              <w:snapToGrid w:val="0"/>
              <w:spacing w:line="520" w:lineRule="exact"/>
              <w:ind w:firstLine="504" w:firstLineChars="200"/>
              <w:jc w:val="both"/>
              <w:textAlignment w:val="auto"/>
              <w:rPr>
                <w:rFonts w:hint="default" w:ascii="Times New Roman" w:hAnsi="Times New Roman" w:eastAsia="宋体" w:cs="Times New Roman"/>
                <w:bCs/>
                <w:color w:val="auto"/>
                <w:spacing w:val="6"/>
                <w:sz w:val="24"/>
                <w:szCs w:val="24"/>
                <w:highlight w:val="none"/>
              </w:rPr>
            </w:pPr>
            <w:r>
              <w:rPr>
                <w:rFonts w:hint="default" w:ascii="Times New Roman" w:hAnsi="Times New Roman" w:eastAsia="宋体" w:cs="Times New Roman"/>
                <w:bCs/>
                <w:color w:val="auto"/>
                <w:spacing w:val="6"/>
                <w:sz w:val="24"/>
                <w:szCs w:val="24"/>
                <w:highlight w:val="none"/>
              </w:rPr>
              <w:t>基础工程：是指采用工程措施，改变或改善基础的天然条件，使之符合设计要求的工程。本项目是指基坑的挖掘及基础建设。</w:t>
            </w:r>
          </w:p>
          <w:p w14:paraId="37ACB73F">
            <w:pPr>
              <w:keepNext w:val="0"/>
              <w:keepLines w:val="0"/>
              <w:pageBreakBefore w:val="0"/>
              <w:widowControl w:val="0"/>
              <w:kinsoku/>
              <w:wordWrap/>
              <w:overflowPunct/>
              <w:topLinePunct w:val="0"/>
              <w:autoSpaceDE/>
              <w:autoSpaceDN/>
              <w:bidi w:val="0"/>
              <w:adjustRightInd w:val="0"/>
              <w:snapToGrid w:val="0"/>
              <w:spacing w:line="520" w:lineRule="exact"/>
              <w:ind w:firstLine="504" w:firstLineChars="200"/>
              <w:jc w:val="both"/>
              <w:textAlignment w:val="auto"/>
              <w:rPr>
                <w:rFonts w:hint="default" w:ascii="Times New Roman" w:hAnsi="Times New Roman" w:eastAsia="宋体" w:cs="Times New Roman"/>
                <w:bCs/>
                <w:color w:val="auto"/>
                <w:spacing w:val="6"/>
                <w:sz w:val="24"/>
                <w:szCs w:val="24"/>
                <w:highlight w:val="none"/>
              </w:rPr>
            </w:pPr>
            <w:r>
              <w:rPr>
                <w:rFonts w:hint="default" w:ascii="Times New Roman" w:hAnsi="Times New Roman" w:eastAsia="宋体" w:cs="Times New Roman"/>
                <w:bCs/>
                <w:color w:val="auto"/>
                <w:spacing w:val="6"/>
                <w:sz w:val="24"/>
                <w:szCs w:val="24"/>
                <w:highlight w:val="none"/>
              </w:rPr>
              <w:t>主体工程：建筑主体工程指基于地基基础之上，接受、承担和传递</w:t>
            </w:r>
            <w:r>
              <w:rPr>
                <w:rFonts w:hint="default" w:ascii="Times New Roman" w:hAnsi="Times New Roman" w:eastAsia="宋体" w:cs="Times New Roman"/>
                <w:bCs/>
                <w:color w:val="auto"/>
                <w:spacing w:val="6"/>
                <w:sz w:val="24"/>
                <w:szCs w:val="24"/>
                <w:highlight w:val="none"/>
              </w:rPr>
              <w:fldChar w:fldCharType="begin"/>
            </w:r>
            <w:r>
              <w:rPr>
                <w:rFonts w:hint="default" w:ascii="Times New Roman" w:hAnsi="Times New Roman" w:eastAsia="宋体" w:cs="Times New Roman"/>
                <w:bCs/>
                <w:color w:val="auto"/>
                <w:spacing w:val="6"/>
                <w:sz w:val="24"/>
                <w:szCs w:val="24"/>
                <w:highlight w:val="none"/>
              </w:rPr>
              <w:instrText xml:space="preserve"> HYPERLINK "http://baike.baidu.com/subview/702683/8036667.htm" \t "http://baike.baidu.com/item/%E5%BB%BA%E7%AD%91%E4%B8%BB%E4%BD%93%E5%B7%A5%E7%A8%8B/_blank" </w:instrText>
            </w:r>
            <w:r>
              <w:rPr>
                <w:rFonts w:hint="default" w:ascii="Times New Roman" w:hAnsi="Times New Roman" w:eastAsia="宋体" w:cs="Times New Roman"/>
                <w:bCs/>
                <w:color w:val="auto"/>
                <w:spacing w:val="6"/>
                <w:sz w:val="24"/>
                <w:szCs w:val="24"/>
                <w:highlight w:val="none"/>
              </w:rPr>
              <w:fldChar w:fldCharType="separate"/>
            </w:r>
            <w:r>
              <w:rPr>
                <w:rFonts w:hint="default" w:ascii="Times New Roman" w:hAnsi="Times New Roman" w:eastAsia="宋体" w:cs="Times New Roman"/>
                <w:bCs/>
                <w:color w:val="auto"/>
                <w:spacing w:val="6"/>
                <w:sz w:val="24"/>
                <w:szCs w:val="24"/>
                <w:highlight w:val="none"/>
              </w:rPr>
              <w:t>建设</w:t>
            </w:r>
            <w:r>
              <w:rPr>
                <w:rFonts w:hint="default" w:ascii="Times New Roman" w:hAnsi="Times New Roman" w:eastAsia="宋体" w:cs="Times New Roman"/>
                <w:bCs/>
                <w:color w:val="auto"/>
                <w:spacing w:val="6"/>
                <w:sz w:val="24"/>
                <w:szCs w:val="24"/>
                <w:highlight w:val="none"/>
              </w:rPr>
              <w:fldChar w:fldCharType="end"/>
            </w:r>
            <w:r>
              <w:rPr>
                <w:rFonts w:hint="default" w:ascii="Times New Roman" w:hAnsi="Times New Roman" w:eastAsia="宋体" w:cs="Times New Roman"/>
                <w:bCs/>
                <w:color w:val="auto"/>
                <w:spacing w:val="6"/>
                <w:sz w:val="24"/>
                <w:szCs w:val="24"/>
                <w:highlight w:val="none"/>
              </w:rPr>
              <w:t>工程所有上部荷载，维持结构整体性、稳定性和安全性的承重结构体系。本项目指的是在基础工程之上建立的砖混框架结构和钢结构框架结构，以及其后的砖石和彩钢</w:t>
            </w:r>
            <w:r>
              <w:rPr>
                <w:rFonts w:hint="default" w:ascii="Times New Roman" w:hAnsi="Times New Roman" w:eastAsia="宋体" w:cs="Times New Roman"/>
                <w:bCs/>
                <w:color w:val="auto"/>
                <w:spacing w:val="6"/>
                <w:sz w:val="24"/>
                <w:szCs w:val="24"/>
                <w:highlight w:val="none"/>
                <w:lang w:eastAsia="zh-CN"/>
              </w:rPr>
              <w:t>板</w:t>
            </w:r>
            <w:r>
              <w:rPr>
                <w:rFonts w:hint="default" w:ascii="Times New Roman" w:hAnsi="Times New Roman" w:eastAsia="宋体" w:cs="Times New Roman"/>
                <w:bCs/>
                <w:color w:val="auto"/>
                <w:spacing w:val="6"/>
                <w:sz w:val="24"/>
                <w:szCs w:val="24"/>
                <w:highlight w:val="none"/>
              </w:rPr>
              <w:t>填充建立起来的隔断形成一个个独立的空间等。</w:t>
            </w:r>
          </w:p>
          <w:p w14:paraId="17CC24C8">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default" w:ascii="Times New Roman" w:hAnsi="Times New Roman" w:eastAsia="宋体" w:cs="Times New Roman"/>
                <w:bCs/>
                <w:color w:val="auto"/>
                <w:spacing w:val="0"/>
                <w:kern w:val="10"/>
                <w:sz w:val="24"/>
                <w:szCs w:val="24"/>
                <w:highlight w:val="none"/>
              </w:rPr>
            </w:pPr>
            <w:r>
              <w:rPr>
                <w:rFonts w:hint="default" w:ascii="Times New Roman" w:hAnsi="Times New Roman" w:eastAsia="宋体" w:cs="Times New Roman"/>
                <w:bCs/>
                <w:color w:val="auto"/>
                <w:spacing w:val="0"/>
                <w:kern w:val="0"/>
                <w:sz w:val="24"/>
                <w:szCs w:val="24"/>
                <w:highlight w:val="none"/>
              </w:rPr>
              <w:t>设备安装：在</w:t>
            </w:r>
            <w:r>
              <w:rPr>
                <w:rFonts w:hint="default" w:ascii="Times New Roman" w:hAnsi="Times New Roman" w:eastAsia="宋体" w:cs="Times New Roman"/>
                <w:bCs/>
                <w:color w:val="auto"/>
                <w:spacing w:val="0"/>
                <w:kern w:val="0"/>
                <w:sz w:val="24"/>
                <w:szCs w:val="24"/>
                <w:highlight w:val="none"/>
              </w:rPr>
              <w:fldChar w:fldCharType="begin"/>
            </w:r>
            <w:r>
              <w:rPr>
                <w:rFonts w:hint="default" w:ascii="Times New Roman" w:hAnsi="Times New Roman" w:eastAsia="宋体" w:cs="Times New Roman"/>
                <w:bCs/>
                <w:color w:val="auto"/>
                <w:spacing w:val="0"/>
                <w:kern w:val="0"/>
                <w:sz w:val="24"/>
                <w:szCs w:val="24"/>
                <w:highlight w:val="none"/>
              </w:rPr>
              <w:instrText xml:space="preserve"> HYPERLINK "http://baike.baidu.com/view/2232055.htm" \t "http://baike.baidu.com/item/_blank" </w:instrText>
            </w:r>
            <w:r>
              <w:rPr>
                <w:rFonts w:hint="default" w:ascii="Times New Roman" w:hAnsi="Times New Roman" w:eastAsia="宋体" w:cs="Times New Roman"/>
                <w:bCs/>
                <w:color w:val="auto"/>
                <w:spacing w:val="0"/>
                <w:kern w:val="0"/>
                <w:sz w:val="24"/>
                <w:szCs w:val="24"/>
                <w:highlight w:val="none"/>
              </w:rPr>
              <w:fldChar w:fldCharType="separate"/>
            </w:r>
            <w:r>
              <w:rPr>
                <w:rFonts w:hint="default" w:ascii="Times New Roman" w:hAnsi="Times New Roman" w:eastAsia="宋体" w:cs="Times New Roman"/>
                <w:bCs/>
                <w:color w:val="auto"/>
                <w:spacing w:val="0"/>
                <w:kern w:val="0"/>
                <w:sz w:val="24"/>
                <w:szCs w:val="24"/>
                <w:highlight w:val="none"/>
              </w:rPr>
              <w:t>工程施工</w:t>
            </w:r>
            <w:r>
              <w:rPr>
                <w:rFonts w:hint="default" w:ascii="Times New Roman" w:hAnsi="Times New Roman" w:eastAsia="宋体" w:cs="Times New Roman"/>
                <w:bCs/>
                <w:color w:val="auto"/>
                <w:spacing w:val="0"/>
                <w:kern w:val="0"/>
                <w:sz w:val="24"/>
                <w:szCs w:val="24"/>
                <w:highlight w:val="none"/>
              </w:rPr>
              <w:fldChar w:fldCharType="end"/>
            </w:r>
            <w:r>
              <w:rPr>
                <w:rFonts w:hint="default" w:ascii="Times New Roman" w:hAnsi="Times New Roman" w:eastAsia="宋体" w:cs="Times New Roman"/>
                <w:bCs/>
                <w:color w:val="auto"/>
                <w:spacing w:val="0"/>
                <w:kern w:val="0"/>
                <w:sz w:val="24"/>
                <w:szCs w:val="24"/>
                <w:highlight w:val="none"/>
              </w:rPr>
              <w:t>中，将设备安装就位</w:t>
            </w:r>
            <w:r>
              <w:rPr>
                <w:rFonts w:hint="default" w:ascii="Times New Roman" w:hAnsi="Times New Roman" w:eastAsia="宋体" w:cs="Times New Roman"/>
                <w:bCs/>
                <w:color w:val="auto"/>
                <w:spacing w:val="0"/>
                <w:kern w:val="0"/>
                <w:sz w:val="24"/>
                <w:szCs w:val="24"/>
                <w:highlight w:val="none"/>
              </w:rPr>
              <w:fldChar w:fldCharType="begin"/>
            </w:r>
            <w:r>
              <w:rPr>
                <w:rFonts w:hint="default" w:ascii="Times New Roman" w:hAnsi="Times New Roman" w:eastAsia="宋体" w:cs="Times New Roman"/>
                <w:bCs/>
                <w:color w:val="auto"/>
                <w:spacing w:val="0"/>
                <w:kern w:val="0"/>
                <w:sz w:val="24"/>
                <w:szCs w:val="24"/>
                <w:highlight w:val="none"/>
              </w:rPr>
              <w:instrText xml:space="preserve"> HYPERLINK "http://baike.baidu.com/subview/543312/10455533.htm" \t "http://baike.baidu.com/item/_blank" </w:instrText>
            </w:r>
            <w:r>
              <w:rPr>
                <w:rFonts w:hint="default" w:ascii="Times New Roman" w:hAnsi="Times New Roman" w:eastAsia="宋体" w:cs="Times New Roman"/>
                <w:bCs/>
                <w:color w:val="auto"/>
                <w:spacing w:val="0"/>
                <w:kern w:val="0"/>
                <w:sz w:val="24"/>
                <w:szCs w:val="24"/>
                <w:highlight w:val="none"/>
              </w:rPr>
              <w:fldChar w:fldCharType="separate"/>
            </w:r>
            <w:r>
              <w:rPr>
                <w:rFonts w:hint="default" w:ascii="Times New Roman" w:hAnsi="Times New Roman" w:eastAsia="宋体" w:cs="Times New Roman"/>
                <w:bCs/>
                <w:color w:val="auto"/>
                <w:spacing w:val="0"/>
                <w:kern w:val="0"/>
                <w:sz w:val="24"/>
                <w:szCs w:val="24"/>
                <w:highlight w:val="none"/>
              </w:rPr>
              <w:t>连接</w:t>
            </w:r>
            <w:r>
              <w:rPr>
                <w:rFonts w:hint="default" w:ascii="Times New Roman" w:hAnsi="Times New Roman" w:eastAsia="宋体" w:cs="Times New Roman"/>
                <w:bCs/>
                <w:color w:val="auto"/>
                <w:spacing w:val="0"/>
                <w:kern w:val="0"/>
                <w:sz w:val="24"/>
                <w:szCs w:val="24"/>
                <w:highlight w:val="none"/>
              </w:rPr>
              <w:fldChar w:fldCharType="end"/>
            </w:r>
            <w:r>
              <w:rPr>
                <w:rFonts w:hint="default" w:ascii="Times New Roman" w:hAnsi="Times New Roman" w:eastAsia="宋体" w:cs="Times New Roman"/>
                <w:bCs/>
                <w:color w:val="auto"/>
                <w:spacing w:val="0"/>
                <w:kern w:val="0"/>
                <w:sz w:val="24"/>
                <w:szCs w:val="24"/>
                <w:highlight w:val="none"/>
              </w:rPr>
              <w:t>成有机整体的工作。本项目指的是在主体工程上安装供水工程，排水工程，电气工程，通风工程等需要的设备。</w:t>
            </w:r>
          </w:p>
          <w:p w14:paraId="764AB90A">
            <w:pPr>
              <w:keepNext w:val="0"/>
              <w:keepLines w:val="0"/>
              <w:pageBreakBefore w:val="0"/>
              <w:widowControl w:val="0"/>
              <w:kinsoku/>
              <w:wordWrap/>
              <w:overflowPunct/>
              <w:topLinePunct w:val="0"/>
              <w:autoSpaceDE/>
              <w:autoSpaceDN/>
              <w:bidi w:val="0"/>
              <w:adjustRightInd w:val="0"/>
              <w:snapToGrid w:val="0"/>
              <w:spacing w:line="520" w:lineRule="exact"/>
              <w:ind w:firstLine="504" w:firstLineChars="200"/>
              <w:textAlignment w:val="auto"/>
              <w:rPr>
                <w:rFonts w:hint="default" w:ascii="Times New Roman" w:hAnsi="Times New Roman" w:cs="Times New Roman"/>
                <w:b/>
                <w:sz w:val="24"/>
                <w:szCs w:val="24"/>
              </w:rPr>
            </w:pPr>
            <w:r>
              <w:rPr>
                <w:rFonts w:hint="default" w:ascii="Times New Roman" w:hAnsi="Times New Roman" w:eastAsia="宋体" w:cs="Times New Roman"/>
                <w:bCs/>
                <w:color w:val="auto"/>
                <w:spacing w:val="6"/>
                <w:sz w:val="24"/>
                <w:szCs w:val="24"/>
                <w:highlight w:val="none"/>
              </w:rPr>
              <w:t>工程验收：质量检测部门根据国家法律以及设计的相关规范和标准对已经建成的工程进行一次检测，检测建筑主体是否能</w:t>
            </w:r>
            <w:r>
              <w:rPr>
                <w:rFonts w:hint="default" w:ascii="Times New Roman" w:hAnsi="Times New Roman" w:eastAsia="宋体" w:cs="Times New Roman"/>
                <w:bCs/>
                <w:color w:val="auto"/>
                <w:spacing w:val="6"/>
                <w:sz w:val="24"/>
                <w:szCs w:val="24"/>
                <w:highlight w:val="none"/>
                <w:lang w:eastAsia="zh-CN"/>
              </w:rPr>
              <w:t>达到</w:t>
            </w:r>
            <w:r>
              <w:rPr>
                <w:rFonts w:hint="default" w:ascii="Times New Roman" w:hAnsi="Times New Roman" w:eastAsia="宋体" w:cs="Times New Roman"/>
                <w:bCs/>
                <w:color w:val="auto"/>
                <w:spacing w:val="6"/>
                <w:sz w:val="24"/>
                <w:szCs w:val="24"/>
                <w:highlight w:val="none"/>
              </w:rPr>
              <w:t>要求。</w:t>
            </w:r>
          </w:p>
          <w:p w14:paraId="176D0C03">
            <w:pPr>
              <w:keepNext w:val="0"/>
              <w:keepLines w:val="0"/>
              <w:pageBreakBefore w:val="0"/>
              <w:widowControl w:val="0"/>
              <w:kinsoku/>
              <w:wordWrap/>
              <w:overflowPunct/>
              <w:topLinePunct w:val="0"/>
              <w:autoSpaceDE/>
              <w:autoSpaceDN/>
              <w:bidi w:val="0"/>
              <w:adjustRightInd w:val="0"/>
              <w:snapToGrid w:val="0"/>
              <w:spacing w:line="520" w:lineRule="exact"/>
              <w:ind w:firstLine="482"/>
              <w:textAlignment w:val="auto"/>
              <w:rPr>
                <w:rFonts w:hint="default" w:ascii="Times New Roman" w:hAnsi="Times New Roman" w:cs="Times New Roman"/>
                <w:b/>
                <w:color w:val="auto"/>
              </w:rPr>
            </w:pPr>
            <w:r>
              <w:rPr>
                <w:rFonts w:hint="default" w:ascii="Times New Roman" w:hAnsi="Times New Roman" w:cs="Times New Roman"/>
                <w:b/>
                <w:color w:val="auto"/>
                <w:lang w:val="en-US" w:eastAsia="zh-CN"/>
              </w:rPr>
              <w:t>2</w:t>
            </w:r>
            <w:r>
              <w:rPr>
                <w:rFonts w:hint="default" w:ascii="Times New Roman" w:hAnsi="Times New Roman" w:cs="Times New Roman"/>
                <w:b/>
                <w:color w:val="auto"/>
              </w:rPr>
              <w:t>、运营期</w:t>
            </w:r>
          </w:p>
          <w:p w14:paraId="7C669EA4">
            <w:pPr>
              <w:keepNext w:val="0"/>
              <w:keepLines w:val="0"/>
              <w:pageBreakBefore w:val="0"/>
              <w:widowControl w:val="0"/>
              <w:kinsoku/>
              <w:wordWrap/>
              <w:overflowPunct/>
              <w:topLinePunct w:val="0"/>
              <w:autoSpaceDE/>
              <w:autoSpaceDN/>
              <w:bidi w:val="0"/>
              <w:adjustRightInd w:val="0"/>
              <w:snapToGrid w:val="0"/>
              <w:spacing w:line="520" w:lineRule="exact"/>
              <w:ind w:firstLine="482"/>
              <w:textAlignment w:val="auto"/>
              <w:rPr>
                <w:rFonts w:hint="eastAsia" w:ascii="Times New Roman" w:hAnsi="Times New Roman" w:eastAsia="宋体" w:cs="Times New Roman"/>
                <w:b/>
                <w:color w:val="auto"/>
                <w:lang w:eastAsia="zh-CN"/>
              </w:rPr>
            </w:pPr>
            <w:r>
              <w:rPr>
                <w:rFonts w:hint="default" w:ascii="Times New Roman" w:hAnsi="Times New Roman" w:cs="Times New Roman"/>
                <w:b/>
                <w:color w:val="auto"/>
                <w:lang w:val="en-US" w:eastAsia="zh-CN"/>
              </w:rPr>
              <w:t>2</w:t>
            </w:r>
            <w:r>
              <w:rPr>
                <w:rFonts w:hint="default" w:ascii="Times New Roman" w:hAnsi="Times New Roman" w:cs="Times New Roman"/>
                <w:b/>
                <w:color w:val="auto"/>
              </w:rPr>
              <w:t>.1工艺流程</w:t>
            </w:r>
            <w:r>
              <w:rPr>
                <w:rFonts w:hint="eastAsia" w:cs="Times New Roman"/>
                <w:b/>
                <w:color w:val="auto"/>
                <w:lang w:eastAsia="zh-CN"/>
              </w:rPr>
              <w:t>及产污环节</w:t>
            </w:r>
          </w:p>
          <w:p w14:paraId="663290E3">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cs="Times New Roman"/>
                <w:color w:val="auto"/>
                <w:lang w:eastAsia="zh-CN"/>
              </w:rPr>
            </w:pPr>
          </w:p>
          <w:p w14:paraId="54B410B2">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eastAsia" w:cs="Times New Roman"/>
                <w:color w:val="auto"/>
                <w:lang w:eastAsia="zh-CN"/>
              </w:rPr>
            </w:pPr>
          </w:p>
          <w:p w14:paraId="0A47B252">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default" w:ascii="Times New Roman" w:hAnsi="Times New Roman" w:cs="Times New Roman"/>
                <w:color w:val="auto"/>
              </w:rPr>
            </w:pPr>
            <w:r>
              <w:rPr>
                <w:rFonts w:hint="eastAsia" w:cs="Times New Roman"/>
                <w:color w:val="auto"/>
                <w:lang w:eastAsia="zh-CN"/>
              </w:rPr>
              <w:t>本项目</w:t>
            </w:r>
            <w:r>
              <w:rPr>
                <w:rFonts w:hint="default" w:ascii="Times New Roman" w:hAnsi="Times New Roman" w:cs="Times New Roman"/>
                <w:color w:val="auto"/>
                <w:lang w:eastAsia="zh-CN"/>
              </w:rPr>
              <w:t>生产</w:t>
            </w:r>
            <w:r>
              <w:rPr>
                <w:rFonts w:hint="default" w:ascii="Times New Roman" w:hAnsi="Times New Roman" w:cs="Times New Roman"/>
                <w:color w:val="auto"/>
              </w:rPr>
              <w:t>工艺流程</w:t>
            </w:r>
            <w:r>
              <w:rPr>
                <w:rFonts w:hint="eastAsia" w:cs="Times New Roman"/>
                <w:color w:val="auto"/>
                <w:lang w:eastAsia="zh-CN"/>
              </w:rPr>
              <w:t>及产污环节</w:t>
            </w:r>
            <w:r>
              <w:rPr>
                <w:rFonts w:hint="default" w:ascii="Times New Roman" w:hAnsi="Times New Roman" w:cs="Times New Roman"/>
                <w:color w:val="auto"/>
              </w:rPr>
              <w:t>见下图。</w:t>
            </w:r>
          </w:p>
          <w:p w14:paraId="2739F2A7">
            <w:pPr>
              <w:pStyle w:val="13"/>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bCs/>
                <w:color w:val="auto"/>
                <w:lang w:val="en-US" w:eastAsia="zh-CN"/>
              </w:rPr>
            </w:pPr>
            <w:r>
              <w:rPr>
                <w:rFonts w:hint="eastAsia" w:ascii="Times New Roman" w:hAnsi="Times New Roman" w:eastAsia="黑体" w:cs="Times New Roman"/>
                <w:color w:val="auto"/>
                <w:lang w:eastAsia="zh-CN"/>
              </w:rPr>
              <w:object>
                <v:shape id="_x0000_i1025" o:spt="75" type="#_x0000_t75" style="height:262pt;width:407.05pt;" o:ole="t" filled="f" o:preferrelative="t" stroked="f" coordsize="21600,21600">
                  <v:path/>
                  <v:fill on="f" focussize="0,0"/>
                  <v:stroke on="f"/>
                  <v:imagedata r:id="rId17" cropbottom="10817f" o:title=""/>
                  <o:lock v:ext="edit" aspectratio="f"/>
                  <w10:wrap type="none"/>
                  <w10:anchorlock/>
                </v:shape>
                <o:OLEObject Type="Embed" ProgID="Visio.Drawing.11" ShapeID="_x0000_i1025" DrawAspect="Content" ObjectID="_1468075725" r:id="rId16">
                  <o:LockedField>false</o:LockedField>
                </o:OLEObject>
              </w:object>
            </w:r>
            <w:r>
              <w:rPr>
                <w:rFonts w:hint="default" w:ascii="Times New Roman" w:hAnsi="Times New Roman" w:eastAsia="黑体" w:cs="Times New Roman"/>
                <w:b w:val="0"/>
                <w:bCs w:val="0"/>
                <w:color w:val="000000"/>
                <w:spacing w:val="0"/>
                <w:kern w:val="0"/>
                <w:sz w:val="24"/>
                <w:szCs w:val="24"/>
                <w:lang w:val="en-US" w:eastAsia="zh-CN" w:bidi="ar-SA"/>
              </w:rPr>
              <w:t>图</w:t>
            </w:r>
            <w:r>
              <w:rPr>
                <w:rFonts w:hint="eastAsia" w:ascii="Times New Roman" w:hAnsi="Times New Roman" w:eastAsia="黑体" w:cs="Times New Roman"/>
                <w:b w:val="0"/>
                <w:bCs w:val="0"/>
                <w:color w:val="000000"/>
                <w:spacing w:val="0"/>
                <w:kern w:val="0"/>
                <w:sz w:val="24"/>
                <w:szCs w:val="24"/>
                <w:lang w:val="en-US" w:eastAsia="zh-CN" w:bidi="ar-SA"/>
              </w:rPr>
              <w:t>2</w:t>
            </w:r>
            <w:r>
              <w:rPr>
                <w:rFonts w:hint="default" w:ascii="Times New Roman" w:hAnsi="Times New Roman" w:eastAsia="黑体" w:cs="Times New Roman"/>
                <w:b w:val="0"/>
                <w:bCs w:val="0"/>
                <w:color w:val="000000"/>
                <w:spacing w:val="0"/>
                <w:kern w:val="0"/>
                <w:sz w:val="24"/>
                <w:szCs w:val="24"/>
                <w:lang w:val="en-US" w:eastAsia="zh-CN" w:bidi="ar-SA"/>
              </w:rPr>
              <w:t xml:space="preserve">    </w:t>
            </w:r>
            <w:r>
              <w:rPr>
                <w:rFonts w:hint="eastAsia" w:ascii="Times New Roman" w:hAnsi="Times New Roman" w:eastAsia="黑体" w:cs="Times New Roman"/>
                <w:b w:val="0"/>
                <w:bCs w:val="0"/>
                <w:color w:val="000000"/>
                <w:spacing w:val="0"/>
                <w:kern w:val="0"/>
                <w:sz w:val="24"/>
                <w:szCs w:val="24"/>
                <w:lang w:val="en-US" w:eastAsia="zh-CN" w:bidi="ar-SA"/>
              </w:rPr>
              <w:t>光刻机高精密框架</w:t>
            </w:r>
            <w:r>
              <w:rPr>
                <w:rFonts w:hint="default" w:ascii="Times New Roman" w:hAnsi="Times New Roman" w:eastAsia="黑体" w:cs="Times New Roman"/>
                <w:b w:val="0"/>
                <w:bCs w:val="0"/>
                <w:color w:val="000000"/>
                <w:spacing w:val="0"/>
                <w:kern w:val="0"/>
                <w:sz w:val="24"/>
                <w:szCs w:val="24"/>
                <w:lang w:val="en-US" w:eastAsia="zh-CN" w:bidi="ar-SA"/>
              </w:rPr>
              <w:t>生产工艺</w:t>
            </w:r>
            <w:r>
              <w:rPr>
                <w:rFonts w:hint="eastAsia" w:ascii="Times New Roman" w:hAnsi="Times New Roman" w:eastAsia="黑体" w:cs="Times New Roman"/>
                <w:b w:val="0"/>
                <w:bCs w:val="0"/>
                <w:color w:val="000000"/>
                <w:spacing w:val="0"/>
                <w:kern w:val="0"/>
                <w:sz w:val="24"/>
                <w:szCs w:val="24"/>
                <w:lang w:val="en-US" w:eastAsia="zh-CN" w:bidi="ar-SA"/>
              </w:rPr>
              <w:t>及产污环节图</w:t>
            </w:r>
          </w:p>
          <w:p w14:paraId="5FB0351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leftChars="0" w:right="0" w:firstLine="482" w:firstLineChars="200"/>
              <w:jc w:val="both"/>
              <w:textAlignment w:val="auto"/>
              <w:rPr>
                <w:rFonts w:hint="default" w:ascii="Times New Roman" w:hAnsi="Times New Roman" w:eastAsia="宋体" w:cs="Times New Roman"/>
                <w:b/>
                <w:bCs/>
                <w:color w:val="auto"/>
                <w:lang w:val="en-US" w:eastAsia="zh-CN"/>
              </w:rPr>
            </w:pPr>
            <w:r>
              <w:rPr>
                <w:rFonts w:hint="default" w:ascii="Times New Roman" w:hAnsi="Times New Roman" w:eastAsia="宋体" w:cs="Times New Roman"/>
                <w:b/>
                <w:bCs/>
                <w:color w:val="auto"/>
                <w:lang w:val="en-US" w:eastAsia="zh-CN"/>
              </w:rPr>
              <w:t>生产工艺流程简述：</w:t>
            </w:r>
          </w:p>
          <w:p w14:paraId="472B7767">
            <w:pPr>
              <w:pStyle w:val="70"/>
              <w:keepNext w:val="0"/>
              <w:keepLines w:val="0"/>
              <w:pageBreakBefore w:val="0"/>
              <w:widowControl w:val="0"/>
              <w:kinsoku/>
              <w:wordWrap/>
              <w:overflowPunct/>
              <w:topLinePunct w:val="0"/>
              <w:autoSpaceDE/>
              <w:autoSpaceDN/>
              <w:bidi w:val="0"/>
              <w:adjustRightInd w:val="0"/>
              <w:snapToGrid w:val="0"/>
              <w:spacing w:line="520" w:lineRule="exact"/>
              <w:ind w:left="0" w:leftChars="0" w:firstLine="480" w:firstLineChars="200"/>
              <w:textAlignment w:val="auto"/>
              <w:rPr>
                <w:rFonts w:hint="eastAsia"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rPr>
              <w:t>（1）</w:t>
            </w:r>
            <w:r>
              <w:rPr>
                <w:rFonts w:hint="eastAsia" w:cs="Times New Roman"/>
                <w:color w:val="auto"/>
                <w:sz w:val="24"/>
                <w:szCs w:val="24"/>
                <w:lang w:eastAsia="zh-CN"/>
              </w:rPr>
              <w:t>原料检验</w:t>
            </w:r>
            <w:r>
              <w:rPr>
                <w:rFonts w:hint="eastAsia" w:ascii="Times New Roman" w:hAnsi="Times New Roman" w:cs="Times New Roman"/>
                <w:color w:val="auto"/>
                <w:sz w:val="24"/>
                <w:szCs w:val="24"/>
              </w:rPr>
              <w:t>：</w:t>
            </w:r>
            <w:r>
              <w:rPr>
                <w:rFonts w:hint="eastAsia" w:cs="Times New Roman"/>
                <w:color w:val="auto"/>
                <w:sz w:val="24"/>
                <w:szCs w:val="24"/>
                <w:lang w:eastAsia="zh-CN"/>
              </w:rPr>
              <w:t>将外购的碳钢板材、不锈钢板及焊接毛坯进行外观、尺寸及表面质量进行检验，并使用双臂式力学实验机对原材料进行抽检</w:t>
            </w:r>
            <w:r>
              <w:rPr>
                <w:rFonts w:hint="eastAsia" w:ascii="Times New Roman" w:hAnsi="Times New Roman" w:cs="Times New Roman"/>
                <w:color w:val="auto"/>
                <w:sz w:val="24"/>
                <w:szCs w:val="24"/>
              </w:rPr>
              <w:t>。</w:t>
            </w:r>
            <w:r>
              <w:rPr>
                <w:rFonts w:hint="eastAsia" w:cs="Times New Roman"/>
                <w:color w:val="auto"/>
                <w:sz w:val="24"/>
                <w:szCs w:val="24"/>
                <w:lang w:eastAsia="zh-CN"/>
              </w:rPr>
              <w:t>此工序产生不合格产品。</w:t>
            </w:r>
          </w:p>
          <w:p w14:paraId="06E32566">
            <w:pPr>
              <w:pStyle w:val="70"/>
              <w:keepNext w:val="0"/>
              <w:keepLines w:val="0"/>
              <w:pageBreakBefore w:val="0"/>
              <w:widowControl w:val="0"/>
              <w:kinsoku/>
              <w:wordWrap/>
              <w:overflowPunct/>
              <w:topLinePunct w:val="0"/>
              <w:autoSpaceDE/>
              <w:autoSpaceDN/>
              <w:bidi w:val="0"/>
              <w:adjustRightInd w:val="0"/>
              <w:snapToGrid w:val="0"/>
              <w:spacing w:line="520" w:lineRule="exact"/>
              <w:ind w:left="0" w:leftChars="0" w:firstLine="480" w:firstLineChars="200"/>
              <w:textAlignment w:val="auto"/>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rPr>
              <w:t>（2）</w:t>
            </w:r>
            <w:r>
              <w:rPr>
                <w:rFonts w:hint="eastAsia" w:cs="Times New Roman"/>
                <w:color w:val="auto"/>
                <w:sz w:val="24"/>
                <w:szCs w:val="24"/>
                <w:lang w:eastAsia="zh-CN"/>
              </w:rPr>
              <w:t>电退火</w:t>
            </w:r>
            <w:r>
              <w:rPr>
                <w:rFonts w:hint="eastAsia" w:ascii="Times New Roman" w:hAnsi="Times New Roman" w:cs="Times New Roman"/>
                <w:color w:val="auto"/>
                <w:sz w:val="24"/>
                <w:szCs w:val="24"/>
              </w:rPr>
              <w:t>：</w:t>
            </w:r>
            <w:r>
              <w:rPr>
                <w:rFonts w:hint="eastAsia" w:cs="Times New Roman"/>
                <w:color w:val="auto"/>
                <w:sz w:val="24"/>
                <w:szCs w:val="24"/>
                <w:lang w:eastAsia="zh-CN"/>
              </w:rPr>
              <w:t>退火处理采用电退火炉（尺寸</w:t>
            </w:r>
            <w:r>
              <w:rPr>
                <w:rFonts w:hint="eastAsia" w:cs="Times New Roman"/>
                <w:color w:val="auto"/>
                <w:sz w:val="24"/>
                <w:szCs w:val="24"/>
                <w:lang w:val="en-US" w:eastAsia="zh-CN"/>
              </w:rPr>
              <w:t>3m×4m×2m</w:t>
            </w:r>
            <w:r>
              <w:rPr>
                <w:rFonts w:hint="eastAsia" w:cs="Times New Roman"/>
                <w:color w:val="auto"/>
                <w:sz w:val="24"/>
                <w:szCs w:val="24"/>
                <w:lang w:eastAsia="zh-CN"/>
              </w:rPr>
              <w:t>）进行，加热温度为</w:t>
            </w:r>
            <w:r>
              <w:rPr>
                <w:rFonts w:hint="eastAsia" w:cs="Times New Roman"/>
                <w:color w:val="auto"/>
                <w:sz w:val="24"/>
                <w:szCs w:val="24"/>
                <w:highlight w:val="none"/>
                <w:lang w:val="en-US" w:eastAsia="zh-CN"/>
              </w:rPr>
              <w:t>500℃左右，退火使用的原材料始终保持无油状态，不产生废气</w:t>
            </w:r>
            <w:r>
              <w:rPr>
                <w:rFonts w:hint="eastAsia" w:ascii="Times New Roman" w:hAnsi="Times New Roman" w:cs="Times New Roman"/>
                <w:color w:val="auto"/>
                <w:sz w:val="24"/>
                <w:szCs w:val="24"/>
              </w:rPr>
              <w:t>。</w:t>
            </w:r>
            <w:r>
              <w:rPr>
                <w:rFonts w:hint="eastAsia" w:cs="Times New Roman"/>
                <w:color w:val="auto"/>
                <w:sz w:val="24"/>
                <w:szCs w:val="24"/>
                <w:lang w:eastAsia="zh-CN"/>
              </w:rPr>
              <w:t>此过程产生噪声。</w:t>
            </w:r>
          </w:p>
          <w:p w14:paraId="60D87659">
            <w:pPr>
              <w:pStyle w:val="70"/>
              <w:keepNext w:val="0"/>
              <w:keepLines w:val="0"/>
              <w:pageBreakBefore w:val="0"/>
              <w:widowControl w:val="0"/>
              <w:kinsoku/>
              <w:wordWrap/>
              <w:overflowPunct/>
              <w:topLinePunct w:val="0"/>
              <w:autoSpaceDE/>
              <w:autoSpaceDN/>
              <w:bidi w:val="0"/>
              <w:adjustRightInd w:val="0"/>
              <w:snapToGrid w:val="0"/>
              <w:spacing w:line="520" w:lineRule="exact"/>
              <w:ind w:left="0" w:leftChars="0" w:firstLine="480" w:firstLineChars="200"/>
              <w:textAlignment w:val="auto"/>
              <w:rPr>
                <w:rFonts w:ascii="Times New Roman" w:hAnsi="Times New Roman" w:cs="Times New Roman"/>
                <w:color w:val="auto"/>
                <w:sz w:val="24"/>
                <w:szCs w:val="24"/>
              </w:rPr>
            </w:pPr>
            <w:r>
              <w:rPr>
                <w:rFonts w:hint="eastAsia" w:ascii="Times New Roman" w:hAnsi="Times New Roman" w:cs="Times New Roman"/>
                <w:color w:val="auto"/>
                <w:sz w:val="24"/>
                <w:szCs w:val="24"/>
              </w:rPr>
              <w:t>（3）</w:t>
            </w:r>
            <w:r>
              <w:rPr>
                <w:rFonts w:hint="eastAsia" w:cs="Times New Roman"/>
                <w:color w:val="auto"/>
                <w:sz w:val="24"/>
                <w:szCs w:val="24"/>
                <w:lang w:eastAsia="zh-CN"/>
              </w:rPr>
              <w:t>粗、半精、精加工</w:t>
            </w:r>
            <w:r>
              <w:rPr>
                <w:rFonts w:ascii="Times New Roman" w:hAnsi="Times New Roman" w:cs="Times New Roman"/>
                <w:color w:val="auto"/>
                <w:sz w:val="24"/>
                <w:szCs w:val="24"/>
              </w:rPr>
              <w:t>：</w:t>
            </w:r>
            <w:r>
              <w:rPr>
                <w:rFonts w:hint="eastAsia" w:cs="Times New Roman"/>
                <w:color w:val="auto"/>
                <w:sz w:val="24"/>
                <w:szCs w:val="24"/>
                <w:lang w:eastAsia="zh-CN"/>
              </w:rPr>
              <w:t>使用粗加工设备对退火后工件进行初次加工，形成外形轮廓</w:t>
            </w:r>
            <w:r>
              <w:rPr>
                <w:rFonts w:ascii="Times New Roman" w:hAnsi="Times New Roman" w:cs="Times New Roman"/>
                <w:color w:val="auto"/>
                <w:sz w:val="24"/>
                <w:szCs w:val="24"/>
              </w:rPr>
              <w:t>。</w:t>
            </w:r>
            <w:r>
              <w:rPr>
                <w:rFonts w:hint="eastAsia" w:cs="Times New Roman"/>
                <w:color w:val="auto"/>
                <w:sz w:val="24"/>
                <w:szCs w:val="24"/>
                <w:lang w:eastAsia="zh-CN"/>
              </w:rPr>
              <w:t>再利用卧式加工中心、数控龙门加工中心和攻丝机等设备对工件进行半精加工、精加工，进一步细化尺寸，确保工件的精度达到标准。此工序设备需添加切削液，切削液循环使用定期补充。此工序产生废切削液、废边角料、设备噪声</w:t>
            </w:r>
            <w:r>
              <w:rPr>
                <w:rFonts w:ascii="Times New Roman" w:hAnsi="Times New Roman" w:cs="Times New Roman"/>
                <w:color w:val="auto"/>
                <w:sz w:val="24"/>
                <w:szCs w:val="24"/>
              </w:rPr>
              <w:t>。</w:t>
            </w:r>
          </w:p>
          <w:p w14:paraId="401E480F">
            <w:pPr>
              <w:pStyle w:val="70"/>
              <w:keepNext w:val="0"/>
              <w:keepLines w:val="0"/>
              <w:pageBreakBefore w:val="0"/>
              <w:widowControl w:val="0"/>
              <w:kinsoku/>
              <w:wordWrap/>
              <w:overflowPunct/>
              <w:topLinePunct w:val="0"/>
              <w:autoSpaceDE/>
              <w:autoSpaceDN/>
              <w:bidi w:val="0"/>
              <w:adjustRightInd w:val="0"/>
              <w:snapToGrid w:val="0"/>
              <w:spacing w:line="520" w:lineRule="exact"/>
              <w:ind w:left="0" w:leftChars="0" w:firstLine="480" w:firstLineChars="200"/>
              <w:textAlignment w:val="auto"/>
              <w:rPr>
                <w:rFonts w:ascii="Times New Roman" w:hAnsi="Times New Roman" w:cs="Times New Roman"/>
                <w:color w:val="auto"/>
                <w:sz w:val="24"/>
                <w:szCs w:val="24"/>
              </w:rPr>
            </w:pPr>
            <w:r>
              <w:rPr>
                <w:rFonts w:hint="eastAsia" w:ascii="Times New Roman" w:hAnsi="Times New Roman" w:cs="Times New Roman"/>
                <w:color w:val="auto"/>
                <w:sz w:val="24"/>
                <w:szCs w:val="24"/>
              </w:rPr>
              <w:t>（4）</w:t>
            </w:r>
            <w:r>
              <w:rPr>
                <w:rFonts w:hint="eastAsia" w:cs="Times New Roman"/>
                <w:color w:val="auto"/>
                <w:sz w:val="24"/>
                <w:szCs w:val="24"/>
                <w:lang w:eastAsia="zh-CN"/>
              </w:rPr>
              <w:t>三坐标检测、清理</w:t>
            </w:r>
            <w:r>
              <w:rPr>
                <w:rFonts w:hint="eastAsia" w:ascii="Times New Roman" w:hAnsi="Times New Roman" w:cs="Times New Roman"/>
                <w:color w:val="auto"/>
                <w:sz w:val="24"/>
                <w:szCs w:val="24"/>
              </w:rPr>
              <w:t>：</w:t>
            </w:r>
            <w:r>
              <w:rPr>
                <w:rFonts w:hint="eastAsia" w:cs="Times New Roman"/>
                <w:color w:val="auto"/>
                <w:sz w:val="24"/>
                <w:szCs w:val="24"/>
                <w:lang w:eastAsia="zh-CN"/>
              </w:rPr>
              <w:t>对加工完成的工件进行精密尺寸检测，检测合格的工件使用洁净的干布、毛刷进行表面清理，清除表面的灰尘等。检测不合格的工件进行上一步工序或废品处理</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rPr>
              <w:t>本工序</w:t>
            </w:r>
            <w:r>
              <w:rPr>
                <w:rFonts w:ascii="Times New Roman" w:hAnsi="Times New Roman" w:cs="Times New Roman"/>
                <w:color w:val="auto"/>
                <w:sz w:val="24"/>
                <w:szCs w:val="24"/>
              </w:rPr>
              <w:t>产生</w:t>
            </w:r>
            <w:r>
              <w:rPr>
                <w:rFonts w:hint="eastAsia" w:cs="Times New Roman"/>
                <w:color w:val="auto"/>
                <w:sz w:val="24"/>
                <w:szCs w:val="24"/>
                <w:lang w:eastAsia="zh-CN"/>
              </w:rPr>
              <w:t>不合格产品</w:t>
            </w:r>
            <w:r>
              <w:rPr>
                <w:rFonts w:ascii="Times New Roman" w:hAnsi="Times New Roman" w:cs="Times New Roman"/>
                <w:color w:val="auto"/>
                <w:sz w:val="24"/>
                <w:szCs w:val="24"/>
              </w:rPr>
              <w:t>。</w:t>
            </w:r>
          </w:p>
          <w:p w14:paraId="4F7988B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leftChars="0" w:right="0" w:firstLine="480" w:firstLineChars="200"/>
              <w:jc w:val="both"/>
              <w:textAlignment w:val="auto"/>
              <w:rPr>
                <w:rFonts w:hint="eastAsia" w:ascii="Times New Roman" w:hAnsi="Times New Roman" w:cs="Times New Roman"/>
                <w:color w:val="auto"/>
                <w:sz w:val="24"/>
                <w:szCs w:val="24"/>
                <w:lang w:eastAsia="zh-CN"/>
              </w:rPr>
            </w:pPr>
            <w:r>
              <w:rPr>
                <w:rFonts w:hint="eastAsia" w:ascii="Times New Roman" w:hAnsi="Times New Roman" w:cs="Times New Roman"/>
                <w:color w:val="auto"/>
                <w:sz w:val="24"/>
                <w:szCs w:val="24"/>
              </w:rPr>
              <w:t>（5）</w:t>
            </w:r>
            <w:r>
              <w:rPr>
                <w:rFonts w:hint="eastAsia" w:cs="Times New Roman"/>
                <w:color w:val="auto"/>
                <w:sz w:val="24"/>
                <w:szCs w:val="24"/>
                <w:lang w:eastAsia="zh-CN"/>
              </w:rPr>
              <w:t>净洁装配</w:t>
            </w:r>
            <w:r>
              <w:rPr>
                <w:rFonts w:hint="eastAsia" w:ascii="Times New Roman" w:hAnsi="Times New Roman" w:cs="Times New Roman"/>
                <w:color w:val="auto"/>
                <w:sz w:val="24"/>
                <w:szCs w:val="24"/>
              </w:rPr>
              <w:t>：</w:t>
            </w:r>
            <w:r>
              <w:rPr>
                <w:rFonts w:hint="eastAsia" w:cs="Times New Roman"/>
                <w:color w:val="auto"/>
                <w:sz w:val="24"/>
                <w:szCs w:val="24"/>
                <w:lang w:eastAsia="zh-CN"/>
              </w:rPr>
              <w:t>在洁净环境下按照装配要求进行组装</w:t>
            </w:r>
            <w:r>
              <w:rPr>
                <w:rFonts w:hint="eastAsia" w:ascii="Times New Roman" w:hAnsi="Times New Roman" w:cs="Times New Roman"/>
                <w:color w:val="auto"/>
                <w:sz w:val="24"/>
                <w:szCs w:val="24"/>
              </w:rPr>
              <w:t>。</w:t>
            </w:r>
          </w:p>
          <w:p w14:paraId="542938B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leftChars="0" w:right="0" w:firstLine="480" w:firstLineChars="200"/>
              <w:jc w:val="both"/>
              <w:textAlignment w:val="auto"/>
              <w:rPr>
                <w:rFonts w:hint="eastAsia" w:eastAsia="宋体"/>
                <w:color w:val="auto"/>
                <w:lang w:val="en-US" w:eastAsia="zh-CN"/>
              </w:rPr>
            </w:pPr>
            <w:r>
              <w:rPr>
                <w:rFonts w:hint="eastAsia" w:ascii="Times New Roman" w:hAnsi="Times New Roman" w:cs="Times New Roman"/>
                <w:color w:val="auto"/>
                <w:sz w:val="24"/>
                <w:szCs w:val="24"/>
              </w:rPr>
              <w:t>（6）</w:t>
            </w:r>
            <w:r>
              <w:rPr>
                <w:rFonts w:hint="eastAsia" w:cs="Times New Roman"/>
                <w:color w:val="auto"/>
                <w:sz w:val="24"/>
                <w:szCs w:val="24"/>
                <w:lang w:eastAsia="zh-CN"/>
              </w:rPr>
              <w:t>真空包装、入库</w:t>
            </w:r>
            <w:r>
              <w:rPr>
                <w:rFonts w:hint="eastAsia" w:ascii="Times New Roman" w:hAnsi="Times New Roman" w:cs="Times New Roman"/>
                <w:color w:val="auto"/>
                <w:sz w:val="24"/>
                <w:szCs w:val="24"/>
              </w:rPr>
              <w:t>：</w:t>
            </w:r>
            <w:r>
              <w:rPr>
                <w:rFonts w:hint="eastAsia" w:cs="Times New Roman"/>
                <w:color w:val="auto"/>
                <w:sz w:val="24"/>
                <w:szCs w:val="24"/>
                <w:lang w:eastAsia="zh-CN"/>
              </w:rPr>
              <w:t>将装配好的成品真空包装并入库，此工序产生废包装膜，属于一般固废，集中收集后外售。</w:t>
            </w:r>
          </w:p>
          <w:p w14:paraId="40BB4C38">
            <w:pPr>
              <w:keepNext w:val="0"/>
              <w:keepLines w:val="0"/>
              <w:pageBreakBefore w:val="0"/>
              <w:widowControl w:val="0"/>
              <w:kinsoku/>
              <w:wordWrap/>
              <w:overflowPunct/>
              <w:topLinePunct w:val="0"/>
              <w:autoSpaceDE/>
              <w:autoSpaceDN/>
              <w:bidi w:val="0"/>
              <w:spacing w:line="520" w:lineRule="exact"/>
              <w:ind w:firstLine="482"/>
              <w:textAlignment w:val="auto"/>
              <w:rPr>
                <w:rFonts w:hint="default" w:ascii="Times New Roman" w:hAnsi="Times New Roman" w:cs="Times New Roman"/>
                <w:b/>
                <w:color w:val="auto"/>
              </w:rPr>
            </w:pPr>
            <w:r>
              <w:rPr>
                <w:rFonts w:hint="default" w:ascii="Times New Roman" w:hAnsi="Times New Roman" w:cs="Times New Roman"/>
                <w:b/>
                <w:color w:val="auto"/>
                <w:lang w:val="en-US" w:eastAsia="zh-CN"/>
              </w:rPr>
              <w:t>2</w:t>
            </w:r>
            <w:r>
              <w:rPr>
                <w:rFonts w:hint="default" w:ascii="Times New Roman" w:hAnsi="Times New Roman" w:cs="Times New Roman"/>
                <w:b/>
                <w:color w:val="auto"/>
              </w:rPr>
              <w:t>.2主要产污分析</w:t>
            </w:r>
          </w:p>
          <w:p w14:paraId="71BD2AF2">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default" w:ascii="Times New Roman" w:hAnsi="Times New Roman" w:eastAsia="黑体" w:cs="Times New Roman"/>
                <w:color w:val="auto"/>
                <w:sz w:val="24"/>
                <w:szCs w:val="24"/>
              </w:rPr>
            </w:pPr>
            <w:r>
              <w:rPr>
                <w:rFonts w:hint="default" w:ascii="Times New Roman" w:hAnsi="Times New Roman" w:cs="Times New Roman"/>
                <w:color w:val="auto"/>
              </w:rPr>
              <w:t>项目运营期主要产污情况详见下表：</w:t>
            </w:r>
          </w:p>
          <w:p w14:paraId="38F4F648">
            <w:pPr>
              <w:pStyle w:val="6"/>
              <w:keepNext/>
              <w:keepLines w:val="0"/>
              <w:pageBreakBefore w:val="0"/>
              <w:widowControl w:val="0"/>
              <w:kinsoku/>
              <w:wordWrap/>
              <w:overflowPunct/>
              <w:topLinePunct w:val="0"/>
              <w:autoSpaceDE/>
              <w:autoSpaceDN/>
              <w:bidi w:val="0"/>
              <w:adjustRightInd/>
              <w:snapToGrid/>
              <w:spacing w:line="520" w:lineRule="exact"/>
              <w:ind w:firstLine="480" w:firstLineChars="200"/>
              <w:jc w:val="both"/>
              <w:textAlignment w:val="auto"/>
              <w:rPr>
                <w:rFonts w:hint="default" w:ascii="Times New Roman" w:hAnsi="Times New Roman" w:eastAsia="黑体" w:cs="Times New Roman"/>
                <w:color w:val="auto"/>
                <w:sz w:val="24"/>
                <w:szCs w:val="24"/>
                <w:highlight w:val="none"/>
              </w:rPr>
            </w:pPr>
            <w:r>
              <w:rPr>
                <w:rFonts w:hint="default" w:ascii="Times New Roman" w:hAnsi="Times New Roman" w:eastAsia="黑体" w:cs="Times New Roman"/>
                <w:color w:val="auto"/>
                <w:sz w:val="24"/>
                <w:szCs w:val="24"/>
                <w:highlight w:val="none"/>
              </w:rPr>
              <w:t>表</w:t>
            </w:r>
            <w:r>
              <w:rPr>
                <w:rFonts w:hint="default" w:ascii="Times New Roman" w:hAnsi="Times New Roman" w:eastAsia="黑体"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6</w:t>
            </w:r>
            <w:r>
              <w:rPr>
                <w:rFonts w:hint="default" w:ascii="Times New Roman" w:hAnsi="Times New Roman" w:eastAsia="黑体" w:cs="Times New Roman"/>
                <w:color w:val="auto"/>
                <w:sz w:val="24"/>
                <w:szCs w:val="24"/>
                <w:highlight w:val="none"/>
              </w:rPr>
              <w:t xml:space="preserve"> </w:t>
            </w:r>
            <w:r>
              <w:rPr>
                <w:rFonts w:hint="default" w:ascii="Times New Roman" w:hAnsi="Times New Roman" w:eastAsia="黑体" w:cs="Times New Roman"/>
                <w:color w:val="auto"/>
                <w:sz w:val="24"/>
                <w:szCs w:val="24"/>
                <w:highlight w:val="none"/>
                <w:lang w:val="en-US" w:eastAsia="zh-CN"/>
              </w:rPr>
              <w:t xml:space="preserve">       </w:t>
            </w:r>
            <w:r>
              <w:rPr>
                <w:rFonts w:hint="default" w:ascii="Times New Roman" w:hAnsi="Times New Roman" w:eastAsia="黑体" w:cs="Times New Roman"/>
                <w:color w:val="auto"/>
                <w:sz w:val="24"/>
                <w:szCs w:val="24"/>
                <w:highlight w:val="none"/>
              </w:rPr>
              <w:t xml:space="preserve"> 本项目运营期主要产污情况汇总表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981"/>
              <w:gridCol w:w="1200"/>
              <w:gridCol w:w="1727"/>
              <w:gridCol w:w="3421"/>
            </w:tblGrid>
            <w:tr w14:paraId="046D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8" w:type="dxa"/>
                  <w:tcBorders>
                    <w:bottom w:val="single" w:color="auto" w:sz="8" w:space="0"/>
                    <w:right w:val="single" w:color="auto" w:sz="4" w:space="0"/>
                  </w:tcBorders>
                  <w:noWrap w:val="0"/>
                  <w:vAlign w:val="center"/>
                </w:tcPr>
                <w:p w14:paraId="0397149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b/>
                      <w:color w:val="auto"/>
                      <w:sz w:val="21"/>
                      <w:szCs w:val="21"/>
                    </w:rPr>
                  </w:pPr>
                  <w:r>
                    <w:rPr>
                      <w:rFonts w:hint="eastAsia"/>
                      <w:b/>
                      <w:color w:val="auto"/>
                      <w:sz w:val="21"/>
                      <w:szCs w:val="21"/>
                    </w:rPr>
                    <w:t>污染</w:t>
                  </w:r>
                </w:p>
                <w:p w14:paraId="46ECB7D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
                      <w:color w:val="auto"/>
                      <w:sz w:val="21"/>
                      <w:szCs w:val="21"/>
                    </w:rPr>
                  </w:pPr>
                  <w:r>
                    <w:rPr>
                      <w:rFonts w:hint="eastAsia"/>
                      <w:b/>
                      <w:color w:val="auto"/>
                      <w:sz w:val="21"/>
                      <w:szCs w:val="21"/>
                    </w:rPr>
                    <w:t>因素</w:t>
                  </w:r>
                </w:p>
              </w:tc>
              <w:tc>
                <w:tcPr>
                  <w:tcW w:w="2181" w:type="dxa"/>
                  <w:gridSpan w:val="2"/>
                  <w:tcBorders>
                    <w:left w:val="single" w:color="auto" w:sz="4" w:space="0"/>
                    <w:bottom w:val="single" w:color="auto" w:sz="8" w:space="0"/>
                    <w:right w:val="single" w:color="auto" w:sz="4" w:space="0"/>
                  </w:tcBorders>
                  <w:noWrap w:val="0"/>
                  <w:vAlign w:val="center"/>
                </w:tcPr>
                <w:p w14:paraId="672F3EC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
                      <w:color w:val="auto"/>
                      <w:sz w:val="21"/>
                      <w:szCs w:val="21"/>
                    </w:rPr>
                  </w:pPr>
                  <w:r>
                    <w:rPr>
                      <w:rFonts w:hint="eastAsia"/>
                      <w:b/>
                      <w:color w:val="auto"/>
                      <w:sz w:val="21"/>
                      <w:szCs w:val="21"/>
                    </w:rPr>
                    <w:t>产污环节</w:t>
                  </w:r>
                </w:p>
              </w:tc>
              <w:tc>
                <w:tcPr>
                  <w:tcW w:w="1727" w:type="dxa"/>
                  <w:tcBorders>
                    <w:left w:val="single" w:color="auto" w:sz="4" w:space="0"/>
                    <w:bottom w:val="single" w:color="auto" w:sz="8" w:space="0"/>
                    <w:right w:val="single" w:color="auto" w:sz="4" w:space="0"/>
                  </w:tcBorders>
                  <w:noWrap w:val="0"/>
                  <w:vAlign w:val="center"/>
                </w:tcPr>
                <w:p w14:paraId="2BD7D8B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
                      <w:color w:val="auto"/>
                      <w:sz w:val="21"/>
                      <w:szCs w:val="21"/>
                    </w:rPr>
                  </w:pPr>
                  <w:r>
                    <w:rPr>
                      <w:rFonts w:hint="eastAsia"/>
                      <w:b/>
                      <w:color w:val="auto"/>
                      <w:sz w:val="21"/>
                      <w:szCs w:val="21"/>
                    </w:rPr>
                    <w:t>污染物</w:t>
                  </w:r>
                </w:p>
              </w:tc>
              <w:tc>
                <w:tcPr>
                  <w:tcW w:w="3421" w:type="dxa"/>
                  <w:tcBorders>
                    <w:left w:val="single" w:color="auto" w:sz="4" w:space="0"/>
                    <w:bottom w:val="single" w:color="auto" w:sz="8" w:space="0"/>
                  </w:tcBorders>
                  <w:noWrap w:val="0"/>
                  <w:vAlign w:val="center"/>
                </w:tcPr>
                <w:p w14:paraId="5D5AB95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
                      <w:color w:val="auto"/>
                      <w:sz w:val="21"/>
                      <w:szCs w:val="21"/>
                    </w:rPr>
                  </w:pPr>
                  <w:r>
                    <w:rPr>
                      <w:rFonts w:hint="eastAsia"/>
                      <w:b/>
                      <w:color w:val="auto"/>
                      <w:sz w:val="21"/>
                      <w:szCs w:val="21"/>
                    </w:rPr>
                    <w:t>防治措施</w:t>
                  </w:r>
                </w:p>
              </w:tc>
            </w:tr>
            <w:tr w14:paraId="1A02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8" w:type="dxa"/>
                  <w:tcBorders>
                    <w:top w:val="single" w:color="auto" w:sz="8" w:space="0"/>
                    <w:bottom w:val="single" w:color="auto" w:sz="4" w:space="0"/>
                    <w:right w:val="single" w:color="auto" w:sz="4" w:space="0"/>
                  </w:tcBorders>
                  <w:noWrap w:val="0"/>
                  <w:vAlign w:val="center"/>
                </w:tcPr>
                <w:p w14:paraId="6AD16C83">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eastAsia" w:eastAsia="宋体"/>
                      <w:color w:val="auto"/>
                      <w:sz w:val="21"/>
                      <w:szCs w:val="21"/>
                      <w:lang w:eastAsia="zh-CN"/>
                    </w:rPr>
                  </w:pPr>
                  <w:r>
                    <w:rPr>
                      <w:rFonts w:hint="eastAsia"/>
                      <w:color w:val="auto"/>
                      <w:sz w:val="21"/>
                      <w:szCs w:val="21"/>
                      <w:lang w:eastAsia="zh-CN"/>
                    </w:rPr>
                    <w:t>废水</w:t>
                  </w:r>
                </w:p>
              </w:tc>
              <w:tc>
                <w:tcPr>
                  <w:tcW w:w="2181" w:type="dxa"/>
                  <w:gridSpan w:val="2"/>
                  <w:tcBorders>
                    <w:top w:val="single" w:color="auto" w:sz="4" w:space="0"/>
                    <w:left w:val="single" w:color="auto" w:sz="4" w:space="0"/>
                    <w:bottom w:val="single" w:color="auto" w:sz="4" w:space="0"/>
                    <w:right w:val="single" w:color="auto" w:sz="4" w:space="0"/>
                  </w:tcBorders>
                  <w:noWrap w:val="0"/>
                  <w:vAlign w:val="center"/>
                </w:tcPr>
                <w:p w14:paraId="25E4DE0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 w:val="0"/>
                      <w:bCs w:val="0"/>
                      <w:color w:val="auto"/>
                      <w:sz w:val="21"/>
                      <w:szCs w:val="21"/>
                      <w:u w:val="none"/>
                    </w:rPr>
                  </w:pPr>
                  <w:r>
                    <w:rPr>
                      <w:rFonts w:hint="eastAsia"/>
                      <w:b w:val="0"/>
                      <w:bCs w:val="0"/>
                      <w:color w:val="auto"/>
                      <w:sz w:val="21"/>
                      <w:szCs w:val="21"/>
                      <w:u w:val="none"/>
                    </w:rPr>
                    <w:t>生活污水</w:t>
                  </w:r>
                </w:p>
              </w:tc>
              <w:tc>
                <w:tcPr>
                  <w:tcW w:w="1727" w:type="dxa"/>
                  <w:tcBorders>
                    <w:top w:val="single" w:color="auto" w:sz="4" w:space="0"/>
                    <w:left w:val="single" w:color="auto" w:sz="4" w:space="0"/>
                    <w:bottom w:val="single" w:color="auto" w:sz="4" w:space="0"/>
                    <w:right w:val="single" w:color="auto" w:sz="4" w:space="0"/>
                  </w:tcBorders>
                  <w:noWrap w:val="0"/>
                  <w:vAlign w:val="center"/>
                </w:tcPr>
                <w:p w14:paraId="417CCF1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b w:val="0"/>
                      <w:bCs w:val="0"/>
                      <w:color w:val="auto"/>
                      <w:sz w:val="21"/>
                      <w:szCs w:val="21"/>
                      <w:u w:val="none"/>
                      <w:lang w:val="en-US" w:eastAsia="zh-CN"/>
                    </w:rPr>
                  </w:pPr>
                  <w:r>
                    <w:rPr>
                      <w:b w:val="0"/>
                      <w:bCs w:val="0"/>
                      <w:color w:val="auto"/>
                      <w:sz w:val="21"/>
                      <w:szCs w:val="21"/>
                      <w:u w:val="none"/>
                    </w:rPr>
                    <w:t>COD</w:t>
                  </w:r>
                  <w:r>
                    <w:rPr>
                      <w:rFonts w:hint="eastAsia"/>
                      <w:b w:val="0"/>
                      <w:bCs w:val="0"/>
                      <w:color w:val="auto"/>
                      <w:sz w:val="21"/>
                      <w:szCs w:val="21"/>
                      <w:u w:val="none"/>
                    </w:rPr>
                    <w:t>、</w:t>
                  </w:r>
                  <w:r>
                    <w:rPr>
                      <w:b w:val="0"/>
                      <w:bCs w:val="0"/>
                      <w:color w:val="auto"/>
                      <w:sz w:val="21"/>
                      <w:szCs w:val="21"/>
                      <w:u w:val="none"/>
                    </w:rPr>
                    <w:t>SS</w:t>
                  </w:r>
                  <w:r>
                    <w:rPr>
                      <w:rFonts w:hint="eastAsia"/>
                      <w:b w:val="0"/>
                      <w:bCs w:val="0"/>
                      <w:color w:val="auto"/>
                      <w:sz w:val="21"/>
                      <w:szCs w:val="21"/>
                      <w:u w:val="none"/>
                    </w:rPr>
                    <w:t>、</w:t>
                  </w:r>
                  <w:r>
                    <w:rPr>
                      <w:rFonts w:hint="eastAsia"/>
                      <w:b w:val="0"/>
                      <w:bCs w:val="0"/>
                      <w:color w:val="auto"/>
                      <w:sz w:val="21"/>
                      <w:szCs w:val="21"/>
                      <w:u w:val="none"/>
                      <w:lang w:val="en-US" w:eastAsia="zh-CN"/>
                    </w:rPr>
                    <w:t>BOD</w:t>
                  </w:r>
                  <w:r>
                    <w:rPr>
                      <w:rFonts w:hint="eastAsia"/>
                      <w:b w:val="0"/>
                      <w:bCs w:val="0"/>
                      <w:color w:val="auto"/>
                      <w:sz w:val="21"/>
                      <w:szCs w:val="21"/>
                      <w:u w:val="none"/>
                      <w:vertAlign w:val="subscript"/>
                      <w:lang w:val="en-US" w:eastAsia="zh-CN"/>
                    </w:rPr>
                    <w:t>5</w:t>
                  </w:r>
                  <w:r>
                    <w:rPr>
                      <w:rFonts w:hint="eastAsia"/>
                      <w:b w:val="0"/>
                      <w:bCs w:val="0"/>
                      <w:color w:val="auto"/>
                      <w:sz w:val="21"/>
                      <w:szCs w:val="21"/>
                      <w:u w:val="none"/>
                      <w:lang w:val="en-US" w:eastAsia="zh-CN"/>
                    </w:rPr>
                    <w:t>、</w:t>
                  </w:r>
                  <w:r>
                    <w:rPr>
                      <w:b w:val="0"/>
                      <w:bCs w:val="0"/>
                      <w:color w:val="auto"/>
                      <w:sz w:val="21"/>
                      <w:szCs w:val="21"/>
                      <w:u w:val="none"/>
                    </w:rPr>
                    <w:t>NH</w:t>
                  </w:r>
                  <w:r>
                    <w:rPr>
                      <w:b w:val="0"/>
                      <w:bCs w:val="0"/>
                      <w:color w:val="auto"/>
                      <w:sz w:val="21"/>
                      <w:szCs w:val="21"/>
                      <w:u w:val="none"/>
                      <w:vertAlign w:val="subscript"/>
                    </w:rPr>
                    <w:t>3</w:t>
                  </w:r>
                  <w:r>
                    <w:rPr>
                      <w:b w:val="0"/>
                      <w:bCs w:val="0"/>
                      <w:color w:val="auto"/>
                      <w:sz w:val="21"/>
                      <w:szCs w:val="21"/>
                      <w:u w:val="none"/>
                    </w:rPr>
                    <w:t>-N</w:t>
                  </w:r>
                  <w:r>
                    <w:rPr>
                      <w:rFonts w:hint="eastAsia"/>
                      <w:b w:val="0"/>
                      <w:bCs w:val="0"/>
                      <w:color w:val="auto"/>
                      <w:sz w:val="21"/>
                      <w:szCs w:val="21"/>
                      <w:u w:val="none"/>
                    </w:rPr>
                    <w:t>、</w:t>
                  </w:r>
                  <w:r>
                    <w:rPr>
                      <w:b w:val="0"/>
                      <w:bCs w:val="0"/>
                      <w:color w:val="auto"/>
                      <w:sz w:val="21"/>
                      <w:szCs w:val="21"/>
                      <w:u w:val="none"/>
                    </w:rPr>
                    <w:t>TP</w:t>
                  </w:r>
                  <w:r>
                    <w:rPr>
                      <w:rFonts w:hint="eastAsia"/>
                      <w:b w:val="0"/>
                      <w:bCs w:val="0"/>
                      <w:color w:val="auto"/>
                      <w:sz w:val="21"/>
                      <w:szCs w:val="21"/>
                      <w:u w:val="none"/>
                      <w:lang w:eastAsia="zh-CN"/>
                    </w:rPr>
                    <w:t>、</w:t>
                  </w:r>
                  <w:r>
                    <w:rPr>
                      <w:rFonts w:hint="eastAsia"/>
                      <w:b w:val="0"/>
                      <w:bCs w:val="0"/>
                      <w:color w:val="auto"/>
                      <w:sz w:val="21"/>
                      <w:szCs w:val="21"/>
                      <w:u w:val="none"/>
                      <w:lang w:val="en-US" w:eastAsia="zh-CN"/>
                    </w:rPr>
                    <w:t>TN</w:t>
                  </w:r>
                </w:p>
              </w:tc>
              <w:tc>
                <w:tcPr>
                  <w:tcW w:w="3421" w:type="dxa"/>
                  <w:tcBorders>
                    <w:top w:val="single" w:color="auto" w:sz="4" w:space="0"/>
                    <w:left w:val="single" w:color="auto" w:sz="4" w:space="0"/>
                    <w:bottom w:val="single" w:color="auto" w:sz="4" w:space="0"/>
                  </w:tcBorders>
                  <w:noWrap w:val="0"/>
                  <w:vAlign w:val="center"/>
                </w:tcPr>
                <w:p w14:paraId="10D2C2A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 w:val="0"/>
                      <w:bCs w:val="0"/>
                      <w:color w:val="auto"/>
                      <w:sz w:val="21"/>
                      <w:szCs w:val="21"/>
                      <w:u w:val="none"/>
                    </w:rPr>
                  </w:pPr>
                  <w:r>
                    <w:rPr>
                      <w:rFonts w:hint="eastAsia"/>
                      <w:b w:val="0"/>
                      <w:bCs w:val="0"/>
                      <w:color w:val="auto"/>
                      <w:sz w:val="21"/>
                      <w:szCs w:val="21"/>
                      <w:u w:val="none"/>
                    </w:rPr>
                    <w:t>经化粪池处理后排</w:t>
                  </w:r>
                  <w:r>
                    <w:rPr>
                      <w:rFonts w:hint="eastAsia"/>
                      <w:b w:val="0"/>
                      <w:bCs w:val="0"/>
                      <w:color w:val="auto"/>
                      <w:sz w:val="21"/>
                      <w:szCs w:val="21"/>
                      <w:u w:val="none"/>
                      <w:lang w:eastAsia="zh-CN"/>
                    </w:rPr>
                    <w:t>新乡县综合污水处理厂</w:t>
                  </w:r>
                  <w:r>
                    <w:rPr>
                      <w:rFonts w:hint="eastAsia"/>
                      <w:b w:val="0"/>
                      <w:bCs w:val="0"/>
                      <w:color w:val="auto"/>
                      <w:sz w:val="21"/>
                      <w:szCs w:val="21"/>
                      <w:u w:val="none"/>
                    </w:rPr>
                    <w:t>进一步处理</w:t>
                  </w:r>
                </w:p>
              </w:tc>
            </w:tr>
            <w:tr w14:paraId="0EEAA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8" w:type="dxa"/>
                  <w:tcBorders>
                    <w:top w:val="single" w:color="auto" w:sz="4" w:space="0"/>
                    <w:bottom w:val="single" w:color="auto" w:sz="4" w:space="0"/>
                    <w:right w:val="single" w:color="auto" w:sz="4" w:space="0"/>
                  </w:tcBorders>
                  <w:noWrap w:val="0"/>
                  <w:vAlign w:val="center"/>
                </w:tcPr>
                <w:p w14:paraId="6CF44AC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rFonts w:hint="eastAsia"/>
                      <w:color w:val="auto"/>
                      <w:sz w:val="21"/>
                      <w:szCs w:val="21"/>
                    </w:rPr>
                    <w:t>噪 声</w:t>
                  </w:r>
                </w:p>
              </w:tc>
              <w:tc>
                <w:tcPr>
                  <w:tcW w:w="3908" w:type="dxa"/>
                  <w:gridSpan w:val="3"/>
                  <w:tcBorders>
                    <w:top w:val="single" w:color="auto" w:sz="4" w:space="0"/>
                    <w:left w:val="single" w:color="auto" w:sz="4" w:space="0"/>
                    <w:bottom w:val="single" w:color="auto" w:sz="4" w:space="0"/>
                    <w:right w:val="single" w:color="auto" w:sz="4" w:space="0"/>
                  </w:tcBorders>
                  <w:noWrap w:val="0"/>
                  <w:vAlign w:val="center"/>
                </w:tcPr>
                <w:p w14:paraId="4641B78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 w:val="0"/>
                      <w:bCs w:val="0"/>
                      <w:color w:val="auto"/>
                      <w:sz w:val="21"/>
                      <w:szCs w:val="21"/>
                      <w:u w:val="none"/>
                    </w:rPr>
                  </w:pPr>
                  <w:r>
                    <w:rPr>
                      <w:rFonts w:hint="default" w:ascii="Times New Roman" w:hAnsi="Times New Roman" w:eastAsia="宋体" w:cs="Times New Roman"/>
                      <w:b w:val="0"/>
                      <w:bCs w:val="0"/>
                      <w:color w:val="000000"/>
                      <w:spacing w:val="0"/>
                      <w:kern w:val="0"/>
                      <w:sz w:val="21"/>
                      <w:szCs w:val="21"/>
                      <w:lang w:val="en-US" w:eastAsia="zh-CN"/>
                    </w:rPr>
                    <w:t>主要为</w:t>
                  </w:r>
                  <w:r>
                    <w:rPr>
                      <w:rFonts w:hint="eastAsia" w:ascii="Times New Roman" w:hAnsi="Times New Roman" w:cs="Times New Roman"/>
                      <w:b w:val="0"/>
                      <w:bCs w:val="0"/>
                      <w:color w:val="000000"/>
                      <w:spacing w:val="0"/>
                      <w:kern w:val="0"/>
                      <w:sz w:val="21"/>
                      <w:szCs w:val="21"/>
                      <w:lang w:val="en-US" w:eastAsia="zh-CN" w:bidi="ar-SA"/>
                    </w:rPr>
                    <w:t>攻丝机、</w:t>
                  </w:r>
                  <w:r>
                    <w:rPr>
                      <w:rFonts w:hint="eastAsia"/>
                      <w:color w:val="auto"/>
                      <w:sz w:val="21"/>
                      <w:szCs w:val="21"/>
                      <w:highlight w:val="none"/>
                      <w:lang w:eastAsia="zh-CN"/>
                    </w:rPr>
                    <w:t>程控龙门平面磨床</w:t>
                  </w:r>
                  <w:r>
                    <w:rPr>
                      <w:rFonts w:hint="default" w:ascii="Times New Roman" w:hAnsi="Times New Roman" w:eastAsia="宋体" w:cs="Times New Roman"/>
                      <w:b w:val="0"/>
                      <w:bCs w:val="0"/>
                      <w:color w:val="000000"/>
                      <w:spacing w:val="0"/>
                      <w:kern w:val="0"/>
                      <w:sz w:val="21"/>
                      <w:szCs w:val="21"/>
                      <w:highlight w:val="none"/>
                      <w:lang w:val="en-US" w:eastAsia="zh-CN"/>
                    </w:rPr>
                    <w:t>等设备运行时产生的噪声，其噪声源</w:t>
                  </w:r>
                  <w:r>
                    <w:rPr>
                      <w:rFonts w:hint="default" w:ascii="Times New Roman" w:hAnsi="Times New Roman" w:eastAsia="宋体" w:cs="Times New Roman"/>
                      <w:b w:val="0"/>
                      <w:bCs w:val="0"/>
                      <w:color w:val="000000"/>
                      <w:spacing w:val="0"/>
                      <w:kern w:val="0"/>
                      <w:sz w:val="21"/>
                      <w:szCs w:val="21"/>
                      <w:lang w:val="en-US" w:eastAsia="zh-CN"/>
                    </w:rPr>
                    <w:t>值在</w:t>
                  </w:r>
                  <w:r>
                    <w:rPr>
                      <w:rFonts w:hint="eastAsia" w:cs="Times New Roman"/>
                      <w:b w:val="0"/>
                      <w:bCs w:val="0"/>
                      <w:color w:val="000000"/>
                      <w:spacing w:val="0"/>
                      <w:kern w:val="0"/>
                      <w:sz w:val="21"/>
                      <w:szCs w:val="21"/>
                      <w:lang w:val="en-US" w:eastAsia="zh-CN"/>
                    </w:rPr>
                    <w:t>70~75</w:t>
                  </w:r>
                  <w:r>
                    <w:rPr>
                      <w:rFonts w:hint="default" w:ascii="Times New Roman" w:hAnsi="Times New Roman" w:eastAsia="宋体" w:cs="Times New Roman"/>
                      <w:b w:val="0"/>
                      <w:bCs w:val="0"/>
                      <w:color w:val="000000"/>
                      <w:spacing w:val="0"/>
                      <w:kern w:val="0"/>
                      <w:sz w:val="21"/>
                      <w:szCs w:val="21"/>
                      <w:lang w:val="en-US" w:eastAsia="zh-CN"/>
                    </w:rPr>
                    <w:t>dB(A)</w:t>
                  </w:r>
                </w:p>
              </w:tc>
              <w:tc>
                <w:tcPr>
                  <w:tcW w:w="3421" w:type="dxa"/>
                  <w:tcBorders>
                    <w:top w:val="single" w:color="auto" w:sz="4" w:space="0"/>
                    <w:left w:val="single" w:color="auto" w:sz="4" w:space="0"/>
                    <w:bottom w:val="single" w:color="auto" w:sz="4" w:space="0"/>
                  </w:tcBorders>
                  <w:noWrap w:val="0"/>
                  <w:vAlign w:val="center"/>
                </w:tcPr>
                <w:p w14:paraId="24AE004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 w:val="0"/>
                      <w:bCs w:val="0"/>
                      <w:color w:val="auto"/>
                      <w:sz w:val="21"/>
                      <w:szCs w:val="21"/>
                      <w:u w:val="none"/>
                    </w:rPr>
                  </w:pPr>
                  <w:r>
                    <w:rPr>
                      <w:rFonts w:hint="eastAsia"/>
                      <w:b w:val="0"/>
                      <w:bCs w:val="0"/>
                      <w:color w:val="auto"/>
                      <w:sz w:val="21"/>
                      <w:szCs w:val="21"/>
                      <w:u w:val="none"/>
                    </w:rPr>
                    <w:t>设备减振、厂房隔音、距离衰减</w:t>
                  </w:r>
                </w:p>
              </w:tc>
            </w:tr>
            <w:tr w14:paraId="481F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8" w:type="dxa"/>
                  <w:vMerge w:val="restart"/>
                  <w:tcBorders>
                    <w:right w:val="single" w:color="auto" w:sz="4" w:space="0"/>
                  </w:tcBorders>
                  <w:noWrap w:val="0"/>
                  <w:vAlign w:val="center"/>
                </w:tcPr>
                <w:p w14:paraId="737E9CA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lang w:eastAsia="zh-CN"/>
                    </w:rPr>
                  </w:pPr>
                  <w:r>
                    <w:rPr>
                      <w:rFonts w:hint="eastAsia"/>
                      <w:color w:val="auto"/>
                      <w:sz w:val="21"/>
                      <w:szCs w:val="21"/>
                      <w:lang w:eastAsia="zh-CN"/>
                    </w:rPr>
                    <w:t>固废</w:t>
                  </w:r>
                </w:p>
              </w:tc>
              <w:tc>
                <w:tcPr>
                  <w:tcW w:w="981" w:type="dxa"/>
                  <w:vMerge w:val="restart"/>
                  <w:tcBorders>
                    <w:left w:val="single" w:color="auto" w:sz="4" w:space="0"/>
                    <w:right w:val="single" w:color="auto" w:sz="4" w:space="0"/>
                  </w:tcBorders>
                  <w:noWrap w:val="0"/>
                  <w:vAlign w:val="center"/>
                </w:tcPr>
                <w:p w14:paraId="3541AFC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lang w:eastAsia="zh-CN"/>
                    </w:rPr>
                  </w:pPr>
                  <w:r>
                    <w:rPr>
                      <w:rFonts w:hint="eastAsia"/>
                      <w:color w:val="auto"/>
                      <w:sz w:val="21"/>
                      <w:szCs w:val="21"/>
                      <w:lang w:eastAsia="zh-CN"/>
                    </w:rPr>
                    <w:t>一般固废</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6918277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b w:val="0"/>
                      <w:bCs w:val="0"/>
                      <w:color w:val="auto"/>
                      <w:sz w:val="21"/>
                      <w:szCs w:val="21"/>
                      <w:u w:val="none"/>
                      <w:lang w:val="en-US" w:eastAsia="zh-CN"/>
                    </w:rPr>
                  </w:pPr>
                  <w:r>
                    <w:rPr>
                      <w:rFonts w:hint="eastAsia"/>
                      <w:b w:val="0"/>
                      <w:bCs w:val="0"/>
                      <w:color w:val="auto"/>
                      <w:sz w:val="21"/>
                      <w:szCs w:val="21"/>
                      <w:u w:val="none"/>
                      <w:lang w:eastAsia="zh-CN"/>
                    </w:rPr>
                    <w:t>粗、半精、精加工</w:t>
                  </w:r>
                </w:p>
              </w:tc>
              <w:tc>
                <w:tcPr>
                  <w:tcW w:w="1727" w:type="dxa"/>
                  <w:tcBorders>
                    <w:top w:val="single" w:color="auto" w:sz="4" w:space="0"/>
                    <w:left w:val="single" w:color="auto" w:sz="4" w:space="0"/>
                    <w:bottom w:val="single" w:color="auto" w:sz="4" w:space="0"/>
                    <w:right w:val="single" w:color="auto" w:sz="4" w:space="0"/>
                  </w:tcBorders>
                  <w:noWrap w:val="0"/>
                  <w:vAlign w:val="center"/>
                </w:tcPr>
                <w:p w14:paraId="01DF2C1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b w:val="0"/>
                      <w:bCs w:val="0"/>
                      <w:color w:val="auto"/>
                      <w:sz w:val="21"/>
                      <w:szCs w:val="21"/>
                      <w:u w:val="none"/>
                      <w:lang w:eastAsia="zh-CN"/>
                    </w:rPr>
                  </w:pPr>
                  <w:r>
                    <w:rPr>
                      <w:rFonts w:hint="eastAsia"/>
                      <w:b w:val="0"/>
                      <w:bCs w:val="0"/>
                      <w:color w:val="auto"/>
                      <w:sz w:val="21"/>
                      <w:szCs w:val="21"/>
                      <w:u w:val="none"/>
                      <w:lang w:eastAsia="zh-CN"/>
                    </w:rPr>
                    <w:t>废边角料</w:t>
                  </w:r>
                </w:p>
              </w:tc>
              <w:tc>
                <w:tcPr>
                  <w:tcW w:w="3421" w:type="dxa"/>
                  <w:vMerge w:val="restart"/>
                  <w:tcBorders>
                    <w:left w:val="single" w:color="auto" w:sz="4" w:space="0"/>
                  </w:tcBorders>
                  <w:noWrap w:val="0"/>
                  <w:vAlign w:val="center"/>
                </w:tcPr>
                <w:p w14:paraId="2E24219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b w:val="0"/>
                      <w:bCs w:val="0"/>
                      <w:color w:val="auto"/>
                      <w:sz w:val="21"/>
                      <w:szCs w:val="21"/>
                      <w:u w:val="none"/>
                    </w:rPr>
                  </w:pPr>
                  <w:r>
                    <w:rPr>
                      <w:rFonts w:hint="eastAsia"/>
                      <w:b w:val="0"/>
                      <w:bCs w:val="0"/>
                      <w:color w:val="auto"/>
                      <w:sz w:val="21"/>
                      <w:szCs w:val="21"/>
                      <w:u w:val="none"/>
                    </w:rPr>
                    <w:t>收集后暂存于一般固废暂存间，定期外出。</w:t>
                  </w:r>
                </w:p>
              </w:tc>
            </w:tr>
            <w:tr w14:paraId="501C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8" w:type="dxa"/>
                  <w:vMerge w:val="continue"/>
                  <w:tcBorders>
                    <w:right w:val="single" w:color="auto" w:sz="4" w:space="0"/>
                  </w:tcBorders>
                  <w:noWrap w:val="0"/>
                  <w:vAlign w:val="center"/>
                </w:tcPr>
                <w:p w14:paraId="5244FF7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rPr>
                  </w:pPr>
                </w:p>
              </w:tc>
              <w:tc>
                <w:tcPr>
                  <w:tcW w:w="981" w:type="dxa"/>
                  <w:vMerge w:val="continue"/>
                  <w:tcBorders>
                    <w:left w:val="single" w:color="auto" w:sz="4" w:space="0"/>
                    <w:right w:val="single" w:color="auto" w:sz="4" w:space="0"/>
                  </w:tcBorders>
                  <w:noWrap w:val="0"/>
                  <w:vAlign w:val="center"/>
                </w:tcPr>
                <w:p w14:paraId="189DCAC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764808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b w:val="0"/>
                      <w:bCs w:val="0"/>
                      <w:color w:val="auto"/>
                      <w:sz w:val="21"/>
                      <w:szCs w:val="21"/>
                      <w:u w:val="none"/>
                      <w:lang w:eastAsia="zh-CN"/>
                    </w:rPr>
                  </w:pPr>
                  <w:r>
                    <w:rPr>
                      <w:rFonts w:hint="eastAsia"/>
                      <w:b w:val="0"/>
                      <w:bCs w:val="0"/>
                      <w:color w:val="auto"/>
                      <w:sz w:val="21"/>
                      <w:szCs w:val="21"/>
                      <w:u w:val="none"/>
                      <w:lang w:eastAsia="zh-CN"/>
                    </w:rPr>
                    <w:t>原料检验、三坐标检测</w:t>
                  </w:r>
                </w:p>
              </w:tc>
              <w:tc>
                <w:tcPr>
                  <w:tcW w:w="1727" w:type="dxa"/>
                  <w:tcBorders>
                    <w:top w:val="single" w:color="auto" w:sz="4" w:space="0"/>
                    <w:left w:val="single" w:color="auto" w:sz="4" w:space="0"/>
                    <w:bottom w:val="single" w:color="auto" w:sz="4" w:space="0"/>
                    <w:right w:val="single" w:color="auto" w:sz="4" w:space="0"/>
                  </w:tcBorders>
                  <w:noWrap w:val="0"/>
                  <w:vAlign w:val="center"/>
                </w:tcPr>
                <w:p w14:paraId="7D469D2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b w:val="0"/>
                      <w:bCs w:val="0"/>
                      <w:color w:val="auto"/>
                      <w:sz w:val="21"/>
                      <w:szCs w:val="21"/>
                      <w:u w:val="none"/>
                      <w:lang w:eastAsia="zh-CN"/>
                    </w:rPr>
                  </w:pPr>
                  <w:r>
                    <w:rPr>
                      <w:rFonts w:hint="eastAsia"/>
                      <w:b w:val="0"/>
                      <w:bCs w:val="0"/>
                      <w:color w:val="auto"/>
                      <w:sz w:val="21"/>
                      <w:szCs w:val="21"/>
                      <w:u w:val="none"/>
                      <w:lang w:eastAsia="zh-CN"/>
                    </w:rPr>
                    <w:t>不合格产品</w:t>
                  </w:r>
                </w:p>
              </w:tc>
              <w:tc>
                <w:tcPr>
                  <w:tcW w:w="3421" w:type="dxa"/>
                  <w:vMerge w:val="continue"/>
                  <w:tcBorders>
                    <w:left w:val="single" w:color="auto" w:sz="4" w:space="0"/>
                  </w:tcBorders>
                  <w:noWrap w:val="0"/>
                  <w:vAlign w:val="center"/>
                </w:tcPr>
                <w:p w14:paraId="297858A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b w:val="0"/>
                      <w:bCs w:val="0"/>
                      <w:color w:val="auto"/>
                      <w:sz w:val="21"/>
                      <w:szCs w:val="21"/>
                      <w:u w:val="none"/>
                    </w:rPr>
                  </w:pPr>
                </w:p>
              </w:tc>
            </w:tr>
            <w:tr w14:paraId="49F7A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8" w:type="dxa"/>
                  <w:vMerge w:val="continue"/>
                  <w:tcBorders>
                    <w:right w:val="single" w:color="auto" w:sz="4" w:space="0"/>
                  </w:tcBorders>
                  <w:noWrap w:val="0"/>
                  <w:vAlign w:val="center"/>
                </w:tcPr>
                <w:p w14:paraId="256D83F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rPr>
                  </w:pPr>
                </w:p>
              </w:tc>
              <w:tc>
                <w:tcPr>
                  <w:tcW w:w="981" w:type="dxa"/>
                  <w:vMerge w:val="continue"/>
                  <w:tcBorders>
                    <w:left w:val="single" w:color="auto" w:sz="4" w:space="0"/>
                    <w:bottom w:val="single" w:color="auto" w:sz="4" w:space="0"/>
                    <w:right w:val="single" w:color="auto" w:sz="4" w:space="0"/>
                  </w:tcBorders>
                  <w:noWrap w:val="0"/>
                  <w:vAlign w:val="center"/>
                </w:tcPr>
                <w:p w14:paraId="157F312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1BBDCB3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b w:val="0"/>
                      <w:bCs w:val="0"/>
                      <w:color w:val="auto"/>
                      <w:sz w:val="21"/>
                      <w:szCs w:val="21"/>
                      <w:u w:val="none"/>
                      <w:lang w:eastAsia="zh-CN"/>
                    </w:rPr>
                  </w:pPr>
                  <w:r>
                    <w:rPr>
                      <w:rFonts w:hint="eastAsia"/>
                      <w:b w:val="0"/>
                      <w:bCs w:val="0"/>
                      <w:color w:val="auto"/>
                      <w:sz w:val="21"/>
                      <w:szCs w:val="21"/>
                      <w:u w:val="none"/>
                      <w:lang w:eastAsia="zh-CN"/>
                    </w:rPr>
                    <w:t>真空包装</w:t>
                  </w:r>
                </w:p>
              </w:tc>
              <w:tc>
                <w:tcPr>
                  <w:tcW w:w="1727" w:type="dxa"/>
                  <w:tcBorders>
                    <w:top w:val="single" w:color="auto" w:sz="4" w:space="0"/>
                    <w:left w:val="single" w:color="auto" w:sz="4" w:space="0"/>
                    <w:bottom w:val="single" w:color="auto" w:sz="4" w:space="0"/>
                    <w:right w:val="single" w:color="auto" w:sz="4" w:space="0"/>
                  </w:tcBorders>
                  <w:noWrap w:val="0"/>
                  <w:vAlign w:val="center"/>
                </w:tcPr>
                <w:p w14:paraId="5134A9A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b w:val="0"/>
                      <w:bCs w:val="0"/>
                      <w:color w:val="auto"/>
                      <w:sz w:val="21"/>
                      <w:szCs w:val="21"/>
                      <w:u w:val="none"/>
                      <w:lang w:eastAsia="zh-CN"/>
                    </w:rPr>
                  </w:pPr>
                  <w:r>
                    <w:rPr>
                      <w:rFonts w:hint="eastAsia"/>
                      <w:b w:val="0"/>
                      <w:bCs w:val="0"/>
                      <w:color w:val="auto"/>
                      <w:sz w:val="21"/>
                      <w:szCs w:val="21"/>
                      <w:u w:val="none"/>
                      <w:lang w:eastAsia="zh-CN"/>
                    </w:rPr>
                    <w:t>废包装膜</w:t>
                  </w:r>
                </w:p>
              </w:tc>
              <w:tc>
                <w:tcPr>
                  <w:tcW w:w="3421" w:type="dxa"/>
                  <w:vMerge w:val="continue"/>
                  <w:tcBorders>
                    <w:left w:val="single" w:color="auto" w:sz="4" w:space="0"/>
                  </w:tcBorders>
                  <w:noWrap w:val="0"/>
                  <w:vAlign w:val="center"/>
                </w:tcPr>
                <w:p w14:paraId="020652C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b w:val="0"/>
                      <w:bCs w:val="0"/>
                      <w:color w:val="auto"/>
                      <w:sz w:val="21"/>
                      <w:szCs w:val="21"/>
                      <w:u w:val="none"/>
                    </w:rPr>
                  </w:pPr>
                </w:p>
              </w:tc>
            </w:tr>
            <w:tr w14:paraId="7717E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8" w:type="dxa"/>
                  <w:vMerge w:val="continue"/>
                  <w:tcBorders>
                    <w:right w:val="single" w:color="auto" w:sz="4" w:space="0"/>
                  </w:tcBorders>
                  <w:noWrap w:val="0"/>
                  <w:vAlign w:val="center"/>
                </w:tcPr>
                <w:p w14:paraId="7E76CCBA">
                  <w:pPr>
                    <w:keepNext w:val="0"/>
                    <w:keepLines w:val="0"/>
                    <w:pageBreakBefore w:val="0"/>
                    <w:widowControl/>
                    <w:kinsoku/>
                    <w:wordWrap/>
                    <w:overflowPunct/>
                    <w:topLinePunct w:val="0"/>
                    <w:autoSpaceDE/>
                    <w:autoSpaceDN/>
                    <w:bidi w:val="0"/>
                    <w:spacing w:line="240" w:lineRule="auto"/>
                    <w:ind w:firstLine="0" w:firstLineChars="0"/>
                    <w:jc w:val="center"/>
                    <w:textAlignment w:val="auto"/>
                    <w:rPr>
                      <w:color w:val="auto"/>
                      <w:sz w:val="21"/>
                      <w:szCs w:val="21"/>
                    </w:rPr>
                  </w:pPr>
                </w:p>
              </w:tc>
              <w:tc>
                <w:tcPr>
                  <w:tcW w:w="981" w:type="dxa"/>
                  <w:tcBorders>
                    <w:top w:val="single" w:color="auto" w:sz="4" w:space="0"/>
                    <w:left w:val="single" w:color="auto" w:sz="4" w:space="0"/>
                    <w:right w:val="single" w:color="auto" w:sz="4" w:space="0"/>
                  </w:tcBorders>
                  <w:noWrap w:val="0"/>
                  <w:vAlign w:val="center"/>
                </w:tcPr>
                <w:p w14:paraId="1DB98152">
                  <w:pPr>
                    <w:keepNext w:val="0"/>
                    <w:keepLines w:val="0"/>
                    <w:pageBreakBefore w:val="0"/>
                    <w:widowControl/>
                    <w:kinsoku/>
                    <w:wordWrap/>
                    <w:overflowPunct/>
                    <w:topLinePunct w:val="0"/>
                    <w:autoSpaceDE/>
                    <w:autoSpaceDN/>
                    <w:bidi w:val="0"/>
                    <w:spacing w:line="240" w:lineRule="auto"/>
                    <w:ind w:firstLine="0" w:firstLineChars="0"/>
                    <w:jc w:val="center"/>
                    <w:textAlignment w:val="auto"/>
                    <w:rPr>
                      <w:rFonts w:hint="eastAsia" w:eastAsia="宋体"/>
                      <w:color w:val="auto"/>
                      <w:sz w:val="21"/>
                      <w:szCs w:val="21"/>
                      <w:lang w:eastAsia="zh-CN"/>
                    </w:rPr>
                  </w:pPr>
                  <w:r>
                    <w:rPr>
                      <w:rFonts w:hint="eastAsia"/>
                      <w:color w:val="auto"/>
                      <w:sz w:val="21"/>
                      <w:szCs w:val="21"/>
                      <w:lang w:eastAsia="zh-CN"/>
                    </w:rPr>
                    <w:t>危险废物</w:t>
                  </w:r>
                </w:p>
              </w:tc>
              <w:tc>
                <w:tcPr>
                  <w:tcW w:w="1200" w:type="dxa"/>
                  <w:tcBorders>
                    <w:top w:val="single" w:color="auto" w:sz="4" w:space="0"/>
                    <w:left w:val="single" w:color="auto" w:sz="4" w:space="0"/>
                    <w:right w:val="single" w:color="auto" w:sz="4" w:space="0"/>
                  </w:tcBorders>
                  <w:noWrap w:val="0"/>
                  <w:vAlign w:val="center"/>
                </w:tcPr>
                <w:p w14:paraId="153C584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 w:val="0"/>
                      <w:bCs w:val="0"/>
                      <w:color w:val="auto"/>
                      <w:sz w:val="21"/>
                      <w:szCs w:val="21"/>
                      <w:u w:val="none"/>
                    </w:rPr>
                  </w:pPr>
                  <w:r>
                    <w:rPr>
                      <w:rFonts w:hint="eastAsia"/>
                      <w:b w:val="0"/>
                      <w:bCs w:val="0"/>
                      <w:color w:val="auto"/>
                      <w:sz w:val="21"/>
                      <w:szCs w:val="21"/>
                      <w:u w:val="none"/>
                    </w:rPr>
                    <w:t>生产过程</w:t>
                  </w:r>
                </w:p>
              </w:tc>
              <w:tc>
                <w:tcPr>
                  <w:tcW w:w="1727" w:type="dxa"/>
                  <w:tcBorders>
                    <w:top w:val="single" w:color="auto" w:sz="4" w:space="0"/>
                    <w:left w:val="single" w:color="auto" w:sz="4" w:space="0"/>
                    <w:bottom w:val="single" w:color="auto" w:sz="4" w:space="0"/>
                    <w:right w:val="single" w:color="auto" w:sz="4" w:space="0"/>
                  </w:tcBorders>
                  <w:noWrap w:val="0"/>
                  <w:vAlign w:val="center"/>
                </w:tcPr>
                <w:p w14:paraId="5126603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b w:val="0"/>
                      <w:bCs w:val="0"/>
                      <w:color w:val="auto"/>
                      <w:sz w:val="21"/>
                      <w:szCs w:val="21"/>
                      <w:u w:val="none"/>
                      <w:lang w:eastAsia="zh-CN"/>
                    </w:rPr>
                  </w:pPr>
                  <w:r>
                    <w:rPr>
                      <w:rFonts w:hint="eastAsia"/>
                      <w:b w:val="0"/>
                      <w:bCs w:val="0"/>
                      <w:color w:val="auto"/>
                      <w:sz w:val="21"/>
                      <w:szCs w:val="21"/>
                      <w:u w:val="none"/>
                      <w:lang w:eastAsia="zh-CN"/>
                    </w:rPr>
                    <w:t>废切削液</w:t>
                  </w:r>
                </w:p>
              </w:tc>
              <w:tc>
                <w:tcPr>
                  <w:tcW w:w="3421" w:type="dxa"/>
                  <w:tcBorders>
                    <w:left w:val="single" w:color="auto" w:sz="4" w:space="0"/>
                  </w:tcBorders>
                  <w:noWrap w:val="0"/>
                  <w:vAlign w:val="center"/>
                </w:tcPr>
                <w:p w14:paraId="11F077C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 w:val="0"/>
                      <w:bCs w:val="0"/>
                      <w:color w:val="auto"/>
                      <w:sz w:val="21"/>
                      <w:szCs w:val="21"/>
                      <w:u w:val="none"/>
                    </w:rPr>
                  </w:pPr>
                  <w:r>
                    <w:rPr>
                      <w:rFonts w:hint="eastAsia" w:ascii="Times New Roman" w:hAnsi="Times New Roman" w:eastAsia="宋体" w:cs="Times New Roman"/>
                      <w:b w:val="0"/>
                      <w:bCs w:val="0"/>
                      <w:color w:val="000000"/>
                      <w:sz w:val="21"/>
                      <w:szCs w:val="21"/>
                    </w:rPr>
                    <w:t>危险废物贮存库内</w:t>
                  </w:r>
                  <w:r>
                    <w:rPr>
                      <w:rFonts w:hint="default" w:ascii="Times New Roman" w:hAnsi="Times New Roman" w:eastAsia="宋体" w:cs="Times New Roman"/>
                      <w:b w:val="0"/>
                      <w:bCs w:val="0"/>
                      <w:color w:val="000000"/>
                      <w:sz w:val="21"/>
                      <w:szCs w:val="21"/>
                    </w:rPr>
                    <w:t>暂存，定期委托有相应类别危废资质单位安全处置</w:t>
                  </w:r>
                </w:p>
              </w:tc>
            </w:tr>
          </w:tbl>
          <w:p w14:paraId="58CE2DC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leftChars="0" w:right="0" w:firstLine="0" w:firstLineChars="0"/>
              <w:jc w:val="both"/>
              <w:textAlignment w:val="auto"/>
              <w:rPr>
                <w:rFonts w:hint="eastAsia"/>
                <w:color w:val="auto"/>
                <w:lang w:eastAsia="zh-CN"/>
              </w:rPr>
            </w:pPr>
          </w:p>
        </w:tc>
      </w:tr>
      <w:tr w14:paraId="4EE767B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246" w:hRule="atLeast"/>
          <w:jc w:val="center"/>
        </w:trPr>
        <w:tc>
          <w:tcPr>
            <w:tcW w:w="817" w:type="dxa"/>
            <w:noWrap w:val="0"/>
            <w:vAlign w:val="center"/>
          </w:tcPr>
          <w:p w14:paraId="2E5C8ACB">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120" w:leftChars="-50" w:right="-120" w:rightChars="-50" w:firstLine="0" w:firstLineChars="0"/>
              <w:jc w:val="center"/>
              <w:textAlignment w:val="auto"/>
              <w:rPr>
                <w:rFonts w:hint="default" w:ascii="Times New Roman" w:hAnsi="Times New Roman" w:cs="Times New Roman"/>
                <w:color w:val="auto"/>
                <w:szCs w:val="24"/>
              </w:rPr>
            </w:pPr>
            <w:r>
              <w:rPr>
                <w:rFonts w:hint="default" w:ascii="Times New Roman" w:hAnsi="Times New Roman" w:cs="Times New Roman"/>
                <w:bCs/>
                <w:color w:val="auto"/>
                <w:kern w:val="2"/>
                <w:szCs w:val="24"/>
              </w:rPr>
              <w:t>与项目有关的原有环境污染问题</w:t>
            </w:r>
          </w:p>
        </w:tc>
        <w:tc>
          <w:tcPr>
            <w:tcW w:w="8243" w:type="dxa"/>
            <w:noWrap w:val="0"/>
            <w:vAlign w:val="top"/>
          </w:tcPr>
          <w:p w14:paraId="10B66C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leftChars="0" w:right="0" w:firstLine="480" w:firstLineChars="200"/>
              <w:jc w:val="both"/>
              <w:textAlignment w:val="auto"/>
              <w:rPr>
                <w:rFonts w:hint="eastAsia"/>
                <w:color w:val="auto"/>
                <w:lang w:eastAsia="zh-CN"/>
              </w:rPr>
            </w:pPr>
          </w:p>
          <w:p w14:paraId="21B8B2E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leftChars="0" w:right="0" w:firstLine="0" w:firstLineChars="0"/>
              <w:jc w:val="both"/>
              <w:textAlignment w:val="auto"/>
              <w:rPr>
                <w:rFonts w:hint="eastAsia"/>
                <w:color w:val="auto"/>
                <w:lang w:eastAsia="zh-CN"/>
              </w:rPr>
            </w:pPr>
          </w:p>
          <w:p w14:paraId="122B423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leftChars="0" w:right="0" w:firstLine="480" w:firstLineChars="200"/>
              <w:jc w:val="both"/>
              <w:textAlignment w:val="auto"/>
              <w:rPr>
                <w:rFonts w:hint="eastAsia"/>
                <w:color w:val="auto"/>
                <w:lang w:eastAsia="zh-CN"/>
              </w:rPr>
            </w:pPr>
          </w:p>
          <w:p w14:paraId="09D9132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leftChars="0" w:right="0" w:firstLine="0" w:firstLineChars="0"/>
              <w:jc w:val="both"/>
              <w:textAlignment w:val="auto"/>
              <w:rPr>
                <w:rFonts w:hint="eastAsia"/>
                <w:color w:val="auto"/>
                <w:lang w:eastAsia="zh-CN"/>
              </w:rPr>
            </w:pPr>
          </w:p>
          <w:p w14:paraId="121A9A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leftChars="0" w:right="0" w:firstLine="480" w:firstLineChars="200"/>
              <w:jc w:val="both"/>
              <w:textAlignment w:val="auto"/>
              <w:rPr>
                <w:rFonts w:hint="eastAsia"/>
                <w:color w:val="auto"/>
                <w:lang w:eastAsia="zh-CN"/>
              </w:rPr>
            </w:pPr>
            <w:r>
              <w:rPr>
                <w:rFonts w:hint="eastAsia"/>
                <w:color w:val="auto"/>
                <w:lang w:eastAsia="zh-CN"/>
              </w:rPr>
              <w:t>本项目为新建项目，不存在与本项目有关的原有环境污染问题</w:t>
            </w:r>
          </w:p>
          <w:p w14:paraId="10E7C2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leftChars="0" w:right="0" w:firstLine="480" w:firstLineChars="200"/>
              <w:jc w:val="both"/>
              <w:textAlignment w:val="auto"/>
              <w:rPr>
                <w:rFonts w:hint="eastAsia"/>
                <w:color w:val="auto"/>
                <w:lang w:eastAsia="zh-CN"/>
              </w:rPr>
            </w:pPr>
          </w:p>
          <w:p w14:paraId="7337572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leftChars="0" w:right="0" w:firstLine="480" w:firstLineChars="200"/>
              <w:jc w:val="both"/>
              <w:textAlignment w:val="auto"/>
              <w:rPr>
                <w:rFonts w:hint="eastAsia"/>
                <w:color w:val="auto"/>
                <w:lang w:eastAsia="zh-CN"/>
              </w:rPr>
            </w:pPr>
          </w:p>
          <w:p w14:paraId="5C771FD6">
            <w:pPr>
              <w:pStyle w:val="2"/>
              <w:ind w:left="0" w:leftChars="0" w:firstLine="0" w:firstLineChars="0"/>
              <w:rPr>
                <w:rFonts w:hint="eastAsia"/>
                <w:lang w:eastAsia="zh-CN"/>
              </w:rPr>
            </w:pPr>
          </w:p>
          <w:p w14:paraId="481F3035">
            <w:pPr>
              <w:rPr>
                <w:rFonts w:hint="eastAsia"/>
                <w:lang w:eastAsia="zh-CN"/>
              </w:rPr>
            </w:pPr>
          </w:p>
        </w:tc>
      </w:tr>
    </w:tbl>
    <w:p w14:paraId="029036D1">
      <w:pPr>
        <w:tabs>
          <w:tab w:val="left" w:pos="1425"/>
        </w:tabs>
        <w:ind w:firstLine="0" w:firstLineChars="0"/>
        <w:rPr>
          <w:rFonts w:hint="default" w:ascii="Times New Roman" w:hAnsi="Times New Roman" w:cs="Times New Roman"/>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0112C642">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jc w:val="center"/>
        <w:textAlignment w:val="auto"/>
        <w:outlineLvl w:val="0"/>
        <w:rPr>
          <w:rFonts w:hint="default" w:ascii="Times New Roman" w:hAnsi="Times New Roman" w:eastAsia="宋体" w:cs="Times New Roman"/>
          <w:b/>
          <w:kern w:val="2"/>
          <w:sz w:val="30"/>
          <w:szCs w:val="22"/>
          <w:highlight w:val="none"/>
          <w:lang w:val="en-US" w:eastAsia="zh-CN" w:bidi="ar-SA"/>
        </w:rPr>
      </w:pPr>
      <w:r>
        <w:rPr>
          <w:rFonts w:hint="default" w:ascii="Times New Roman" w:hAnsi="Times New Roman" w:eastAsia="宋体" w:cs="Times New Roman"/>
          <w:b/>
          <w:kern w:val="2"/>
          <w:sz w:val="30"/>
          <w:szCs w:val="22"/>
          <w:highlight w:val="none"/>
          <w:lang w:val="en-US" w:eastAsia="zh-CN" w:bidi="ar-SA"/>
        </w:rPr>
        <w:t>三、区域环境质量现状、环境保护目标及评价标准</w:t>
      </w:r>
    </w:p>
    <w:tbl>
      <w:tblPr>
        <w:tblStyle w:val="25"/>
        <w:tblW w:w="9061" w:type="dxa"/>
        <w:tblInd w:w="16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17"/>
        <w:gridCol w:w="8244"/>
      </w:tblGrid>
      <w:tr w14:paraId="0E7C9E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817" w:type="dxa"/>
            <w:noWrap w:val="0"/>
            <w:vAlign w:val="center"/>
          </w:tcPr>
          <w:p w14:paraId="43B79004">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rPr>
            </w:pPr>
            <w:r>
              <w:rPr>
                <w:rFonts w:hint="default" w:ascii="Times New Roman" w:hAnsi="Times New Roman" w:cs="Times New Roman"/>
                <w:color w:val="auto"/>
                <w:kern w:val="0"/>
              </w:rPr>
              <w:t>区域</w:t>
            </w:r>
          </w:p>
          <w:p w14:paraId="777C34F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rPr>
            </w:pPr>
            <w:r>
              <w:rPr>
                <w:rFonts w:hint="default" w:ascii="Times New Roman" w:hAnsi="Times New Roman" w:cs="Times New Roman"/>
                <w:color w:val="auto"/>
                <w:kern w:val="0"/>
              </w:rPr>
              <w:t>环境</w:t>
            </w:r>
          </w:p>
          <w:p w14:paraId="492199A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rPr>
            </w:pPr>
            <w:r>
              <w:rPr>
                <w:rFonts w:hint="default" w:ascii="Times New Roman" w:hAnsi="Times New Roman" w:cs="Times New Roman"/>
                <w:color w:val="auto"/>
                <w:kern w:val="0"/>
              </w:rPr>
              <w:t>质量</w:t>
            </w:r>
          </w:p>
          <w:p w14:paraId="16D4C1B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rPr>
              <w:t>现状</w:t>
            </w:r>
          </w:p>
        </w:tc>
        <w:tc>
          <w:tcPr>
            <w:tcW w:w="8244" w:type="dxa"/>
            <w:noWrap w:val="0"/>
            <w:vAlign w:val="center"/>
          </w:tcPr>
          <w:p w14:paraId="511D413A">
            <w:pPr>
              <w:keepNext w:val="0"/>
              <w:keepLines w:val="0"/>
              <w:pageBreakBefore w:val="0"/>
              <w:widowControl w:val="0"/>
              <w:kinsoku/>
              <w:wordWrap/>
              <w:overflowPunct/>
              <w:topLinePunct w:val="0"/>
              <w:autoSpaceDE/>
              <w:autoSpaceDN/>
              <w:bidi w:val="0"/>
              <w:spacing w:line="520" w:lineRule="exact"/>
              <w:ind w:firstLine="480" w:firstLineChars="200"/>
              <w:textAlignment w:val="auto"/>
              <w:rPr>
                <w:color w:val="000000" w:themeColor="text1"/>
                <w:sz w:val="24"/>
                <w14:textFill>
                  <w14:solidFill>
                    <w14:schemeClr w14:val="tx1"/>
                  </w14:solidFill>
                </w14:textFill>
              </w:rPr>
            </w:pPr>
            <w:r>
              <w:rPr>
                <w:color w:val="000000" w:themeColor="text1"/>
                <w:sz w:val="24"/>
                <w14:textFill>
                  <w14:solidFill>
                    <w14:schemeClr w14:val="tx1"/>
                  </w14:solidFill>
                </w14:textFill>
              </w:rPr>
              <w:t>根据现有环境监测资料，建设项目所在地环境质量状况如下：</w:t>
            </w:r>
          </w:p>
          <w:p w14:paraId="0D7A04DF">
            <w:pPr>
              <w:keepNext w:val="0"/>
              <w:keepLines w:val="0"/>
              <w:pageBreakBefore w:val="0"/>
              <w:widowControl w:val="0"/>
              <w:kinsoku/>
              <w:wordWrap/>
              <w:overflowPunct/>
              <w:topLinePunct w:val="0"/>
              <w:autoSpaceDE/>
              <w:autoSpaceDN/>
              <w:bidi w:val="0"/>
              <w:adjustRightInd w:val="0"/>
              <w:snapToGrid w:val="0"/>
              <w:spacing w:line="520" w:lineRule="exact"/>
              <w:ind w:firstLine="482" w:firstLineChars="200"/>
              <w:textAlignment w:val="auto"/>
              <w:rPr>
                <w:b/>
                <w:color w:val="000000" w:themeColor="text1"/>
                <w:sz w:val="24"/>
                <w14:textFill>
                  <w14:solidFill>
                    <w14:schemeClr w14:val="tx1"/>
                  </w14:solidFill>
                </w14:textFill>
              </w:rPr>
            </w:pPr>
            <w:r>
              <w:rPr>
                <w:b/>
                <w:color w:val="000000" w:themeColor="text1"/>
                <w:sz w:val="24"/>
                <w14:textFill>
                  <w14:solidFill>
                    <w14:schemeClr w14:val="tx1"/>
                  </w14:solidFill>
                </w14:textFill>
              </w:rPr>
              <w:t>1、环境空气质量现状</w:t>
            </w:r>
          </w:p>
          <w:p w14:paraId="3BA191E9">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eastAsia" w:ascii="Times New Roman" w:hAnsi="Times New Roman" w:eastAsia="宋体" w:cs="Times New Roman"/>
                <w:sz w:val="24"/>
              </w:rPr>
            </w:pPr>
            <w:r>
              <w:rPr>
                <w:rFonts w:hint="eastAsia" w:ascii="Times New Roman" w:hAnsi="Times New Roman" w:eastAsia="宋体" w:cs="Times New Roman"/>
                <w:sz w:val="24"/>
              </w:rPr>
              <w:t>根据大气功能区划分原则，建设项目所在地为二类功能区，环境空气质量应执行</w:t>
            </w:r>
            <w:r>
              <w:rPr>
                <w:rFonts w:hint="eastAsia"/>
                <w:sz w:val="24"/>
              </w:rPr>
              <w:t>《环境空气质量标准》(GB3095-20</w:t>
            </w:r>
            <w:r>
              <w:rPr>
                <w:rFonts w:hint="eastAsia"/>
                <w:sz w:val="24"/>
                <w:lang w:val="en-US" w:eastAsia="zh-CN"/>
              </w:rPr>
              <w:t>26</w:t>
            </w:r>
            <w:r>
              <w:rPr>
                <w:rFonts w:hint="eastAsia"/>
                <w:sz w:val="24"/>
              </w:rPr>
              <w:t>)中过渡阶段浓度限值的二级标准要求</w:t>
            </w:r>
            <w:r>
              <w:rPr>
                <w:rFonts w:hint="eastAsia" w:ascii="Times New Roman" w:hAnsi="Times New Roman" w:eastAsia="宋体" w:cs="Times New Roman"/>
                <w:sz w:val="24"/>
              </w:rPr>
              <w:t>。根据新乡市生态环境局发布的《202</w:t>
            </w:r>
            <w:r>
              <w:rPr>
                <w:rFonts w:hint="eastAsia" w:ascii="Times New Roman" w:hAnsi="Times New Roman" w:eastAsia="宋体" w:cs="Times New Roman"/>
                <w:sz w:val="24"/>
                <w:lang w:val="en-US" w:eastAsia="zh-CN"/>
              </w:rPr>
              <w:t>4</w:t>
            </w:r>
            <w:r>
              <w:rPr>
                <w:rFonts w:hint="eastAsia" w:ascii="Times New Roman" w:hAnsi="Times New Roman" w:eastAsia="宋体" w:cs="Times New Roman"/>
                <w:sz w:val="24"/>
              </w:rPr>
              <w:t>年新乡市环境质量公报》，区域空气质量现状数据如下表所示。</w:t>
            </w:r>
          </w:p>
          <w:p w14:paraId="3D759C1C">
            <w:pPr>
              <w:spacing w:line="460" w:lineRule="exact"/>
              <w:ind w:firstLine="482" w:firstLineChars="200"/>
              <w:rPr>
                <w:rFonts w:hint="default" w:ascii="Times New Roman" w:hAnsi="Times New Roman" w:eastAsia="宋体" w:cs="Times New Roman"/>
                <w:b/>
                <w:bCs/>
                <w:sz w:val="24"/>
                <w:lang w:val="pt-BR"/>
              </w:rPr>
            </w:pPr>
            <w:r>
              <w:rPr>
                <w:rFonts w:hint="default" w:ascii="Times New Roman" w:hAnsi="Times New Roman" w:eastAsia="宋体" w:cs="Times New Roman"/>
                <w:b/>
                <w:bCs/>
                <w:sz w:val="24"/>
                <w:lang w:val="pt-BR"/>
              </w:rPr>
              <w:t>表</w:t>
            </w:r>
            <w:r>
              <w:rPr>
                <w:rFonts w:hint="eastAsia" w:ascii="Times New Roman" w:hAnsi="Times New Roman" w:eastAsia="宋体" w:cs="Times New Roman"/>
                <w:b/>
                <w:bCs/>
                <w:sz w:val="24"/>
                <w:lang w:val="pt-BR"/>
              </w:rPr>
              <w:t>2</w:t>
            </w:r>
            <w:r>
              <w:rPr>
                <w:rFonts w:hint="eastAsia" w:cs="Times New Roman"/>
                <w:b/>
                <w:bCs/>
                <w:sz w:val="24"/>
                <w:lang w:val="en-US" w:eastAsia="zh-CN"/>
              </w:rPr>
              <w:t>2</w:t>
            </w:r>
            <w:r>
              <w:rPr>
                <w:rFonts w:hint="default" w:ascii="Times New Roman" w:hAnsi="Times New Roman" w:eastAsia="宋体" w:cs="Times New Roman"/>
                <w:b/>
                <w:bCs/>
                <w:sz w:val="24"/>
                <w:lang w:val="pt-BR"/>
              </w:rPr>
              <w:t xml:space="preserve">              区域空气质量现状评价表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44"/>
              <w:gridCol w:w="1183"/>
              <w:gridCol w:w="1005"/>
              <w:gridCol w:w="993"/>
              <w:gridCol w:w="815"/>
              <w:gridCol w:w="652"/>
              <w:gridCol w:w="1096"/>
              <w:gridCol w:w="847"/>
              <w:gridCol w:w="683"/>
            </w:tblGrid>
            <w:tr w14:paraId="7A85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746" w:type="dxa"/>
                  <w:vMerge w:val="restart"/>
                  <w:noWrap w:val="0"/>
                  <w:tcMar>
                    <w:top w:w="0" w:type="dxa"/>
                    <w:left w:w="28" w:type="dxa"/>
                    <w:bottom w:w="0" w:type="dxa"/>
                    <w:right w:w="28" w:type="dxa"/>
                  </w:tcMar>
                  <w:vAlign w:val="center"/>
                </w:tcPr>
                <w:p w14:paraId="4F7282F1">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b/>
                      <w:bCs w:val="0"/>
                      <w:sz w:val="21"/>
                      <w:szCs w:val="21"/>
                    </w:rPr>
                  </w:pPr>
                  <w:r>
                    <w:rPr>
                      <w:b/>
                      <w:bCs w:val="0"/>
                      <w:sz w:val="21"/>
                      <w:szCs w:val="21"/>
                    </w:rPr>
                    <w:t>污染物</w:t>
                  </w:r>
                </w:p>
              </w:tc>
              <w:tc>
                <w:tcPr>
                  <w:tcW w:w="1187" w:type="dxa"/>
                  <w:vMerge w:val="restart"/>
                  <w:noWrap w:val="0"/>
                  <w:tcMar>
                    <w:top w:w="0" w:type="dxa"/>
                    <w:left w:w="28" w:type="dxa"/>
                    <w:bottom w:w="0" w:type="dxa"/>
                    <w:right w:w="28" w:type="dxa"/>
                  </w:tcMar>
                  <w:vAlign w:val="center"/>
                </w:tcPr>
                <w:p w14:paraId="443E13C2">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b/>
                      <w:bCs w:val="0"/>
                      <w:sz w:val="21"/>
                      <w:szCs w:val="21"/>
                    </w:rPr>
                  </w:pPr>
                  <w:r>
                    <w:rPr>
                      <w:b/>
                      <w:bCs w:val="0"/>
                      <w:sz w:val="21"/>
                      <w:szCs w:val="21"/>
                    </w:rPr>
                    <w:t>年评价指标</w:t>
                  </w:r>
                </w:p>
              </w:tc>
              <w:tc>
                <w:tcPr>
                  <w:tcW w:w="1008" w:type="dxa"/>
                  <w:vMerge w:val="restart"/>
                  <w:noWrap w:val="0"/>
                  <w:tcMar>
                    <w:top w:w="0" w:type="dxa"/>
                    <w:left w:w="28" w:type="dxa"/>
                    <w:bottom w:w="0" w:type="dxa"/>
                    <w:right w:w="28" w:type="dxa"/>
                  </w:tcMar>
                  <w:vAlign w:val="center"/>
                </w:tcPr>
                <w:p w14:paraId="6B6D0303">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b/>
                      <w:bCs w:val="0"/>
                      <w:sz w:val="21"/>
                      <w:szCs w:val="21"/>
                    </w:rPr>
                  </w:pPr>
                  <w:r>
                    <w:rPr>
                      <w:b/>
                      <w:bCs w:val="0"/>
                      <w:sz w:val="21"/>
                      <w:szCs w:val="21"/>
                    </w:rPr>
                    <w:t>现状浓度/（μg/m</w:t>
                  </w:r>
                  <w:r>
                    <w:rPr>
                      <w:b/>
                      <w:bCs w:val="0"/>
                      <w:sz w:val="21"/>
                      <w:szCs w:val="21"/>
                      <w:vertAlign w:val="superscript"/>
                    </w:rPr>
                    <w:t>3</w:t>
                  </w:r>
                  <w:r>
                    <w:rPr>
                      <w:b/>
                      <w:bCs w:val="0"/>
                      <w:sz w:val="21"/>
                      <w:szCs w:val="21"/>
                    </w:rPr>
                    <w:t>）</w:t>
                  </w:r>
                </w:p>
              </w:tc>
              <w:tc>
                <w:tcPr>
                  <w:tcW w:w="2468" w:type="dxa"/>
                  <w:gridSpan w:val="3"/>
                  <w:noWrap w:val="0"/>
                  <w:tcMar>
                    <w:top w:w="0" w:type="dxa"/>
                    <w:left w:w="28" w:type="dxa"/>
                    <w:bottom w:w="0" w:type="dxa"/>
                    <w:right w:w="28" w:type="dxa"/>
                  </w:tcMar>
                  <w:vAlign w:val="center"/>
                </w:tcPr>
                <w:p w14:paraId="3F5F373E">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eastAsia" w:eastAsia="宋体"/>
                      <w:b/>
                      <w:bCs w:val="0"/>
                      <w:sz w:val="21"/>
                      <w:szCs w:val="21"/>
                      <w:lang w:eastAsia="zh-CN"/>
                    </w:rPr>
                  </w:pPr>
                  <w:r>
                    <w:rPr>
                      <w:rFonts w:hint="eastAsia"/>
                      <w:b/>
                      <w:bCs w:val="0"/>
                      <w:sz w:val="21"/>
                      <w:szCs w:val="21"/>
                    </w:rPr>
                    <w:t>（GB3095-2012）</w:t>
                  </w:r>
                  <w:r>
                    <w:rPr>
                      <w:rFonts w:hint="eastAsia"/>
                      <w:b/>
                      <w:bCs w:val="0"/>
                      <w:sz w:val="21"/>
                      <w:szCs w:val="21"/>
                      <w:lang w:eastAsia="zh-CN"/>
                    </w:rPr>
                    <w:t>及修改单</w:t>
                  </w:r>
                </w:p>
              </w:tc>
              <w:tc>
                <w:tcPr>
                  <w:tcW w:w="2635" w:type="dxa"/>
                  <w:gridSpan w:val="3"/>
                  <w:noWrap w:val="0"/>
                  <w:tcMar>
                    <w:top w:w="0" w:type="dxa"/>
                    <w:left w:w="28" w:type="dxa"/>
                    <w:bottom w:w="0" w:type="dxa"/>
                    <w:right w:w="28" w:type="dxa"/>
                  </w:tcMar>
                  <w:vAlign w:val="center"/>
                </w:tcPr>
                <w:p w14:paraId="331DFC69">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eastAsia" w:eastAsia="宋体"/>
                      <w:b/>
                      <w:bCs w:val="0"/>
                      <w:sz w:val="21"/>
                      <w:szCs w:val="21"/>
                      <w:lang w:eastAsia="zh-CN"/>
                    </w:rPr>
                  </w:pPr>
                  <w:r>
                    <w:rPr>
                      <w:rFonts w:hint="eastAsia"/>
                      <w:b/>
                      <w:bCs w:val="0"/>
                      <w:sz w:val="21"/>
                      <w:szCs w:val="21"/>
                      <w:lang w:eastAsia="zh-CN"/>
                    </w:rPr>
                    <w:t>（</w:t>
                  </w:r>
                  <w:r>
                    <w:rPr>
                      <w:rFonts w:hint="eastAsia"/>
                      <w:b/>
                      <w:bCs w:val="0"/>
                      <w:sz w:val="21"/>
                      <w:szCs w:val="21"/>
                    </w:rPr>
                    <w:t>GB3095-2026</w:t>
                  </w:r>
                  <w:r>
                    <w:rPr>
                      <w:rFonts w:hint="eastAsia"/>
                      <w:b/>
                      <w:bCs w:val="0"/>
                      <w:sz w:val="21"/>
                      <w:szCs w:val="21"/>
                      <w:lang w:eastAsia="zh-CN"/>
                    </w:rPr>
                    <w:t>）（</w:t>
                  </w:r>
                  <w:r>
                    <w:rPr>
                      <w:rFonts w:hint="eastAsia"/>
                      <w:b/>
                      <w:bCs w:val="0"/>
                      <w:sz w:val="21"/>
                      <w:szCs w:val="21"/>
                    </w:rPr>
                    <w:t>过渡阶段</w:t>
                  </w:r>
                  <w:r>
                    <w:rPr>
                      <w:rFonts w:hint="eastAsia"/>
                      <w:b/>
                      <w:bCs w:val="0"/>
                      <w:sz w:val="21"/>
                      <w:szCs w:val="21"/>
                      <w:lang w:eastAsia="zh-CN"/>
                    </w:rPr>
                    <w:t>）</w:t>
                  </w:r>
                </w:p>
              </w:tc>
            </w:tr>
            <w:tr w14:paraId="0F33A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746" w:type="dxa"/>
                  <w:vMerge w:val="continue"/>
                  <w:noWrap w:val="0"/>
                  <w:tcMar>
                    <w:top w:w="0" w:type="dxa"/>
                    <w:left w:w="28" w:type="dxa"/>
                    <w:bottom w:w="0" w:type="dxa"/>
                    <w:right w:w="28" w:type="dxa"/>
                  </w:tcMar>
                  <w:vAlign w:val="center"/>
                </w:tcPr>
                <w:p w14:paraId="5C74ED78">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b/>
                      <w:bCs w:val="0"/>
                    </w:rPr>
                  </w:pPr>
                </w:p>
              </w:tc>
              <w:tc>
                <w:tcPr>
                  <w:tcW w:w="1187" w:type="dxa"/>
                  <w:vMerge w:val="continue"/>
                  <w:noWrap w:val="0"/>
                  <w:tcMar>
                    <w:top w:w="0" w:type="dxa"/>
                    <w:left w:w="28" w:type="dxa"/>
                    <w:bottom w:w="0" w:type="dxa"/>
                    <w:right w:w="28" w:type="dxa"/>
                  </w:tcMar>
                  <w:vAlign w:val="center"/>
                </w:tcPr>
                <w:p w14:paraId="6CB1CFBB">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b/>
                      <w:bCs w:val="0"/>
                    </w:rPr>
                  </w:pPr>
                </w:p>
              </w:tc>
              <w:tc>
                <w:tcPr>
                  <w:tcW w:w="1008" w:type="dxa"/>
                  <w:vMerge w:val="continue"/>
                  <w:noWrap w:val="0"/>
                  <w:tcMar>
                    <w:top w:w="0" w:type="dxa"/>
                    <w:left w:w="28" w:type="dxa"/>
                    <w:bottom w:w="0" w:type="dxa"/>
                    <w:right w:w="28" w:type="dxa"/>
                  </w:tcMar>
                  <w:vAlign w:val="center"/>
                </w:tcPr>
                <w:p w14:paraId="48A5EDBD">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b/>
                      <w:bCs w:val="0"/>
                    </w:rPr>
                  </w:pPr>
                </w:p>
              </w:tc>
              <w:tc>
                <w:tcPr>
                  <w:tcW w:w="996" w:type="dxa"/>
                  <w:noWrap w:val="0"/>
                  <w:tcMar>
                    <w:top w:w="0" w:type="dxa"/>
                    <w:left w:w="28" w:type="dxa"/>
                    <w:bottom w:w="0" w:type="dxa"/>
                    <w:right w:w="28" w:type="dxa"/>
                  </w:tcMar>
                  <w:vAlign w:val="center"/>
                </w:tcPr>
                <w:p w14:paraId="30738784">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b/>
                      <w:bCs w:val="0"/>
                      <w:sz w:val="21"/>
                      <w:szCs w:val="21"/>
                    </w:rPr>
                  </w:pPr>
                  <w:r>
                    <w:rPr>
                      <w:b/>
                      <w:bCs w:val="0"/>
                      <w:sz w:val="21"/>
                      <w:szCs w:val="21"/>
                    </w:rPr>
                    <w:t>标准值/（μg/m</w:t>
                  </w:r>
                  <w:r>
                    <w:rPr>
                      <w:b/>
                      <w:bCs w:val="0"/>
                      <w:sz w:val="21"/>
                      <w:szCs w:val="21"/>
                      <w:vertAlign w:val="superscript"/>
                    </w:rPr>
                    <w:t>3</w:t>
                  </w:r>
                  <w:r>
                    <w:rPr>
                      <w:b/>
                      <w:bCs w:val="0"/>
                      <w:sz w:val="21"/>
                      <w:szCs w:val="21"/>
                    </w:rPr>
                    <w:t>）</w:t>
                  </w:r>
                </w:p>
              </w:tc>
              <w:tc>
                <w:tcPr>
                  <w:tcW w:w="818" w:type="dxa"/>
                  <w:noWrap w:val="0"/>
                  <w:tcMar>
                    <w:top w:w="0" w:type="dxa"/>
                    <w:left w:w="28" w:type="dxa"/>
                    <w:bottom w:w="0" w:type="dxa"/>
                    <w:right w:w="28" w:type="dxa"/>
                  </w:tcMar>
                  <w:vAlign w:val="center"/>
                </w:tcPr>
                <w:p w14:paraId="0B24D06C">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b/>
                      <w:bCs w:val="0"/>
                      <w:sz w:val="21"/>
                      <w:szCs w:val="21"/>
                    </w:rPr>
                  </w:pPr>
                  <w:r>
                    <w:rPr>
                      <w:b/>
                      <w:bCs w:val="0"/>
                      <w:sz w:val="21"/>
                      <w:szCs w:val="21"/>
                    </w:rPr>
                    <w:t>占标率/%</w:t>
                  </w:r>
                </w:p>
              </w:tc>
              <w:tc>
                <w:tcPr>
                  <w:tcW w:w="654" w:type="dxa"/>
                  <w:noWrap w:val="0"/>
                  <w:tcMar>
                    <w:top w:w="0" w:type="dxa"/>
                    <w:left w:w="28" w:type="dxa"/>
                    <w:bottom w:w="0" w:type="dxa"/>
                    <w:right w:w="28" w:type="dxa"/>
                  </w:tcMar>
                  <w:vAlign w:val="center"/>
                </w:tcPr>
                <w:p w14:paraId="1EF34FF2">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b/>
                      <w:bCs w:val="0"/>
                      <w:sz w:val="21"/>
                      <w:szCs w:val="21"/>
                    </w:rPr>
                  </w:pPr>
                  <w:r>
                    <w:rPr>
                      <w:b/>
                      <w:bCs w:val="0"/>
                      <w:sz w:val="21"/>
                      <w:szCs w:val="21"/>
                    </w:rPr>
                    <w:t>达标情况</w:t>
                  </w:r>
                </w:p>
              </w:tc>
              <w:tc>
                <w:tcPr>
                  <w:tcW w:w="1100" w:type="dxa"/>
                  <w:noWrap w:val="0"/>
                  <w:tcMar>
                    <w:top w:w="0" w:type="dxa"/>
                    <w:left w:w="28" w:type="dxa"/>
                    <w:bottom w:w="0" w:type="dxa"/>
                    <w:right w:w="28" w:type="dxa"/>
                  </w:tcMar>
                  <w:vAlign w:val="center"/>
                </w:tcPr>
                <w:p w14:paraId="03316303">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b/>
                      <w:bCs w:val="0"/>
                      <w:sz w:val="21"/>
                      <w:szCs w:val="21"/>
                    </w:rPr>
                  </w:pPr>
                  <w:r>
                    <w:rPr>
                      <w:b/>
                      <w:bCs w:val="0"/>
                      <w:sz w:val="21"/>
                      <w:szCs w:val="21"/>
                    </w:rPr>
                    <w:t>标准值/（μg/m</w:t>
                  </w:r>
                  <w:r>
                    <w:rPr>
                      <w:b/>
                      <w:bCs w:val="0"/>
                      <w:sz w:val="21"/>
                      <w:szCs w:val="21"/>
                      <w:vertAlign w:val="superscript"/>
                    </w:rPr>
                    <w:t>3</w:t>
                  </w:r>
                  <w:r>
                    <w:rPr>
                      <w:b/>
                      <w:bCs w:val="0"/>
                      <w:sz w:val="21"/>
                      <w:szCs w:val="21"/>
                    </w:rPr>
                    <w:t>）</w:t>
                  </w:r>
                </w:p>
              </w:tc>
              <w:tc>
                <w:tcPr>
                  <w:tcW w:w="850" w:type="dxa"/>
                  <w:noWrap w:val="0"/>
                  <w:tcMar>
                    <w:top w:w="0" w:type="dxa"/>
                    <w:left w:w="28" w:type="dxa"/>
                    <w:bottom w:w="0" w:type="dxa"/>
                    <w:right w:w="28" w:type="dxa"/>
                  </w:tcMar>
                  <w:vAlign w:val="center"/>
                </w:tcPr>
                <w:p w14:paraId="69F37129">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b/>
                      <w:bCs w:val="0"/>
                      <w:sz w:val="21"/>
                      <w:szCs w:val="21"/>
                    </w:rPr>
                  </w:pPr>
                  <w:r>
                    <w:rPr>
                      <w:b/>
                      <w:bCs w:val="0"/>
                      <w:sz w:val="21"/>
                      <w:szCs w:val="21"/>
                    </w:rPr>
                    <w:t>占标率/%</w:t>
                  </w:r>
                </w:p>
              </w:tc>
              <w:tc>
                <w:tcPr>
                  <w:tcW w:w="685" w:type="dxa"/>
                  <w:noWrap w:val="0"/>
                  <w:tcMar>
                    <w:top w:w="0" w:type="dxa"/>
                    <w:left w:w="28" w:type="dxa"/>
                    <w:bottom w:w="0" w:type="dxa"/>
                    <w:right w:w="28" w:type="dxa"/>
                  </w:tcMar>
                  <w:vAlign w:val="center"/>
                </w:tcPr>
                <w:p w14:paraId="5453258C">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b/>
                      <w:bCs w:val="0"/>
                      <w:sz w:val="21"/>
                      <w:szCs w:val="21"/>
                    </w:rPr>
                  </w:pPr>
                  <w:r>
                    <w:rPr>
                      <w:b/>
                      <w:bCs w:val="0"/>
                      <w:sz w:val="21"/>
                      <w:szCs w:val="21"/>
                    </w:rPr>
                    <w:t>达标情况</w:t>
                  </w:r>
                </w:p>
              </w:tc>
            </w:tr>
            <w:tr w14:paraId="3968E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746" w:type="dxa"/>
                  <w:noWrap w:val="0"/>
                  <w:tcMar>
                    <w:top w:w="0" w:type="dxa"/>
                    <w:left w:w="28" w:type="dxa"/>
                    <w:bottom w:w="0" w:type="dxa"/>
                    <w:right w:w="28" w:type="dxa"/>
                  </w:tcMar>
                  <w:vAlign w:val="center"/>
                </w:tcPr>
                <w:p w14:paraId="2FC7E6C7">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sz w:val="21"/>
                      <w:szCs w:val="21"/>
                    </w:rPr>
                    <w:t>PM</w:t>
                  </w:r>
                  <w:r>
                    <w:rPr>
                      <w:sz w:val="21"/>
                      <w:szCs w:val="21"/>
                      <w:vertAlign w:val="subscript"/>
                    </w:rPr>
                    <w:t>10</w:t>
                  </w:r>
                </w:p>
              </w:tc>
              <w:tc>
                <w:tcPr>
                  <w:tcW w:w="1187" w:type="dxa"/>
                  <w:noWrap w:val="0"/>
                  <w:tcMar>
                    <w:top w:w="0" w:type="dxa"/>
                    <w:left w:w="28" w:type="dxa"/>
                    <w:bottom w:w="0" w:type="dxa"/>
                    <w:right w:w="28" w:type="dxa"/>
                  </w:tcMar>
                  <w:vAlign w:val="center"/>
                </w:tcPr>
                <w:p w14:paraId="04434114">
                  <w:pPr>
                    <w:keepNext w:val="0"/>
                    <w:keepLines w:val="0"/>
                    <w:pageBreakBefore w:val="0"/>
                    <w:widowControl w:val="0"/>
                    <w:kinsoku/>
                    <w:wordWrap/>
                    <w:overflowPunct w:val="0"/>
                    <w:topLinePunct w:val="0"/>
                    <w:autoSpaceDE w:val="0"/>
                    <w:autoSpaceDN w:val="0"/>
                    <w:bidi w:val="0"/>
                    <w:adjustRightInd w:val="0"/>
                    <w:spacing w:line="240" w:lineRule="auto"/>
                    <w:ind w:firstLine="0" w:firstLineChars="0"/>
                    <w:contextualSpacing/>
                    <w:jc w:val="center"/>
                    <w:textAlignment w:val="auto"/>
                    <w:rPr>
                      <w:sz w:val="21"/>
                      <w:szCs w:val="21"/>
                    </w:rPr>
                  </w:pPr>
                  <w:r>
                    <w:rPr>
                      <w:sz w:val="21"/>
                      <w:szCs w:val="21"/>
                    </w:rPr>
                    <w:t>年平均质量浓度</w:t>
                  </w:r>
                </w:p>
              </w:tc>
              <w:tc>
                <w:tcPr>
                  <w:tcW w:w="1008" w:type="dxa"/>
                  <w:noWrap w:val="0"/>
                  <w:tcMar>
                    <w:top w:w="0" w:type="dxa"/>
                    <w:left w:w="28" w:type="dxa"/>
                    <w:bottom w:w="0" w:type="dxa"/>
                    <w:right w:w="28" w:type="dxa"/>
                  </w:tcMar>
                  <w:vAlign w:val="center"/>
                </w:tcPr>
                <w:p w14:paraId="75EAB402">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eastAsia="宋体"/>
                      <w:kern w:val="2"/>
                      <w:sz w:val="21"/>
                      <w:szCs w:val="21"/>
                      <w:lang w:val="en-US" w:eastAsia="zh-CN" w:bidi="ar-SA"/>
                    </w:rPr>
                  </w:pPr>
                  <w:r>
                    <w:rPr>
                      <w:rFonts w:hint="eastAsia"/>
                      <w:sz w:val="21"/>
                      <w:szCs w:val="21"/>
                    </w:rPr>
                    <w:t>8</w:t>
                  </w:r>
                  <w:r>
                    <w:rPr>
                      <w:rFonts w:hint="eastAsia"/>
                      <w:sz w:val="21"/>
                      <w:szCs w:val="21"/>
                      <w:lang w:val="en-US" w:eastAsia="zh-CN"/>
                    </w:rPr>
                    <w:t>2</w:t>
                  </w:r>
                </w:p>
              </w:tc>
              <w:tc>
                <w:tcPr>
                  <w:tcW w:w="996" w:type="dxa"/>
                  <w:noWrap w:val="0"/>
                  <w:tcMar>
                    <w:top w:w="0" w:type="dxa"/>
                    <w:left w:w="28" w:type="dxa"/>
                    <w:bottom w:w="0" w:type="dxa"/>
                    <w:right w:w="28" w:type="dxa"/>
                  </w:tcMar>
                  <w:vAlign w:val="center"/>
                </w:tcPr>
                <w:p w14:paraId="6CBAD598">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kern w:val="2"/>
                      <w:sz w:val="21"/>
                      <w:szCs w:val="21"/>
                      <w:lang w:val="en-US" w:eastAsia="zh-CN" w:bidi="ar-SA"/>
                    </w:rPr>
                  </w:pPr>
                  <w:r>
                    <w:rPr>
                      <w:sz w:val="21"/>
                      <w:szCs w:val="21"/>
                    </w:rPr>
                    <w:t>70</w:t>
                  </w:r>
                </w:p>
              </w:tc>
              <w:tc>
                <w:tcPr>
                  <w:tcW w:w="818" w:type="dxa"/>
                  <w:noWrap w:val="0"/>
                  <w:tcMar>
                    <w:top w:w="0" w:type="dxa"/>
                    <w:left w:w="28" w:type="dxa"/>
                    <w:bottom w:w="0" w:type="dxa"/>
                    <w:right w:w="28" w:type="dxa"/>
                  </w:tcMar>
                  <w:vAlign w:val="center"/>
                </w:tcPr>
                <w:p w14:paraId="2B3C938F">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eastAsia="宋体"/>
                      <w:kern w:val="2"/>
                      <w:sz w:val="21"/>
                      <w:szCs w:val="21"/>
                      <w:lang w:val="en-US" w:eastAsia="zh-CN" w:bidi="ar-SA"/>
                    </w:rPr>
                  </w:pPr>
                  <w:r>
                    <w:rPr>
                      <w:rFonts w:hint="eastAsia"/>
                      <w:sz w:val="21"/>
                      <w:szCs w:val="21"/>
                    </w:rPr>
                    <w:t>11</w:t>
                  </w:r>
                  <w:r>
                    <w:rPr>
                      <w:rFonts w:hint="eastAsia"/>
                      <w:sz w:val="21"/>
                      <w:szCs w:val="21"/>
                      <w:lang w:val="en-US" w:eastAsia="zh-CN"/>
                    </w:rPr>
                    <w:t>7</w:t>
                  </w:r>
                </w:p>
              </w:tc>
              <w:tc>
                <w:tcPr>
                  <w:tcW w:w="654" w:type="dxa"/>
                  <w:noWrap w:val="0"/>
                  <w:tcMar>
                    <w:top w:w="0" w:type="dxa"/>
                    <w:left w:w="28" w:type="dxa"/>
                    <w:bottom w:w="0" w:type="dxa"/>
                    <w:right w:w="28" w:type="dxa"/>
                  </w:tcMar>
                  <w:vAlign w:val="center"/>
                </w:tcPr>
                <w:p w14:paraId="4DB129EA">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rFonts w:hint="eastAsia"/>
                      <w:sz w:val="21"/>
                      <w:szCs w:val="21"/>
                    </w:rPr>
                    <w:t>超标</w:t>
                  </w:r>
                </w:p>
              </w:tc>
              <w:tc>
                <w:tcPr>
                  <w:tcW w:w="1100" w:type="dxa"/>
                  <w:noWrap w:val="0"/>
                  <w:tcMar>
                    <w:top w:w="0" w:type="dxa"/>
                    <w:left w:w="28" w:type="dxa"/>
                    <w:bottom w:w="0" w:type="dxa"/>
                    <w:right w:w="28" w:type="dxa"/>
                  </w:tcMar>
                  <w:vAlign w:val="center"/>
                </w:tcPr>
                <w:p w14:paraId="746B334E">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eastAsia"/>
                      <w:sz w:val="21"/>
                      <w:szCs w:val="21"/>
                    </w:rPr>
                  </w:pPr>
                  <w:r>
                    <w:rPr>
                      <w:rFonts w:hint="eastAsia"/>
                      <w:sz w:val="21"/>
                      <w:szCs w:val="21"/>
                      <w:lang w:val="en-US" w:eastAsia="zh-CN"/>
                    </w:rPr>
                    <w:t>6</w:t>
                  </w:r>
                  <w:r>
                    <w:rPr>
                      <w:sz w:val="21"/>
                      <w:szCs w:val="21"/>
                    </w:rPr>
                    <w:t>0</w:t>
                  </w:r>
                </w:p>
              </w:tc>
              <w:tc>
                <w:tcPr>
                  <w:tcW w:w="850" w:type="dxa"/>
                  <w:noWrap w:val="0"/>
                  <w:tcMar>
                    <w:top w:w="0" w:type="dxa"/>
                    <w:left w:w="28" w:type="dxa"/>
                    <w:bottom w:w="0" w:type="dxa"/>
                    <w:right w:w="28" w:type="dxa"/>
                  </w:tcMar>
                  <w:vAlign w:val="center"/>
                </w:tcPr>
                <w:p w14:paraId="25165194">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eastAsia="宋体"/>
                      <w:sz w:val="21"/>
                      <w:szCs w:val="21"/>
                      <w:lang w:val="en-US" w:eastAsia="zh-CN"/>
                    </w:rPr>
                  </w:pPr>
                  <w:r>
                    <w:rPr>
                      <w:rFonts w:hint="eastAsia"/>
                      <w:sz w:val="21"/>
                      <w:szCs w:val="21"/>
                      <w:lang w:val="en-US" w:eastAsia="zh-CN"/>
                    </w:rPr>
                    <w:t>136.7</w:t>
                  </w:r>
                </w:p>
              </w:tc>
              <w:tc>
                <w:tcPr>
                  <w:tcW w:w="685" w:type="dxa"/>
                  <w:noWrap w:val="0"/>
                  <w:tcMar>
                    <w:top w:w="0" w:type="dxa"/>
                    <w:left w:w="28" w:type="dxa"/>
                    <w:bottom w:w="0" w:type="dxa"/>
                    <w:right w:w="28" w:type="dxa"/>
                  </w:tcMar>
                  <w:vAlign w:val="center"/>
                </w:tcPr>
                <w:p w14:paraId="5E420585">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eastAsia" w:eastAsia="宋体"/>
                      <w:sz w:val="21"/>
                      <w:szCs w:val="21"/>
                      <w:lang w:eastAsia="zh-CN"/>
                    </w:rPr>
                  </w:pPr>
                  <w:r>
                    <w:rPr>
                      <w:rFonts w:hint="eastAsia"/>
                      <w:sz w:val="21"/>
                      <w:szCs w:val="21"/>
                      <w:lang w:eastAsia="zh-CN"/>
                    </w:rPr>
                    <w:t>超标</w:t>
                  </w:r>
                </w:p>
              </w:tc>
            </w:tr>
            <w:tr w14:paraId="7D75E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746" w:type="dxa"/>
                  <w:noWrap w:val="0"/>
                  <w:tcMar>
                    <w:top w:w="0" w:type="dxa"/>
                    <w:left w:w="28" w:type="dxa"/>
                    <w:bottom w:w="0" w:type="dxa"/>
                    <w:right w:w="28" w:type="dxa"/>
                  </w:tcMar>
                  <w:vAlign w:val="center"/>
                </w:tcPr>
                <w:p w14:paraId="010ED16A">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sz w:val="21"/>
                      <w:szCs w:val="21"/>
                    </w:rPr>
                    <w:t>PM</w:t>
                  </w:r>
                  <w:r>
                    <w:rPr>
                      <w:sz w:val="21"/>
                      <w:szCs w:val="21"/>
                      <w:vertAlign w:val="subscript"/>
                    </w:rPr>
                    <w:t>2.5</w:t>
                  </w:r>
                </w:p>
              </w:tc>
              <w:tc>
                <w:tcPr>
                  <w:tcW w:w="1187" w:type="dxa"/>
                  <w:noWrap w:val="0"/>
                  <w:tcMar>
                    <w:top w:w="0" w:type="dxa"/>
                    <w:left w:w="28" w:type="dxa"/>
                    <w:bottom w:w="0" w:type="dxa"/>
                    <w:right w:w="28" w:type="dxa"/>
                  </w:tcMar>
                  <w:vAlign w:val="center"/>
                </w:tcPr>
                <w:p w14:paraId="1BAFF78B">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sz w:val="21"/>
                      <w:szCs w:val="21"/>
                    </w:rPr>
                    <w:t>年平均质量浓度</w:t>
                  </w:r>
                </w:p>
              </w:tc>
              <w:tc>
                <w:tcPr>
                  <w:tcW w:w="1008" w:type="dxa"/>
                  <w:noWrap w:val="0"/>
                  <w:tcMar>
                    <w:top w:w="0" w:type="dxa"/>
                    <w:left w:w="28" w:type="dxa"/>
                    <w:bottom w:w="0" w:type="dxa"/>
                    <w:right w:w="28" w:type="dxa"/>
                  </w:tcMar>
                  <w:vAlign w:val="center"/>
                </w:tcPr>
                <w:p w14:paraId="302E3E77">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eastAsia="宋体"/>
                      <w:kern w:val="2"/>
                      <w:sz w:val="21"/>
                      <w:szCs w:val="21"/>
                      <w:lang w:val="en-US" w:eastAsia="zh-CN" w:bidi="ar-SA"/>
                    </w:rPr>
                  </w:pPr>
                  <w:r>
                    <w:rPr>
                      <w:rFonts w:hint="eastAsia"/>
                      <w:sz w:val="21"/>
                      <w:szCs w:val="21"/>
                    </w:rPr>
                    <w:t>4</w:t>
                  </w:r>
                  <w:r>
                    <w:rPr>
                      <w:rFonts w:hint="eastAsia"/>
                      <w:sz w:val="21"/>
                      <w:szCs w:val="21"/>
                      <w:lang w:val="en-US" w:eastAsia="zh-CN"/>
                    </w:rPr>
                    <w:t>9</w:t>
                  </w:r>
                </w:p>
              </w:tc>
              <w:tc>
                <w:tcPr>
                  <w:tcW w:w="996" w:type="dxa"/>
                  <w:noWrap w:val="0"/>
                  <w:tcMar>
                    <w:top w:w="0" w:type="dxa"/>
                    <w:left w:w="28" w:type="dxa"/>
                    <w:bottom w:w="0" w:type="dxa"/>
                    <w:right w:w="28" w:type="dxa"/>
                  </w:tcMar>
                  <w:vAlign w:val="center"/>
                </w:tcPr>
                <w:p w14:paraId="00AA2C57">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kern w:val="2"/>
                      <w:sz w:val="21"/>
                      <w:szCs w:val="21"/>
                      <w:lang w:val="en-US" w:eastAsia="zh-CN" w:bidi="ar-SA"/>
                    </w:rPr>
                  </w:pPr>
                  <w:r>
                    <w:rPr>
                      <w:sz w:val="21"/>
                      <w:szCs w:val="21"/>
                    </w:rPr>
                    <w:t>35</w:t>
                  </w:r>
                </w:p>
              </w:tc>
              <w:tc>
                <w:tcPr>
                  <w:tcW w:w="818" w:type="dxa"/>
                  <w:noWrap w:val="0"/>
                  <w:tcMar>
                    <w:top w:w="0" w:type="dxa"/>
                    <w:left w:w="28" w:type="dxa"/>
                    <w:bottom w:w="0" w:type="dxa"/>
                    <w:right w:w="28" w:type="dxa"/>
                  </w:tcMar>
                  <w:vAlign w:val="center"/>
                </w:tcPr>
                <w:p w14:paraId="4FBE72D7">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eastAsia="宋体"/>
                      <w:kern w:val="2"/>
                      <w:sz w:val="21"/>
                      <w:szCs w:val="21"/>
                      <w:lang w:val="en-US" w:eastAsia="zh-CN" w:bidi="ar-SA"/>
                    </w:rPr>
                  </w:pPr>
                  <w:r>
                    <w:rPr>
                      <w:rFonts w:hint="eastAsia"/>
                      <w:sz w:val="21"/>
                      <w:szCs w:val="21"/>
                    </w:rPr>
                    <w:t>1</w:t>
                  </w:r>
                  <w:r>
                    <w:rPr>
                      <w:rFonts w:hint="eastAsia"/>
                      <w:sz w:val="21"/>
                      <w:szCs w:val="21"/>
                      <w:lang w:val="en-US" w:eastAsia="zh-CN"/>
                    </w:rPr>
                    <w:t>40</w:t>
                  </w:r>
                </w:p>
              </w:tc>
              <w:tc>
                <w:tcPr>
                  <w:tcW w:w="654" w:type="dxa"/>
                  <w:noWrap w:val="0"/>
                  <w:tcMar>
                    <w:top w:w="0" w:type="dxa"/>
                    <w:left w:w="28" w:type="dxa"/>
                    <w:bottom w:w="0" w:type="dxa"/>
                    <w:right w:w="28" w:type="dxa"/>
                  </w:tcMar>
                  <w:vAlign w:val="center"/>
                </w:tcPr>
                <w:p w14:paraId="1D174953">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rFonts w:hint="eastAsia"/>
                      <w:sz w:val="21"/>
                      <w:szCs w:val="21"/>
                    </w:rPr>
                    <w:t>超标</w:t>
                  </w:r>
                </w:p>
              </w:tc>
              <w:tc>
                <w:tcPr>
                  <w:tcW w:w="1100" w:type="dxa"/>
                  <w:noWrap w:val="0"/>
                  <w:tcMar>
                    <w:top w:w="0" w:type="dxa"/>
                    <w:left w:w="28" w:type="dxa"/>
                    <w:bottom w:w="0" w:type="dxa"/>
                    <w:right w:w="28" w:type="dxa"/>
                  </w:tcMar>
                  <w:vAlign w:val="center"/>
                </w:tcPr>
                <w:p w14:paraId="1B801767">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eastAsia" w:eastAsia="宋体"/>
                      <w:sz w:val="21"/>
                      <w:szCs w:val="21"/>
                      <w:lang w:val="en-US" w:eastAsia="zh-CN"/>
                    </w:rPr>
                  </w:pPr>
                  <w:r>
                    <w:rPr>
                      <w:sz w:val="21"/>
                      <w:szCs w:val="21"/>
                    </w:rPr>
                    <w:t>3</w:t>
                  </w:r>
                  <w:r>
                    <w:rPr>
                      <w:rFonts w:hint="eastAsia"/>
                      <w:sz w:val="21"/>
                      <w:szCs w:val="21"/>
                      <w:lang w:val="en-US" w:eastAsia="zh-CN"/>
                    </w:rPr>
                    <w:t>0</w:t>
                  </w:r>
                </w:p>
              </w:tc>
              <w:tc>
                <w:tcPr>
                  <w:tcW w:w="850" w:type="dxa"/>
                  <w:noWrap w:val="0"/>
                  <w:tcMar>
                    <w:top w:w="0" w:type="dxa"/>
                    <w:left w:w="28" w:type="dxa"/>
                    <w:bottom w:w="0" w:type="dxa"/>
                    <w:right w:w="28" w:type="dxa"/>
                  </w:tcMar>
                  <w:vAlign w:val="center"/>
                </w:tcPr>
                <w:p w14:paraId="36AA9009">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eastAsia="宋体"/>
                      <w:sz w:val="21"/>
                      <w:szCs w:val="21"/>
                      <w:lang w:val="en-US" w:eastAsia="zh-CN"/>
                    </w:rPr>
                  </w:pPr>
                  <w:r>
                    <w:rPr>
                      <w:rFonts w:hint="eastAsia"/>
                      <w:sz w:val="21"/>
                      <w:szCs w:val="21"/>
                      <w:lang w:val="en-US" w:eastAsia="zh-CN"/>
                    </w:rPr>
                    <w:t>163.3</w:t>
                  </w:r>
                </w:p>
              </w:tc>
              <w:tc>
                <w:tcPr>
                  <w:tcW w:w="685" w:type="dxa"/>
                  <w:noWrap w:val="0"/>
                  <w:tcMar>
                    <w:top w:w="0" w:type="dxa"/>
                    <w:left w:w="28" w:type="dxa"/>
                    <w:bottom w:w="0" w:type="dxa"/>
                    <w:right w:w="28" w:type="dxa"/>
                  </w:tcMar>
                  <w:vAlign w:val="center"/>
                </w:tcPr>
                <w:p w14:paraId="40D64D9D">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eastAsia" w:eastAsia="宋体"/>
                      <w:sz w:val="21"/>
                      <w:szCs w:val="21"/>
                      <w:lang w:eastAsia="zh-CN"/>
                    </w:rPr>
                  </w:pPr>
                  <w:r>
                    <w:rPr>
                      <w:rFonts w:hint="eastAsia"/>
                      <w:sz w:val="21"/>
                      <w:szCs w:val="21"/>
                      <w:lang w:eastAsia="zh-CN"/>
                    </w:rPr>
                    <w:t>超标</w:t>
                  </w:r>
                </w:p>
              </w:tc>
            </w:tr>
            <w:tr w14:paraId="58160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746" w:type="dxa"/>
                  <w:noWrap w:val="0"/>
                  <w:tcMar>
                    <w:top w:w="0" w:type="dxa"/>
                    <w:left w:w="28" w:type="dxa"/>
                    <w:bottom w:w="0" w:type="dxa"/>
                    <w:right w:w="28" w:type="dxa"/>
                  </w:tcMar>
                  <w:vAlign w:val="center"/>
                </w:tcPr>
                <w:p w14:paraId="391301C9">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sz w:val="21"/>
                      <w:szCs w:val="21"/>
                    </w:rPr>
                    <w:t>SO</w:t>
                  </w:r>
                  <w:r>
                    <w:rPr>
                      <w:sz w:val="21"/>
                      <w:szCs w:val="21"/>
                      <w:vertAlign w:val="subscript"/>
                    </w:rPr>
                    <w:t>2</w:t>
                  </w:r>
                </w:p>
              </w:tc>
              <w:tc>
                <w:tcPr>
                  <w:tcW w:w="1187" w:type="dxa"/>
                  <w:noWrap w:val="0"/>
                  <w:tcMar>
                    <w:top w:w="0" w:type="dxa"/>
                    <w:left w:w="28" w:type="dxa"/>
                    <w:bottom w:w="0" w:type="dxa"/>
                    <w:right w:w="28" w:type="dxa"/>
                  </w:tcMar>
                  <w:vAlign w:val="center"/>
                </w:tcPr>
                <w:p w14:paraId="71C8EE3E">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sz w:val="21"/>
                      <w:szCs w:val="21"/>
                    </w:rPr>
                    <w:t>年平均质量浓度</w:t>
                  </w:r>
                </w:p>
              </w:tc>
              <w:tc>
                <w:tcPr>
                  <w:tcW w:w="1008" w:type="dxa"/>
                  <w:noWrap w:val="0"/>
                  <w:tcMar>
                    <w:top w:w="0" w:type="dxa"/>
                    <w:left w:w="28" w:type="dxa"/>
                    <w:bottom w:w="0" w:type="dxa"/>
                    <w:right w:w="28" w:type="dxa"/>
                  </w:tcMar>
                  <w:vAlign w:val="center"/>
                </w:tcPr>
                <w:p w14:paraId="18110813">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eastAsia="宋体"/>
                      <w:kern w:val="2"/>
                      <w:sz w:val="21"/>
                      <w:szCs w:val="21"/>
                      <w:lang w:val="en-US" w:eastAsia="zh-CN" w:bidi="ar-SA"/>
                    </w:rPr>
                  </w:pPr>
                  <w:r>
                    <w:rPr>
                      <w:rFonts w:hint="eastAsia"/>
                      <w:sz w:val="21"/>
                      <w:szCs w:val="21"/>
                      <w:lang w:val="en-US" w:eastAsia="zh-CN"/>
                    </w:rPr>
                    <w:t>8</w:t>
                  </w:r>
                </w:p>
              </w:tc>
              <w:tc>
                <w:tcPr>
                  <w:tcW w:w="996" w:type="dxa"/>
                  <w:noWrap w:val="0"/>
                  <w:tcMar>
                    <w:top w:w="0" w:type="dxa"/>
                    <w:left w:w="28" w:type="dxa"/>
                    <w:bottom w:w="0" w:type="dxa"/>
                    <w:right w:w="28" w:type="dxa"/>
                  </w:tcMar>
                  <w:vAlign w:val="center"/>
                </w:tcPr>
                <w:p w14:paraId="6B401CE0">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kern w:val="2"/>
                      <w:sz w:val="21"/>
                      <w:szCs w:val="21"/>
                      <w:lang w:val="en-US" w:eastAsia="zh-CN" w:bidi="ar-SA"/>
                    </w:rPr>
                  </w:pPr>
                  <w:r>
                    <w:rPr>
                      <w:sz w:val="21"/>
                      <w:szCs w:val="21"/>
                    </w:rPr>
                    <w:t>60</w:t>
                  </w:r>
                </w:p>
              </w:tc>
              <w:tc>
                <w:tcPr>
                  <w:tcW w:w="818" w:type="dxa"/>
                  <w:noWrap w:val="0"/>
                  <w:tcMar>
                    <w:top w:w="0" w:type="dxa"/>
                    <w:left w:w="28" w:type="dxa"/>
                    <w:bottom w:w="0" w:type="dxa"/>
                    <w:right w:w="28" w:type="dxa"/>
                  </w:tcMar>
                  <w:vAlign w:val="center"/>
                </w:tcPr>
                <w:p w14:paraId="0EF9031A">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eastAsia="宋体"/>
                      <w:kern w:val="2"/>
                      <w:sz w:val="21"/>
                      <w:szCs w:val="21"/>
                      <w:lang w:val="en-US" w:eastAsia="zh-CN" w:bidi="ar-SA"/>
                    </w:rPr>
                  </w:pPr>
                  <w:r>
                    <w:rPr>
                      <w:rFonts w:hint="eastAsia"/>
                      <w:sz w:val="21"/>
                      <w:szCs w:val="21"/>
                    </w:rPr>
                    <w:t>1</w:t>
                  </w:r>
                  <w:r>
                    <w:rPr>
                      <w:rFonts w:hint="eastAsia"/>
                      <w:sz w:val="21"/>
                      <w:szCs w:val="21"/>
                      <w:lang w:val="en-US" w:eastAsia="zh-CN"/>
                    </w:rPr>
                    <w:t>3</w:t>
                  </w:r>
                </w:p>
              </w:tc>
              <w:tc>
                <w:tcPr>
                  <w:tcW w:w="654" w:type="dxa"/>
                  <w:noWrap w:val="0"/>
                  <w:tcMar>
                    <w:top w:w="0" w:type="dxa"/>
                    <w:left w:w="28" w:type="dxa"/>
                    <w:bottom w:w="0" w:type="dxa"/>
                    <w:right w:w="28" w:type="dxa"/>
                  </w:tcMar>
                  <w:vAlign w:val="center"/>
                </w:tcPr>
                <w:p w14:paraId="5E2B4C3F">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rFonts w:hint="eastAsia"/>
                      <w:sz w:val="21"/>
                      <w:szCs w:val="21"/>
                    </w:rPr>
                    <w:t>达标</w:t>
                  </w:r>
                </w:p>
              </w:tc>
              <w:tc>
                <w:tcPr>
                  <w:tcW w:w="1100" w:type="dxa"/>
                  <w:noWrap w:val="0"/>
                  <w:tcMar>
                    <w:top w:w="0" w:type="dxa"/>
                    <w:left w:w="28" w:type="dxa"/>
                    <w:bottom w:w="0" w:type="dxa"/>
                    <w:right w:w="28" w:type="dxa"/>
                  </w:tcMar>
                  <w:vAlign w:val="center"/>
                </w:tcPr>
                <w:p w14:paraId="636FC669">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eastAsia"/>
                      <w:sz w:val="21"/>
                      <w:szCs w:val="21"/>
                    </w:rPr>
                  </w:pPr>
                  <w:r>
                    <w:rPr>
                      <w:sz w:val="21"/>
                      <w:szCs w:val="21"/>
                    </w:rPr>
                    <w:t>60</w:t>
                  </w:r>
                </w:p>
              </w:tc>
              <w:tc>
                <w:tcPr>
                  <w:tcW w:w="850" w:type="dxa"/>
                  <w:noWrap w:val="0"/>
                  <w:tcMar>
                    <w:top w:w="0" w:type="dxa"/>
                    <w:left w:w="28" w:type="dxa"/>
                    <w:bottom w:w="0" w:type="dxa"/>
                    <w:right w:w="28" w:type="dxa"/>
                  </w:tcMar>
                  <w:vAlign w:val="center"/>
                </w:tcPr>
                <w:p w14:paraId="04143F0F">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eastAsia="宋体"/>
                      <w:sz w:val="21"/>
                      <w:szCs w:val="21"/>
                      <w:lang w:val="en-US" w:eastAsia="zh-CN"/>
                    </w:rPr>
                  </w:pPr>
                  <w:r>
                    <w:rPr>
                      <w:rFonts w:hint="eastAsia"/>
                      <w:sz w:val="21"/>
                      <w:szCs w:val="21"/>
                      <w:lang w:val="en-US" w:eastAsia="zh-CN"/>
                    </w:rPr>
                    <w:t>13</w:t>
                  </w:r>
                </w:p>
              </w:tc>
              <w:tc>
                <w:tcPr>
                  <w:tcW w:w="685" w:type="dxa"/>
                  <w:noWrap w:val="0"/>
                  <w:tcMar>
                    <w:top w:w="0" w:type="dxa"/>
                    <w:left w:w="28" w:type="dxa"/>
                    <w:bottom w:w="0" w:type="dxa"/>
                    <w:right w:w="28" w:type="dxa"/>
                  </w:tcMar>
                  <w:vAlign w:val="center"/>
                </w:tcPr>
                <w:p w14:paraId="789F1DEF">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eastAsia" w:eastAsia="宋体"/>
                      <w:sz w:val="21"/>
                      <w:szCs w:val="21"/>
                      <w:lang w:eastAsia="zh-CN"/>
                    </w:rPr>
                  </w:pPr>
                  <w:r>
                    <w:rPr>
                      <w:rFonts w:hint="eastAsia"/>
                      <w:sz w:val="21"/>
                      <w:szCs w:val="21"/>
                      <w:lang w:eastAsia="zh-CN"/>
                    </w:rPr>
                    <w:t>达标</w:t>
                  </w:r>
                </w:p>
              </w:tc>
            </w:tr>
            <w:tr w14:paraId="1AF7B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746" w:type="dxa"/>
                  <w:noWrap w:val="0"/>
                  <w:tcMar>
                    <w:top w:w="0" w:type="dxa"/>
                    <w:left w:w="28" w:type="dxa"/>
                    <w:bottom w:w="0" w:type="dxa"/>
                    <w:right w:w="28" w:type="dxa"/>
                  </w:tcMar>
                  <w:vAlign w:val="center"/>
                </w:tcPr>
                <w:p w14:paraId="330FA925">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sz w:val="21"/>
                      <w:szCs w:val="21"/>
                    </w:rPr>
                    <w:t>NO</w:t>
                  </w:r>
                  <w:r>
                    <w:rPr>
                      <w:sz w:val="21"/>
                      <w:szCs w:val="21"/>
                      <w:vertAlign w:val="subscript"/>
                    </w:rPr>
                    <w:t>2</w:t>
                  </w:r>
                </w:p>
              </w:tc>
              <w:tc>
                <w:tcPr>
                  <w:tcW w:w="1187" w:type="dxa"/>
                  <w:noWrap w:val="0"/>
                  <w:tcMar>
                    <w:top w:w="0" w:type="dxa"/>
                    <w:left w:w="28" w:type="dxa"/>
                    <w:bottom w:w="0" w:type="dxa"/>
                    <w:right w:w="28" w:type="dxa"/>
                  </w:tcMar>
                  <w:vAlign w:val="center"/>
                </w:tcPr>
                <w:p w14:paraId="441FDDB2">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sz w:val="21"/>
                      <w:szCs w:val="21"/>
                    </w:rPr>
                    <w:t>年平均质量浓度</w:t>
                  </w:r>
                </w:p>
              </w:tc>
              <w:tc>
                <w:tcPr>
                  <w:tcW w:w="1008" w:type="dxa"/>
                  <w:noWrap w:val="0"/>
                  <w:tcMar>
                    <w:top w:w="0" w:type="dxa"/>
                    <w:left w:w="28" w:type="dxa"/>
                    <w:bottom w:w="0" w:type="dxa"/>
                    <w:right w:w="28" w:type="dxa"/>
                  </w:tcMar>
                  <w:vAlign w:val="center"/>
                </w:tcPr>
                <w:p w14:paraId="5AFC2CA4">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eastAsia="宋体"/>
                      <w:kern w:val="2"/>
                      <w:sz w:val="21"/>
                      <w:szCs w:val="21"/>
                      <w:lang w:val="en-US" w:eastAsia="zh-CN" w:bidi="ar-SA"/>
                    </w:rPr>
                  </w:pPr>
                  <w:r>
                    <w:rPr>
                      <w:rFonts w:hint="eastAsia"/>
                      <w:sz w:val="21"/>
                      <w:szCs w:val="21"/>
                      <w:lang w:val="en-US" w:eastAsia="zh-CN"/>
                    </w:rPr>
                    <w:t>27</w:t>
                  </w:r>
                </w:p>
              </w:tc>
              <w:tc>
                <w:tcPr>
                  <w:tcW w:w="996" w:type="dxa"/>
                  <w:noWrap w:val="0"/>
                  <w:tcMar>
                    <w:top w:w="0" w:type="dxa"/>
                    <w:left w:w="28" w:type="dxa"/>
                    <w:bottom w:w="0" w:type="dxa"/>
                    <w:right w:w="28" w:type="dxa"/>
                  </w:tcMar>
                  <w:vAlign w:val="center"/>
                </w:tcPr>
                <w:p w14:paraId="31B4D793">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kern w:val="2"/>
                      <w:sz w:val="21"/>
                      <w:szCs w:val="21"/>
                      <w:lang w:val="en-US" w:eastAsia="zh-CN" w:bidi="ar-SA"/>
                    </w:rPr>
                  </w:pPr>
                  <w:r>
                    <w:rPr>
                      <w:sz w:val="21"/>
                      <w:szCs w:val="21"/>
                    </w:rPr>
                    <w:t>40</w:t>
                  </w:r>
                </w:p>
              </w:tc>
              <w:tc>
                <w:tcPr>
                  <w:tcW w:w="818" w:type="dxa"/>
                  <w:noWrap w:val="0"/>
                  <w:tcMar>
                    <w:top w:w="0" w:type="dxa"/>
                    <w:left w:w="28" w:type="dxa"/>
                    <w:bottom w:w="0" w:type="dxa"/>
                    <w:right w:w="28" w:type="dxa"/>
                  </w:tcMar>
                  <w:vAlign w:val="center"/>
                </w:tcPr>
                <w:p w14:paraId="27CB75CF">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eastAsia="宋体"/>
                      <w:kern w:val="2"/>
                      <w:sz w:val="21"/>
                      <w:szCs w:val="21"/>
                      <w:lang w:val="en-US" w:eastAsia="zh-CN" w:bidi="ar-SA"/>
                    </w:rPr>
                  </w:pPr>
                  <w:r>
                    <w:rPr>
                      <w:rFonts w:hint="eastAsia"/>
                      <w:sz w:val="21"/>
                      <w:szCs w:val="21"/>
                      <w:lang w:val="en-US" w:eastAsia="zh-CN"/>
                    </w:rPr>
                    <w:t>67.5</w:t>
                  </w:r>
                </w:p>
              </w:tc>
              <w:tc>
                <w:tcPr>
                  <w:tcW w:w="654" w:type="dxa"/>
                  <w:noWrap w:val="0"/>
                  <w:tcMar>
                    <w:top w:w="0" w:type="dxa"/>
                    <w:left w:w="28" w:type="dxa"/>
                    <w:bottom w:w="0" w:type="dxa"/>
                    <w:right w:w="28" w:type="dxa"/>
                  </w:tcMar>
                  <w:vAlign w:val="center"/>
                </w:tcPr>
                <w:p w14:paraId="1EF8418B">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rFonts w:hint="eastAsia"/>
                      <w:sz w:val="21"/>
                      <w:szCs w:val="21"/>
                    </w:rPr>
                    <w:t>达标</w:t>
                  </w:r>
                </w:p>
              </w:tc>
              <w:tc>
                <w:tcPr>
                  <w:tcW w:w="1100" w:type="dxa"/>
                  <w:noWrap w:val="0"/>
                  <w:tcMar>
                    <w:top w:w="0" w:type="dxa"/>
                    <w:left w:w="28" w:type="dxa"/>
                    <w:bottom w:w="0" w:type="dxa"/>
                    <w:right w:w="28" w:type="dxa"/>
                  </w:tcMar>
                  <w:vAlign w:val="center"/>
                </w:tcPr>
                <w:p w14:paraId="03BFCFE7">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eastAsia"/>
                      <w:sz w:val="21"/>
                      <w:szCs w:val="21"/>
                    </w:rPr>
                  </w:pPr>
                  <w:r>
                    <w:rPr>
                      <w:sz w:val="21"/>
                      <w:szCs w:val="21"/>
                    </w:rPr>
                    <w:t>40</w:t>
                  </w:r>
                </w:p>
              </w:tc>
              <w:tc>
                <w:tcPr>
                  <w:tcW w:w="850" w:type="dxa"/>
                  <w:noWrap w:val="0"/>
                  <w:tcMar>
                    <w:top w:w="0" w:type="dxa"/>
                    <w:left w:w="28" w:type="dxa"/>
                    <w:bottom w:w="0" w:type="dxa"/>
                    <w:right w:w="28" w:type="dxa"/>
                  </w:tcMar>
                  <w:vAlign w:val="center"/>
                </w:tcPr>
                <w:p w14:paraId="473947A7">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eastAsia="宋体"/>
                      <w:sz w:val="21"/>
                      <w:szCs w:val="21"/>
                      <w:lang w:val="en-US" w:eastAsia="zh-CN"/>
                    </w:rPr>
                  </w:pPr>
                  <w:r>
                    <w:rPr>
                      <w:rFonts w:hint="eastAsia"/>
                      <w:sz w:val="21"/>
                      <w:szCs w:val="21"/>
                      <w:lang w:val="en-US" w:eastAsia="zh-CN"/>
                    </w:rPr>
                    <w:t>67.5</w:t>
                  </w:r>
                </w:p>
              </w:tc>
              <w:tc>
                <w:tcPr>
                  <w:tcW w:w="685" w:type="dxa"/>
                  <w:noWrap w:val="0"/>
                  <w:tcMar>
                    <w:top w:w="0" w:type="dxa"/>
                    <w:left w:w="28" w:type="dxa"/>
                    <w:bottom w:w="0" w:type="dxa"/>
                    <w:right w:w="28" w:type="dxa"/>
                  </w:tcMar>
                  <w:vAlign w:val="center"/>
                </w:tcPr>
                <w:p w14:paraId="0C3F7F16">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eastAsia" w:eastAsia="宋体"/>
                      <w:sz w:val="21"/>
                      <w:szCs w:val="21"/>
                      <w:lang w:eastAsia="zh-CN"/>
                    </w:rPr>
                  </w:pPr>
                  <w:r>
                    <w:rPr>
                      <w:rFonts w:hint="eastAsia"/>
                      <w:sz w:val="21"/>
                      <w:szCs w:val="21"/>
                      <w:lang w:eastAsia="zh-CN"/>
                    </w:rPr>
                    <w:t>达标</w:t>
                  </w:r>
                </w:p>
              </w:tc>
            </w:tr>
            <w:tr w14:paraId="4ADBD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746" w:type="dxa"/>
                  <w:noWrap w:val="0"/>
                  <w:tcMar>
                    <w:top w:w="0" w:type="dxa"/>
                    <w:left w:w="28" w:type="dxa"/>
                    <w:bottom w:w="0" w:type="dxa"/>
                    <w:right w:w="28" w:type="dxa"/>
                  </w:tcMar>
                  <w:vAlign w:val="center"/>
                </w:tcPr>
                <w:p w14:paraId="6F5D1253">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sz w:val="21"/>
                      <w:szCs w:val="21"/>
                    </w:rPr>
                    <w:t>CO</w:t>
                  </w:r>
                </w:p>
              </w:tc>
              <w:tc>
                <w:tcPr>
                  <w:tcW w:w="1187" w:type="dxa"/>
                  <w:noWrap w:val="0"/>
                  <w:tcMar>
                    <w:top w:w="0" w:type="dxa"/>
                    <w:left w:w="28" w:type="dxa"/>
                    <w:bottom w:w="0" w:type="dxa"/>
                    <w:right w:w="28" w:type="dxa"/>
                  </w:tcMar>
                  <w:vAlign w:val="center"/>
                </w:tcPr>
                <w:p w14:paraId="6DBF2EF3">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sz w:val="21"/>
                      <w:szCs w:val="21"/>
                    </w:rPr>
                    <w:t>第95百分位浓度</w:t>
                  </w:r>
                </w:p>
              </w:tc>
              <w:tc>
                <w:tcPr>
                  <w:tcW w:w="1008" w:type="dxa"/>
                  <w:noWrap w:val="0"/>
                  <w:tcMar>
                    <w:top w:w="0" w:type="dxa"/>
                    <w:left w:w="28" w:type="dxa"/>
                    <w:bottom w:w="0" w:type="dxa"/>
                    <w:right w:w="28" w:type="dxa"/>
                  </w:tcMar>
                  <w:vAlign w:val="center"/>
                </w:tcPr>
                <w:p w14:paraId="399B1C1A">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kern w:val="2"/>
                      <w:sz w:val="21"/>
                      <w:szCs w:val="21"/>
                      <w:lang w:val="en-US" w:eastAsia="zh-CN" w:bidi="ar-SA"/>
                    </w:rPr>
                  </w:pPr>
                  <w:r>
                    <w:rPr>
                      <w:sz w:val="21"/>
                      <w:szCs w:val="21"/>
                    </w:rPr>
                    <w:t>1.</w:t>
                  </w:r>
                  <w:r>
                    <w:rPr>
                      <w:rFonts w:hint="eastAsia"/>
                      <w:sz w:val="21"/>
                      <w:szCs w:val="21"/>
                      <w:lang w:val="en-US" w:eastAsia="zh-CN"/>
                    </w:rPr>
                    <w:t>3</w:t>
                  </w:r>
                  <w:r>
                    <w:rPr>
                      <w:sz w:val="21"/>
                      <w:szCs w:val="21"/>
                    </w:rPr>
                    <w:t>mg/m</w:t>
                  </w:r>
                  <w:r>
                    <w:rPr>
                      <w:sz w:val="21"/>
                      <w:szCs w:val="21"/>
                      <w:vertAlign w:val="superscript"/>
                    </w:rPr>
                    <w:t>3</w:t>
                  </w:r>
                </w:p>
              </w:tc>
              <w:tc>
                <w:tcPr>
                  <w:tcW w:w="996" w:type="dxa"/>
                  <w:noWrap w:val="0"/>
                  <w:tcMar>
                    <w:top w:w="0" w:type="dxa"/>
                    <w:left w:w="28" w:type="dxa"/>
                    <w:bottom w:w="0" w:type="dxa"/>
                    <w:right w:w="28" w:type="dxa"/>
                  </w:tcMar>
                  <w:vAlign w:val="center"/>
                </w:tcPr>
                <w:p w14:paraId="1356EE8B">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kern w:val="2"/>
                      <w:sz w:val="21"/>
                      <w:szCs w:val="21"/>
                      <w:lang w:val="en-US" w:eastAsia="zh-CN" w:bidi="ar-SA"/>
                    </w:rPr>
                  </w:pPr>
                  <w:r>
                    <w:rPr>
                      <w:sz w:val="21"/>
                      <w:szCs w:val="21"/>
                    </w:rPr>
                    <w:t>4mg/m</w:t>
                  </w:r>
                  <w:r>
                    <w:rPr>
                      <w:sz w:val="21"/>
                      <w:szCs w:val="21"/>
                      <w:vertAlign w:val="superscript"/>
                    </w:rPr>
                    <w:t>3</w:t>
                  </w:r>
                </w:p>
              </w:tc>
              <w:tc>
                <w:tcPr>
                  <w:tcW w:w="818" w:type="dxa"/>
                  <w:noWrap w:val="0"/>
                  <w:tcMar>
                    <w:top w:w="0" w:type="dxa"/>
                    <w:left w:w="28" w:type="dxa"/>
                    <w:bottom w:w="0" w:type="dxa"/>
                    <w:right w:w="28" w:type="dxa"/>
                  </w:tcMar>
                  <w:vAlign w:val="center"/>
                </w:tcPr>
                <w:p w14:paraId="6DF97729">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kern w:val="2"/>
                      <w:sz w:val="21"/>
                      <w:szCs w:val="21"/>
                      <w:lang w:val="en-US" w:eastAsia="zh-CN" w:bidi="ar-SA"/>
                    </w:rPr>
                  </w:pPr>
                  <w:r>
                    <w:rPr>
                      <w:rFonts w:hint="eastAsia"/>
                      <w:sz w:val="21"/>
                      <w:szCs w:val="21"/>
                    </w:rPr>
                    <w:t>3</w:t>
                  </w:r>
                  <w:r>
                    <w:rPr>
                      <w:rFonts w:hint="eastAsia"/>
                      <w:sz w:val="21"/>
                      <w:szCs w:val="21"/>
                      <w:lang w:val="en-US" w:eastAsia="zh-CN"/>
                    </w:rPr>
                    <w:t>2.</w:t>
                  </w:r>
                  <w:r>
                    <w:rPr>
                      <w:rFonts w:hint="eastAsia"/>
                      <w:sz w:val="21"/>
                      <w:szCs w:val="21"/>
                    </w:rPr>
                    <w:t>5</w:t>
                  </w:r>
                </w:p>
              </w:tc>
              <w:tc>
                <w:tcPr>
                  <w:tcW w:w="654" w:type="dxa"/>
                  <w:noWrap w:val="0"/>
                  <w:tcMar>
                    <w:top w:w="0" w:type="dxa"/>
                    <w:left w:w="28" w:type="dxa"/>
                    <w:bottom w:w="0" w:type="dxa"/>
                    <w:right w:w="28" w:type="dxa"/>
                  </w:tcMar>
                  <w:vAlign w:val="center"/>
                </w:tcPr>
                <w:p w14:paraId="1D5635D3">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rFonts w:hint="eastAsia"/>
                      <w:sz w:val="21"/>
                      <w:szCs w:val="21"/>
                    </w:rPr>
                    <w:t>达标</w:t>
                  </w:r>
                </w:p>
              </w:tc>
              <w:tc>
                <w:tcPr>
                  <w:tcW w:w="1100" w:type="dxa"/>
                  <w:noWrap w:val="0"/>
                  <w:tcMar>
                    <w:top w:w="0" w:type="dxa"/>
                    <w:left w:w="28" w:type="dxa"/>
                    <w:bottom w:w="0" w:type="dxa"/>
                    <w:right w:w="28" w:type="dxa"/>
                  </w:tcMar>
                  <w:vAlign w:val="center"/>
                </w:tcPr>
                <w:p w14:paraId="103AC533">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eastAsia"/>
                      <w:sz w:val="21"/>
                      <w:szCs w:val="21"/>
                    </w:rPr>
                  </w:pPr>
                  <w:r>
                    <w:rPr>
                      <w:sz w:val="21"/>
                      <w:szCs w:val="21"/>
                    </w:rPr>
                    <w:t>4mg/m</w:t>
                  </w:r>
                  <w:r>
                    <w:rPr>
                      <w:sz w:val="21"/>
                      <w:szCs w:val="21"/>
                      <w:vertAlign w:val="superscript"/>
                    </w:rPr>
                    <w:t>3</w:t>
                  </w:r>
                </w:p>
              </w:tc>
              <w:tc>
                <w:tcPr>
                  <w:tcW w:w="850" w:type="dxa"/>
                  <w:noWrap w:val="0"/>
                  <w:tcMar>
                    <w:top w:w="0" w:type="dxa"/>
                    <w:left w:w="28" w:type="dxa"/>
                    <w:bottom w:w="0" w:type="dxa"/>
                    <w:right w:w="28" w:type="dxa"/>
                  </w:tcMar>
                  <w:vAlign w:val="center"/>
                </w:tcPr>
                <w:p w14:paraId="66B74198">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eastAsia="宋体"/>
                      <w:sz w:val="21"/>
                      <w:szCs w:val="21"/>
                      <w:lang w:val="en-US" w:eastAsia="zh-CN"/>
                    </w:rPr>
                  </w:pPr>
                  <w:r>
                    <w:rPr>
                      <w:rFonts w:hint="eastAsia"/>
                      <w:sz w:val="21"/>
                      <w:szCs w:val="21"/>
                      <w:lang w:val="en-US" w:eastAsia="zh-CN"/>
                    </w:rPr>
                    <w:t>32.5</w:t>
                  </w:r>
                </w:p>
              </w:tc>
              <w:tc>
                <w:tcPr>
                  <w:tcW w:w="685" w:type="dxa"/>
                  <w:noWrap w:val="0"/>
                  <w:tcMar>
                    <w:top w:w="0" w:type="dxa"/>
                    <w:left w:w="28" w:type="dxa"/>
                    <w:bottom w:w="0" w:type="dxa"/>
                    <w:right w:w="28" w:type="dxa"/>
                  </w:tcMar>
                  <w:vAlign w:val="center"/>
                </w:tcPr>
                <w:p w14:paraId="4C13F748">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eastAsia" w:eastAsia="宋体"/>
                      <w:sz w:val="21"/>
                      <w:szCs w:val="21"/>
                      <w:lang w:eastAsia="zh-CN"/>
                    </w:rPr>
                  </w:pPr>
                  <w:r>
                    <w:rPr>
                      <w:rFonts w:hint="eastAsia"/>
                      <w:sz w:val="21"/>
                      <w:szCs w:val="21"/>
                      <w:lang w:eastAsia="zh-CN"/>
                    </w:rPr>
                    <w:t>达标</w:t>
                  </w:r>
                </w:p>
              </w:tc>
            </w:tr>
            <w:tr w14:paraId="24B2B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97" w:hRule="atLeast"/>
                <w:jc w:val="center"/>
              </w:trPr>
              <w:tc>
                <w:tcPr>
                  <w:tcW w:w="746" w:type="dxa"/>
                  <w:noWrap w:val="0"/>
                  <w:tcMar>
                    <w:top w:w="0" w:type="dxa"/>
                    <w:left w:w="28" w:type="dxa"/>
                    <w:bottom w:w="0" w:type="dxa"/>
                    <w:right w:w="28" w:type="dxa"/>
                  </w:tcMar>
                  <w:vAlign w:val="center"/>
                </w:tcPr>
                <w:p w14:paraId="3A391140">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sz w:val="21"/>
                      <w:szCs w:val="21"/>
                    </w:rPr>
                    <w:t>O</w:t>
                  </w:r>
                  <w:r>
                    <w:rPr>
                      <w:sz w:val="21"/>
                      <w:szCs w:val="21"/>
                      <w:vertAlign w:val="subscript"/>
                    </w:rPr>
                    <w:t>3</w:t>
                  </w:r>
                </w:p>
              </w:tc>
              <w:tc>
                <w:tcPr>
                  <w:tcW w:w="1187" w:type="dxa"/>
                  <w:noWrap w:val="0"/>
                  <w:tcMar>
                    <w:top w:w="0" w:type="dxa"/>
                    <w:left w:w="28" w:type="dxa"/>
                    <w:bottom w:w="0" w:type="dxa"/>
                    <w:right w:w="28" w:type="dxa"/>
                  </w:tcMar>
                  <w:vAlign w:val="center"/>
                </w:tcPr>
                <w:p w14:paraId="526F56C3">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sz w:val="21"/>
                      <w:szCs w:val="21"/>
                    </w:rPr>
                    <w:t>第90百分位浓度</w:t>
                  </w:r>
                </w:p>
              </w:tc>
              <w:tc>
                <w:tcPr>
                  <w:tcW w:w="1008" w:type="dxa"/>
                  <w:noWrap w:val="0"/>
                  <w:tcMar>
                    <w:top w:w="0" w:type="dxa"/>
                    <w:left w:w="28" w:type="dxa"/>
                    <w:bottom w:w="0" w:type="dxa"/>
                    <w:right w:w="28" w:type="dxa"/>
                  </w:tcMar>
                  <w:vAlign w:val="center"/>
                </w:tcPr>
                <w:p w14:paraId="54F54FEE">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kern w:val="2"/>
                      <w:sz w:val="21"/>
                      <w:szCs w:val="21"/>
                      <w:lang w:val="en-US" w:eastAsia="zh-CN" w:bidi="ar-SA"/>
                    </w:rPr>
                  </w:pPr>
                  <w:r>
                    <w:rPr>
                      <w:sz w:val="21"/>
                      <w:szCs w:val="21"/>
                    </w:rPr>
                    <w:t>18</w:t>
                  </w:r>
                  <w:r>
                    <w:rPr>
                      <w:rFonts w:hint="eastAsia"/>
                      <w:sz w:val="21"/>
                      <w:szCs w:val="21"/>
                    </w:rPr>
                    <w:t>3</w:t>
                  </w:r>
                </w:p>
              </w:tc>
              <w:tc>
                <w:tcPr>
                  <w:tcW w:w="996" w:type="dxa"/>
                  <w:noWrap w:val="0"/>
                  <w:tcMar>
                    <w:top w:w="0" w:type="dxa"/>
                    <w:left w:w="28" w:type="dxa"/>
                    <w:bottom w:w="0" w:type="dxa"/>
                    <w:right w:w="28" w:type="dxa"/>
                  </w:tcMar>
                  <w:vAlign w:val="center"/>
                </w:tcPr>
                <w:p w14:paraId="1268ECEF">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kern w:val="2"/>
                      <w:sz w:val="21"/>
                      <w:szCs w:val="21"/>
                      <w:lang w:val="en-US" w:eastAsia="zh-CN" w:bidi="ar-SA"/>
                    </w:rPr>
                  </w:pPr>
                  <w:r>
                    <w:rPr>
                      <w:sz w:val="21"/>
                      <w:szCs w:val="21"/>
                    </w:rPr>
                    <w:t>160</w:t>
                  </w:r>
                </w:p>
              </w:tc>
              <w:tc>
                <w:tcPr>
                  <w:tcW w:w="818" w:type="dxa"/>
                  <w:noWrap w:val="0"/>
                  <w:tcMar>
                    <w:top w:w="0" w:type="dxa"/>
                    <w:left w:w="28" w:type="dxa"/>
                    <w:bottom w:w="0" w:type="dxa"/>
                    <w:right w:w="28" w:type="dxa"/>
                  </w:tcMar>
                  <w:vAlign w:val="center"/>
                </w:tcPr>
                <w:p w14:paraId="04F602BA">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kern w:val="2"/>
                      <w:sz w:val="21"/>
                      <w:szCs w:val="21"/>
                      <w:lang w:val="en-US" w:eastAsia="zh-CN" w:bidi="ar-SA"/>
                    </w:rPr>
                  </w:pPr>
                  <w:r>
                    <w:rPr>
                      <w:sz w:val="21"/>
                      <w:szCs w:val="21"/>
                    </w:rPr>
                    <w:t>114</w:t>
                  </w:r>
                </w:p>
              </w:tc>
              <w:tc>
                <w:tcPr>
                  <w:tcW w:w="654" w:type="dxa"/>
                  <w:noWrap w:val="0"/>
                  <w:tcMar>
                    <w:top w:w="0" w:type="dxa"/>
                    <w:left w:w="28" w:type="dxa"/>
                    <w:bottom w:w="0" w:type="dxa"/>
                    <w:right w:w="28" w:type="dxa"/>
                  </w:tcMar>
                  <w:vAlign w:val="center"/>
                </w:tcPr>
                <w:p w14:paraId="3FEFC0C0">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sz w:val="21"/>
                      <w:szCs w:val="21"/>
                    </w:rPr>
                  </w:pPr>
                  <w:r>
                    <w:rPr>
                      <w:rFonts w:hint="eastAsia"/>
                      <w:sz w:val="21"/>
                      <w:szCs w:val="21"/>
                    </w:rPr>
                    <w:t>超标</w:t>
                  </w:r>
                </w:p>
              </w:tc>
              <w:tc>
                <w:tcPr>
                  <w:tcW w:w="1100" w:type="dxa"/>
                  <w:noWrap w:val="0"/>
                  <w:tcMar>
                    <w:top w:w="0" w:type="dxa"/>
                    <w:left w:w="28" w:type="dxa"/>
                    <w:bottom w:w="0" w:type="dxa"/>
                    <w:right w:w="28" w:type="dxa"/>
                  </w:tcMar>
                  <w:vAlign w:val="center"/>
                </w:tcPr>
                <w:p w14:paraId="02ED870A">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eastAsia"/>
                      <w:sz w:val="21"/>
                      <w:szCs w:val="21"/>
                    </w:rPr>
                  </w:pPr>
                  <w:r>
                    <w:rPr>
                      <w:sz w:val="21"/>
                      <w:szCs w:val="21"/>
                    </w:rPr>
                    <w:t>160</w:t>
                  </w:r>
                </w:p>
              </w:tc>
              <w:tc>
                <w:tcPr>
                  <w:tcW w:w="850" w:type="dxa"/>
                  <w:noWrap w:val="0"/>
                  <w:tcMar>
                    <w:top w:w="0" w:type="dxa"/>
                    <w:left w:w="28" w:type="dxa"/>
                    <w:bottom w:w="0" w:type="dxa"/>
                    <w:right w:w="28" w:type="dxa"/>
                  </w:tcMar>
                  <w:vAlign w:val="center"/>
                </w:tcPr>
                <w:p w14:paraId="1F639EDD">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default" w:eastAsia="宋体"/>
                      <w:sz w:val="21"/>
                      <w:szCs w:val="21"/>
                      <w:lang w:val="en-US" w:eastAsia="zh-CN"/>
                    </w:rPr>
                  </w:pPr>
                  <w:r>
                    <w:rPr>
                      <w:rFonts w:hint="eastAsia"/>
                      <w:sz w:val="21"/>
                      <w:szCs w:val="21"/>
                      <w:lang w:val="en-US" w:eastAsia="zh-CN"/>
                    </w:rPr>
                    <w:t>114</w:t>
                  </w:r>
                </w:p>
              </w:tc>
              <w:tc>
                <w:tcPr>
                  <w:tcW w:w="685" w:type="dxa"/>
                  <w:noWrap w:val="0"/>
                  <w:tcMar>
                    <w:top w:w="0" w:type="dxa"/>
                    <w:left w:w="28" w:type="dxa"/>
                    <w:bottom w:w="0" w:type="dxa"/>
                    <w:right w:w="28" w:type="dxa"/>
                  </w:tcMar>
                  <w:vAlign w:val="center"/>
                </w:tcPr>
                <w:p w14:paraId="4D726D9D">
                  <w:pPr>
                    <w:keepNext w:val="0"/>
                    <w:keepLines w:val="0"/>
                    <w:pageBreakBefore w:val="0"/>
                    <w:widowControl w:val="0"/>
                    <w:kinsoku/>
                    <w:wordWrap/>
                    <w:topLinePunct w:val="0"/>
                    <w:autoSpaceDE w:val="0"/>
                    <w:autoSpaceDN w:val="0"/>
                    <w:bidi w:val="0"/>
                    <w:adjustRightInd w:val="0"/>
                    <w:snapToGrid w:val="0"/>
                    <w:spacing w:line="240" w:lineRule="auto"/>
                    <w:ind w:firstLine="0" w:firstLineChars="0"/>
                    <w:contextualSpacing/>
                    <w:jc w:val="center"/>
                    <w:textAlignment w:val="auto"/>
                    <w:rPr>
                      <w:rFonts w:hint="eastAsia" w:eastAsia="宋体"/>
                      <w:sz w:val="21"/>
                      <w:szCs w:val="21"/>
                      <w:lang w:eastAsia="zh-CN"/>
                    </w:rPr>
                  </w:pPr>
                  <w:r>
                    <w:rPr>
                      <w:rFonts w:hint="eastAsia"/>
                      <w:sz w:val="21"/>
                      <w:szCs w:val="21"/>
                      <w:lang w:eastAsia="zh-CN"/>
                    </w:rPr>
                    <w:t>超标</w:t>
                  </w:r>
                </w:p>
              </w:tc>
            </w:tr>
          </w:tbl>
          <w:p w14:paraId="695DF259">
            <w:pPr>
              <w:spacing w:line="460" w:lineRule="exact"/>
              <w:ind w:firstLine="480" w:firstLineChars="200"/>
              <w:rPr>
                <w:color w:val="000000" w:themeColor="text1"/>
                <w:sz w:val="24"/>
                <w14:textFill>
                  <w14:solidFill>
                    <w14:schemeClr w14:val="tx1"/>
                  </w14:solidFill>
                </w14:textFill>
              </w:rPr>
            </w:pPr>
            <w:r>
              <w:rPr>
                <w:rFonts w:hint="eastAsia"/>
                <w:sz w:val="24"/>
              </w:rPr>
              <w:t>由上表可知，其中PM</w:t>
            </w:r>
            <w:r>
              <w:rPr>
                <w:rFonts w:hint="eastAsia"/>
                <w:sz w:val="24"/>
                <w:vertAlign w:val="subscript"/>
              </w:rPr>
              <w:t>10</w:t>
            </w:r>
            <w:r>
              <w:rPr>
                <w:rFonts w:hint="eastAsia"/>
                <w:sz w:val="24"/>
              </w:rPr>
              <w:t>、PM</w:t>
            </w:r>
            <w:r>
              <w:rPr>
                <w:rFonts w:hint="eastAsia"/>
                <w:sz w:val="24"/>
                <w:vertAlign w:val="subscript"/>
              </w:rPr>
              <w:t>2.5</w:t>
            </w:r>
            <w:r>
              <w:rPr>
                <w:rFonts w:hint="eastAsia"/>
                <w:sz w:val="24"/>
              </w:rPr>
              <w:t>和O</w:t>
            </w:r>
            <w:r>
              <w:rPr>
                <w:rFonts w:hint="eastAsia"/>
                <w:sz w:val="24"/>
                <w:vertAlign w:val="subscript"/>
              </w:rPr>
              <w:t>3</w:t>
            </w:r>
            <w:r>
              <w:rPr>
                <w:rFonts w:hint="eastAsia"/>
                <w:sz w:val="24"/>
              </w:rPr>
              <w:t>均不能够满足《环境空气质量标准》(GB3095-2012)及2026年新国标中过渡阶段浓度限值的二级标准要求。根据《环境影响评价技术导则 大气环境》(HJ 2.2-2018)，本项目所在区域属于不达标区。</w:t>
            </w:r>
          </w:p>
          <w:p w14:paraId="1147527F">
            <w:pPr>
              <w:pStyle w:val="7"/>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eastAsia="宋体" w:cs="Times New Roman"/>
                <w:b/>
                <w:color w:val="auto"/>
                <w:sz w:val="24"/>
              </w:rPr>
            </w:pPr>
            <w:r>
              <w:rPr>
                <w:rFonts w:hint="eastAsia" w:ascii="Times New Roman" w:hAnsi="宋体" w:eastAsia="宋体" w:cs="Times New Roman"/>
                <w:color w:val="000000" w:themeColor="text1"/>
                <w:kern w:val="0"/>
                <w:sz w:val="24"/>
                <w:szCs w:val="24"/>
                <w:lang w:val="en-US" w:eastAsia="zh-CN" w:bidi="ar-SA"/>
                <w14:textFill>
                  <w14:solidFill>
                    <w14:schemeClr w14:val="tx1"/>
                  </w14:solidFill>
                </w14:textFill>
              </w:rPr>
              <w:t>目前，新乡县</w:t>
            </w:r>
            <w:r>
              <w:rPr>
                <w:rFonts w:hint="default" w:ascii="Times New Roman" w:hAnsi="宋体" w:eastAsia="宋体" w:cs="Times New Roman"/>
                <w:color w:val="000000" w:themeColor="text1"/>
                <w:kern w:val="0"/>
                <w:sz w:val="24"/>
                <w:szCs w:val="24"/>
                <w:lang w:val="en-US" w:eastAsia="zh-CN" w:bidi="ar-SA"/>
                <w14:textFill>
                  <w14:solidFill>
                    <w14:schemeClr w14:val="tx1"/>
                  </w14:solidFill>
                </w14:textFill>
              </w:rPr>
              <w:t>正在实施</w:t>
            </w:r>
            <w:r>
              <w:rPr>
                <w:rFonts w:hint="eastAsia" w:ascii="Times New Roman" w:hAnsi="宋体" w:eastAsia="宋体" w:cs="Times New Roman"/>
                <w:color w:val="000000" w:themeColor="text1"/>
                <w:kern w:val="0"/>
                <w:sz w:val="24"/>
                <w:szCs w:val="24"/>
                <w:lang w:val="en-US" w:eastAsia="zh-CN" w:bidi="ar-SA"/>
                <w14:textFill>
                  <w14:solidFill>
                    <w14:schemeClr w14:val="tx1"/>
                  </w14:solidFill>
                </w14:textFill>
              </w:rPr>
              <w:t>河南省生态环境保护委员会办公室关于印发《河南省2026年蓝天保卫战实施方案》（豫环委办[2026]1号）相关要求及新乡市生态环境保护委员会办公室关于印发《新乡市2026年蓝天保卫战实施方案》（新环委办[2026]18号）相关要求</w:t>
            </w:r>
            <w:r>
              <w:rPr>
                <w:rFonts w:hint="default" w:ascii="Times New Roman" w:hAnsi="宋体" w:eastAsia="宋体" w:cs="Times New Roman"/>
                <w:color w:val="000000" w:themeColor="text1"/>
                <w:kern w:val="0"/>
                <w:sz w:val="24"/>
                <w:szCs w:val="24"/>
                <w:lang w:val="en-US" w:eastAsia="zh-CN" w:bidi="ar-SA"/>
                <w14:textFill>
                  <w14:solidFill>
                    <w14:schemeClr w14:val="tx1"/>
                  </w14:solidFill>
                </w14:textFill>
              </w:rPr>
              <w:t>，将不断改善区域大气环境质量</w:t>
            </w:r>
            <w:r>
              <w:rPr>
                <w:rFonts w:hint="eastAsia" w:ascii="Times New Roman" w:hAnsi="宋体" w:eastAsia="宋体" w:cs="Times New Roman"/>
                <w:color w:val="000000" w:themeColor="text1"/>
                <w:kern w:val="0"/>
                <w:sz w:val="24"/>
                <w:szCs w:val="24"/>
                <w:lang w:val="en-US" w:eastAsia="zh-CN" w:bidi="ar-SA"/>
                <w14:textFill>
                  <w14:solidFill>
                    <w14:schemeClr w14:val="tx1"/>
                  </w14:solidFill>
                </w14:textFill>
              </w:rPr>
              <w:t>。本</w:t>
            </w:r>
            <w:r>
              <w:rPr>
                <w:rFonts w:hint="default" w:ascii="Times New Roman" w:hAnsi="宋体" w:eastAsia="宋体" w:cs="Times New Roman"/>
                <w:color w:val="000000" w:themeColor="text1"/>
                <w:kern w:val="0"/>
                <w:sz w:val="24"/>
                <w:szCs w:val="24"/>
                <w:lang w:val="en-US" w:eastAsia="zh-CN" w:bidi="ar-SA"/>
                <w14:textFill>
                  <w14:solidFill>
                    <w14:schemeClr w14:val="tx1"/>
                  </w14:solidFill>
                </w14:textFill>
              </w:rPr>
              <w:t>项目运行过程中</w:t>
            </w:r>
            <w:r>
              <w:rPr>
                <w:rFonts w:hint="eastAsia" w:ascii="Times New Roman" w:hAnsi="宋体" w:eastAsia="宋体" w:cs="Times New Roman"/>
                <w:color w:val="000000" w:themeColor="text1"/>
                <w:kern w:val="0"/>
                <w:sz w:val="24"/>
                <w:szCs w:val="24"/>
                <w:lang w:val="en-US" w:eastAsia="zh-CN" w:bidi="ar-SA"/>
                <w14:textFill>
                  <w14:solidFill>
                    <w14:schemeClr w14:val="tx1"/>
                  </w14:solidFill>
                </w14:textFill>
              </w:rPr>
              <w:t>不产生废气</w:t>
            </w:r>
            <w:r>
              <w:rPr>
                <w:rFonts w:hint="default" w:ascii="Times New Roman" w:hAnsi="宋体" w:eastAsia="宋体" w:cs="Times New Roman"/>
                <w:color w:val="000000" w:themeColor="text1"/>
                <w:kern w:val="0"/>
                <w:sz w:val="24"/>
                <w:szCs w:val="24"/>
                <w:lang w:val="en-US" w:eastAsia="zh-CN" w:bidi="ar-SA"/>
                <w14:textFill>
                  <w14:solidFill>
                    <w14:schemeClr w14:val="tx1"/>
                  </w14:solidFill>
                </w14:textFill>
              </w:rPr>
              <w:t>，因此，项目的投产运行对区域大气</w:t>
            </w:r>
            <w:r>
              <w:rPr>
                <w:rFonts w:hint="default" w:ascii="Times New Roman" w:hAnsi="Times New Roman" w:eastAsia="宋体" w:cs="Times New Roman"/>
                <w:b w:val="0"/>
                <w:bCs w:val="0"/>
                <w:color w:val="auto"/>
                <w:sz w:val="24"/>
                <w:szCs w:val="21"/>
                <w:u w:val="none"/>
              </w:rPr>
              <w:t>环境质量</w:t>
            </w:r>
            <w:r>
              <w:rPr>
                <w:rFonts w:hint="default" w:ascii="Times New Roman" w:hAnsi="Times New Roman" w:eastAsia="宋体" w:cs="Times New Roman"/>
                <w:b w:val="0"/>
                <w:bCs w:val="0"/>
                <w:color w:val="auto"/>
                <w:sz w:val="24"/>
                <w:szCs w:val="21"/>
                <w:u w:val="none"/>
                <w:lang w:eastAsia="zh-CN"/>
              </w:rPr>
              <w:t>产生影响</w:t>
            </w:r>
            <w:r>
              <w:rPr>
                <w:rFonts w:hint="eastAsia" w:ascii="Times New Roman" w:hAnsi="Times New Roman" w:eastAsia="宋体" w:cs="Times New Roman"/>
                <w:b w:val="0"/>
                <w:bCs w:val="0"/>
                <w:color w:val="auto"/>
                <w:sz w:val="24"/>
                <w:szCs w:val="21"/>
                <w:u w:val="none"/>
                <w:lang w:eastAsia="zh-CN"/>
              </w:rPr>
              <w:t>可以接受</w:t>
            </w:r>
            <w:r>
              <w:rPr>
                <w:rFonts w:hint="default" w:ascii="Times New Roman" w:hAnsi="Times New Roman" w:eastAsia="宋体" w:cs="Times New Roman"/>
                <w:b w:val="0"/>
                <w:bCs w:val="0"/>
                <w:color w:val="auto"/>
                <w:sz w:val="24"/>
                <w:szCs w:val="21"/>
                <w:u w:val="none"/>
              </w:rPr>
              <w:t>。</w:t>
            </w:r>
          </w:p>
          <w:p w14:paraId="07E4978D">
            <w:pPr>
              <w:keepNext w:val="0"/>
              <w:keepLines w:val="0"/>
              <w:pageBreakBefore w:val="0"/>
              <w:widowControl w:val="0"/>
              <w:kinsoku/>
              <w:wordWrap/>
              <w:overflowPunct/>
              <w:topLinePunct w:val="0"/>
              <w:autoSpaceDE/>
              <w:autoSpaceDN/>
              <w:bidi w:val="0"/>
              <w:adjustRightInd w:val="0"/>
              <w:snapToGrid w:val="0"/>
              <w:spacing w:line="520" w:lineRule="atLeast"/>
              <w:ind w:firstLine="482" w:firstLineChars="200"/>
              <w:jc w:val="left"/>
              <w:textAlignment w:val="auto"/>
              <w:rPr>
                <w:rFonts w:hint="default" w:ascii="Times New Roman" w:hAnsi="Times New Roman" w:cs="Times New Roman"/>
                <w:b/>
                <w:bCs/>
                <w:color w:val="auto"/>
              </w:rPr>
            </w:pPr>
            <w:r>
              <w:rPr>
                <w:rFonts w:hint="default" w:ascii="Times New Roman" w:hAnsi="Times New Roman" w:cs="Times New Roman"/>
                <w:b/>
                <w:bCs/>
                <w:color w:val="auto"/>
              </w:rPr>
              <w:t>2、水环境质量现状</w:t>
            </w:r>
          </w:p>
          <w:p w14:paraId="15C6056E">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default" w:ascii="Times New Roman" w:hAnsi="Times New Roman" w:eastAsia="宋体" w:cs="Times New Roman"/>
                <w:color w:val="auto"/>
              </w:rPr>
            </w:pPr>
            <w:r>
              <w:rPr>
                <w:rFonts w:hint="eastAsia"/>
                <w:color w:val="auto"/>
                <w:sz w:val="24"/>
              </w:rPr>
              <w:t>本项目生活污水经化粪池处理后排入</w:t>
            </w:r>
            <w:r>
              <w:rPr>
                <w:rFonts w:hint="eastAsia"/>
                <w:color w:val="auto"/>
                <w:sz w:val="24"/>
                <w:lang w:eastAsia="zh-CN"/>
              </w:rPr>
              <w:t>新乡县综合污水处理厂</w:t>
            </w:r>
            <w:r>
              <w:rPr>
                <w:rFonts w:hint="eastAsia"/>
                <w:color w:val="auto"/>
                <w:sz w:val="24"/>
              </w:rPr>
              <w:t>处</w:t>
            </w:r>
            <w:r>
              <w:rPr>
                <w:rFonts w:hint="eastAsia" w:ascii="Times New Roman" w:hAnsi="Times New Roman" w:eastAsia="宋体" w:cs="Times New Roman"/>
                <w:color w:val="auto"/>
                <w:sz w:val="24"/>
                <w:lang w:eastAsia="zh-CN"/>
              </w:rPr>
              <w:t>理</w:t>
            </w:r>
            <w:r>
              <w:rPr>
                <w:rFonts w:hint="eastAsia" w:cs="Times New Roman"/>
                <w:color w:val="auto"/>
                <w:sz w:val="24"/>
                <w:lang w:eastAsia="zh-CN"/>
              </w:rPr>
              <w:t>后的尾水排入</w:t>
            </w:r>
            <w:r>
              <w:rPr>
                <w:rFonts w:hint="eastAsia" w:cs="Times New Roman"/>
                <w:color w:val="auto"/>
                <w:sz w:val="24"/>
                <w:lang w:val="en-US" w:eastAsia="zh-CN"/>
              </w:rPr>
              <w:t>东</w:t>
            </w:r>
            <w:r>
              <w:rPr>
                <w:rFonts w:hint="eastAsia" w:ascii="Times New Roman" w:hAnsi="Times New Roman" w:eastAsia="宋体" w:cs="Times New Roman"/>
                <w:color w:val="auto"/>
                <w:sz w:val="24"/>
                <w:lang w:val="en-US" w:eastAsia="zh-CN"/>
              </w:rPr>
              <w:t>孟姜女河</w:t>
            </w:r>
            <w:r>
              <w:rPr>
                <w:rFonts w:hint="eastAsia" w:ascii="Times New Roman" w:hAnsi="Times New Roman" w:eastAsia="宋体" w:cs="Times New Roman"/>
                <w:color w:val="auto"/>
                <w:sz w:val="24"/>
                <w:lang w:eastAsia="zh-CN"/>
              </w:rPr>
              <w:t>。根</w:t>
            </w:r>
            <w:r>
              <w:rPr>
                <w:rFonts w:hint="eastAsia" w:ascii="宋体" w:hAnsi="宋体"/>
                <w:color w:val="auto"/>
                <w:sz w:val="24"/>
              </w:rPr>
              <w:t>据《新乡市生态环境局关于</w:t>
            </w:r>
            <w:r>
              <w:rPr>
                <w:rFonts w:hint="eastAsia" w:ascii="宋体" w:hAnsi="宋体"/>
                <w:color w:val="auto"/>
                <w:sz w:val="24"/>
                <w:lang w:eastAsia="zh-CN"/>
              </w:rPr>
              <w:t>印发</w:t>
            </w:r>
            <w:r>
              <w:rPr>
                <w:rFonts w:hint="eastAsia"/>
                <w:color w:val="auto"/>
                <w:sz w:val="24"/>
              </w:rPr>
              <w:t>202</w:t>
            </w:r>
            <w:r>
              <w:rPr>
                <w:rFonts w:hint="eastAsia"/>
                <w:color w:val="auto"/>
                <w:sz w:val="24"/>
                <w:lang w:val="en-US" w:eastAsia="zh-CN"/>
              </w:rPr>
              <w:t>5</w:t>
            </w:r>
            <w:r>
              <w:rPr>
                <w:rFonts w:hint="eastAsia" w:ascii="宋体" w:hAnsi="宋体"/>
                <w:color w:val="auto"/>
                <w:sz w:val="24"/>
              </w:rPr>
              <w:t>年地表水</w:t>
            </w:r>
            <w:r>
              <w:rPr>
                <w:rFonts w:hint="default" w:ascii="Times New Roman" w:hAnsi="Times New Roman" w:cs="Times New Roman"/>
                <w:color w:val="auto"/>
                <w:sz w:val="24"/>
              </w:rPr>
              <w:t>环境质量目标的函》，</w:t>
            </w:r>
            <w:r>
              <w:rPr>
                <w:rFonts w:hint="eastAsia" w:cs="Times New Roman"/>
                <w:color w:val="auto"/>
                <w:sz w:val="24"/>
                <w:szCs w:val="24"/>
                <w:lang w:eastAsia="zh-CN"/>
              </w:rPr>
              <w:t>东孟姜女河</w:t>
            </w:r>
            <w:r>
              <w:rPr>
                <w:rFonts w:hint="eastAsia" w:cs="Times New Roman"/>
                <w:color w:val="auto"/>
                <w:sz w:val="24"/>
                <w:szCs w:val="24"/>
                <w:lang w:val="en-US" w:eastAsia="zh-CN"/>
              </w:rPr>
              <w:t>2025年地表水环境质量目</w:t>
            </w:r>
            <w:r>
              <w:rPr>
                <w:rFonts w:hint="eastAsia" w:ascii="Times New Roman" w:hAnsi="Times New Roman" w:eastAsia="宋体" w:cs="Times New Roman"/>
                <w:color w:val="auto"/>
                <w:sz w:val="24"/>
                <w:szCs w:val="24"/>
                <w:lang w:val="en-US" w:eastAsia="zh-CN"/>
              </w:rPr>
              <w:t>标为Ⅲ</w:t>
            </w:r>
            <w:r>
              <w:rPr>
                <w:rFonts w:hint="default" w:ascii="Times New Roman" w:hAnsi="Times New Roman" w:eastAsia="宋体" w:cs="Times New Roman"/>
                <w:color w:val="auto"/>
                <w:sz w:val="24"/>
                <w:szCs w:val="24"/>
                <w:lang w:val="en-US" w:eastAsia="zh-CN"/>
              </w:rPr>
              <w:t>类</w:t>
            </w:r>
            <w:r>
              <w:rPr>
                <w:rFonts w:hint="default" w:ascii="Times New Roman" w:hAnsi="Times New Roman" w:cs="Times New Roman"/>
                <w:color w:val="auto"/>
                <w:sz w:val="24"/>
              </w:rPr>
              <w:t>。本项目引用新乡市环境监测站对</w:t>
            </w:r>
            <w:r>
              <w:rPr>
                <w:rFonts w:hint="eastAsia" w:cs="Times New Roman"/>
                <w:color w:val="auto"/>
                <w:sz w:val="24"/>
                <w:lang w:eastAsia="zh-CN"/>
              </w:rPr>
              <w:t>东孟姜女高新区入口</w:t>
            </w:r>
            <w:r>
              <w:rPr>
                <w:rFonts w:hint="eastAsia" w:ascii="Times New Roman" w:hAnsi="Times New Roman" w:cs="Times New Roman"/>
                <w:color w:val="auto"/>
                <w:sz w:val="24"/>
                <w:lang w:eastAsia="zh-CN"/>
              </w:rPr>
              <w:t>断面</w:t>
            </w:r>
            <w:r>
              <w:rPr>
                <w:rFonts w:hint="default" w:ascii="Times New Roman" w:hAnsi="Times New Roman" w:cs="Times New Roman"/>
                <w:color w:val="auto"/>
                <w:sz w:val="24"/>
              </w:rPr>
              <w:t>202</w:t>
            </w:r>
            <w:r>
              <w:rPr>
                <w:rFonts w:hint="eastAsia" w:ascii="Times New Roman" w:hAnsi="Times New Roman" w:cs="Times New Roman"/>
                <w:color w:val="auto"/>
                <w:sz w:val="24"/>
                <w:lang w:val="en-US" w:eastAsia="zh-CN"/>
              </w:rPr>
              <w:t>5</w:t>
            </w:r>
            <w:r>
              <w:rPr>
                <w:rFonts w:hint="default" w:ascii="Times New Roman" w:hAnsi="Times New Roman" w:cs="Times New Roman"/>
                <w:color w:val="auto"/>
                <w:sz w:val="24"/>
              </w:rPr>
              <w:t>年</w:t>
            </w:r>
            <w:r>
              <w:rPr>
                <w:rFonts w:hint="eastAsia" w:ascii="Times New Roman" w:hAnsi="Times New Roman" w:cs="Times New Roman"/>
                <w:color w:val="auto"/>
                <w:sz w:val="24"/>
                <w:lang w:eastAsia="zh-CN"/>
              </w:rPr>
              <w:t>年均</w:t>
            </w:r>
            <w:r>
              <w:rPr>
                <w:rFonts w:hint="default" w:ascii="Times New Roman" w:hAnsi="Times New Roman" w:cs="Times New Roman"/>
                <w:color w:val="auto"/>
                <w:sz w:val="24"/>
              </w:rPr>
              <w:t>监测数据，</w:t>
            </w:r>
            <w:r>
              <w:rPr>
                <w:rFonts w:hint="eastAsia" w:cs="Times New Roman"/>
                <w:color w:val="auto"/>
                <w:sz w:val="24"/>
                <w:lang w:eastAsia="zh-CN"/>
              </w:rPr>
              <w:t>东孟姜女河高新区入口</w:t>
            </w:r>
            <w:r>
              <w:rPr>
                <w:rFonts w:hint="eastAsia" w:ascii="Times New Roman" w:hAnsi="Times New Roman" w:cs="Times New Roman"/>
                <w:color w:val="auto"/>
                <w:sz w:val="24"/>
                <w:lang w:eastAsia="zh-CN"/>
              </w:rPr>
              <w:t>断面</w:t>
            </w:r>
            <w:r>
              <w:rPr>
                <w:rFonts w:hint="eastAsia" w:ascii="宋体" w:hAnsi="宋体"/>
                <w:color w:val="auto"/>
                <w:sz w:val="24"/>
              </w:rPr>
              <w:t>监测结果见下表</w:t>
            </w:r>
            <w:r>
              <w:rPr>
                <w:color w:val="auto"/>
                <w:sz w:val="24"/>
              </w:rPr>
              <w:t>。</w:t>
            </w:r>
          </w:p>
          <w:p w14:paraId="7A6FA99C">
            <w:pPr>
              <w:keepNext/>
              <w:tabs>
                <w:tab w:val="center" w:pos="4284"/>
                <w:tab w:val="center" w:pos="7770"/>
              </w:tabs>
              <w:spacing w:line="460" w:lineRule="exact"/>
              <w:ind w:left="0" w:leftChars="0" w:firstLine="480" w:firstLineChars="200"/>
              <w:jc w:val="left"/>
              <w:rPr>
                <w:rFonts w:eastAsia="黑体" w:cs="宋体"/>
                <w:color w:val="auto"/>
                <w:sz w:val="24"/>
              </w:rPr>
            </w:pPr>
            <w:r>
              <w:rPr>
                <w:rFonts w:eastAsia="黑体" w:cs="宋体"/>
                <w:color w:val="auto"/>
                <w:sz w:val="24"/>
                <w:lang w:val="pt-BR"/>
              </w:rPr>
              <w:t>表</w:t>
            </w:r>
            <w:r>
              <w:rPr>
                <w:rFonts w:hint="eastAsia" w:eastAsia="黑体" w:cs="宋体"/>
                <w:color w:val="auto"/>
                <w:sz w:val="24"/>
                <w:lang w:val="en-US" w:eastAsia="zh-CN"/>
              </w:rPr>
              <w:t>3-2</w:t>
            </w:r>
            <w:r>
              <w:rPr>
                <w:rFonts w:hint="eastAsia" w:eastAsia="黑体" w:cs="宋体"/>
                <w:color w:val="auto"/>
                <w:sz w:val="24"/>
              </w:rPr>
              <w:t xml:space="preserve"> </w:t>
            </w:r>
            <w:r>
              <w:rPr>
                <w:rFonts w:hint="eastAsia" w:eastAsia="黑体" w:cs="宋体"/>
                <w:color w:val="auto"/>
                <w:sz w:val="24"/>
                <w:lang w:eastAsia="zh-CN"/>
              </w:rPr>
              <w:t>东孟姜女河高新区入口</w:t>
            </w:r>
            <w:r>
              <w:rPr>
                <w:rFonts w:hint="eastAsia" w:ascii="Times New Roman" w:hAnsi="Times New Roman" w:eastAsia="黑体" w:cs="宋体"/>
                <w:color w:val="auto"/>
                <w:sz w:val="24"/>
                <w:lang w:eastAsia="zh-CN"/>
              </w:rPr>
              <w:t>断面</w:t>
            </w:r>
            <w:r>
              <w:rPr>
                <w:rFonts w:ascii="Times New Roman" w:hAnsi="Times New Roman" w:eastAsia="黑体" w:cs="宋体"/>
                <w:color w:val="auto"/>
                <w:sz w:val="24"/>
              </w:rPr>
              <w:t>监</w:t>
            </w:r>
            <w:r>
              <w:rPr>
                <w:rFonts w:eastAsia="黑体" w:cs="宋体"/>
                <w:color w:val="auto"/>
                <w:sz w:val="24"/>
              </w:rPr>
              <w:t>测数据</w:t>
            </w:r>
            <w:r>
              <w:rPr>
                <w:rFonts w:hint="eastAsia" w:eastAsia="黑体" w:cs="宋体"/>
                <w:color w:val="auto"/>
                <w:sz w:val="24"/>
              </w:rPr>
              <w:t>（202</w:t>
            </w:r>
            <w:r>
              <w:rPr>
                <w:rFonts w:hint="eastAsia" w:eastAsia="黑体" w:cs="宋体"/>
                <w:color w:val="auto"/>
                <w:sz w:val="24"/>
                <w:lang w:val="en-US" w:eastAsia="zh-CN"/>
              </w:rPr>
              <w:t>5</w:t>
            </w:r>
            <w:r>
              <w:rPr>
                <w:rFonts w:hint="eastAsia" w:eastAsia="黑体" w:cs="宋体"/>
                <w:color w:val="auto"/>
                <w:sz w:val="24"/>
              </w:rPr>
              <w:t xml:space="preserve">年年均数据） </w:t>
            </w:r>
            <w:r>
              <w:rPr>
                <w:rFonts w:eastAsia="黑体" w:cs="宋体"/>
                <w:color w:val="auto"/>
                <w:sz w:val="24"/>
              </w:rPr>
              <w:t>单位：mg/L</w:t>
            </w:r>
          </w:p>
          <w:tbl>
            <w:tblPr>
              <w:tblStyle w:val="25"/>
              <w:tblW w:w="5000" w:type="pct"/>
              <w:jc w:val="center"/>
              <w:tblBorders>
                <w:top w:val="single" w:color="000000" w:sz="8"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372"/>
              <w:gridCol w:w="1821"/>
              <w:gridCol w:w="2149"/>
              <w:gridCol w:w="1685"/>
            </w:tblGrid>
            <w:tr w14:paraId="508B0618">
              <w:tblPrEx>
                <w:tblBorders>
                  <w:top w:val="single" w:color="000000" w:sz="8"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78" w:type="pct"/>
                  <w:tcBorders>
                    <w:top w:val="single" w:color="auto" w:sz="4" w:space="0"/>
                    <w:left w:val="single" w:color="auto" w:sz="0" w:space="0"/>
                  </w:tcBorders>
                  <w:noWrap/>
                  <w:vAlign w:val="center"/>
                </w:tcPr>
                <w:p w14:paraId="5F5525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b w:val="0"/>
                      <w:bCs w:val="0"/>
                      <w:color w:val="auto"/>
                      <w:kern w:val="0"/>
                      <w:sz w:val="21"/>
                      <w:szCs w:val="21"/>
                    </w:rPr>
                  </w:pPr>
                  <w:r>
                    <w:rPr>
                      <w:rFonts w:ascii="Times New Roman" w:hAnsi="Times New Roman" w:eastAsia="宋体"/>
                      <w:b w:val="0"/>
                      <w:bCs w:val="0"/>
                      <w:color w:val="auto"/>
                      <w:kern w:val="0"/>
                      <w:sz w:val="21"/>
                      <w:szCs w:val="21"/>
                    </w:rPr>
                    <w:t>监测因子</w:t>
                  </w:r>
                </w:p>
              </w:tc>
              <w:tc>
                <w:tcPr>
                  <w:tcW w:w="1134" w:type="pct"/>
                  <w:tcBorders>
                    <w:top w:val="single" w:color="auto" w:sz="4" w:space="0"/>
                  </w:tcBorders>
                  <w:noWrap/>
                  <w:vAlign w:val="center"/>
                </w:tcPr>
                <w:p w14:paraId="148BC03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b w:val="0"/>
                      <w:bCs w:val="0"/>
                      <w:color w:val="auto"/>
                      <w:kern w:val="0"/>
                      <w:sz w:val="21"/>
                      <w:szCs w:val="21"/>
                    </w:rPr>
                  </w:pPr>
                  <w:r>
                    <w:rPr>
                      <w:rFonts w:ascii="Times New Roman" w:hAnsi="Times New Roman" w:eastAsia="宋体"/>
                      <w:b w:val="0"/>
                      <w:bCs w:val="0"/>
                      <w:color w:val="auto"/>
                      <w:kern w:val="0"/>
                      <w:sz w:val="21"/>
                      <w:szCs w:val="21"/>
                    </w:rPr>
                    <w:t>COD</w:t>
                  </w:r>
                </w:p>
              </w:tc>
              <w:tc>
                <w:tcPr>
                  <w:tcW w:w="1338" w:type="pct"/>
                  <w:tcBorders>
                    <w:top w:val="single" w:color="auto" w:sz="4" w:space="0"/>
                  </w:tcBorders>
                  <w:noWrap/>
                  <w:vAlign w:val="center"/>
                </w:tcPr>
                <w:p w14:paraId="5F8D5B4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b w:val="0"/>
                      <w:bCs w:val="0"/>
                      <w:color w:val="auto"/>
                      <w:kern w:val="0"/>
                      <w:sz w:val="21"/>
                      <w:szCs w:val="21"/>
                    </w:rPr>
                  </w:pPr>
                  <w:r>
                    <w:rPr>
                      <w:rFonts w:ascii="Times New Roman" w:hAnsi="Times New Roman" w:eastAsia="宋体"/>
                      <w:b w:val="0"/>
                      <w:bCs w:val="0"/>
                      <w:color w:val="auto"/>
                      <w:kern w:val="0"/>
                      <w:sz w:val="21"/>
                      <w:szCs w:val="21"/>
                    </w:rPr>
                    <w:t>N</w:t>
                  </w:r>
                  <w:r>
                    <w:rPr>
                      <w:rFonts w:hint="eastAsia" w:ascii="Times New Roman" w:hAnsi="Times New Roman" w:eastAsia="宋体"/>
                      <w:b w:val="0"/>
                      <w:bCs w:val="0"/>
                      <w:color w:val="auto"/>
                      <w:kern w:val="0"/>
                      <w:sz w:val="21"/>
                      <w:szCs w:val="21"/>
                    </w:rPr>
                    <w:t>H</w:t>
                  </w:r>
                  <w:r>
                    <w:rPr>
                      <w:rFonts w:hint="eastAsia" w:ascii="Times New Roman" w:hAnsi="Times New Roman" w:eastAsia="宋体"/>
                      <w:b w:val="0"/>
                      <w:bCs w:val="0"/>
                      <w:color w:val="auto"/>
                      <w:kern w:val="0"/>
                      <w:sz w:val="21"/>
                      <w:szCs w:val="21"/>
                      <w:vertAlign w:val="subscript"/>
                    </w:rPr>
                    <w:t>3</w:t>
                  </w:r>
                  <w:r>
                    <w:rPr>
                      <w:rFonts w:ascii="Times New Roman" w:hAnsi="Times New Roman" w:eastAsia="宋体"/>
                      <w:b w:val="0"/>
                      <w:bCs w:val="0"/>
                      <w:color w:val="auto"/>
                      <w:kern w:val="0"/>
                      <w:sz w:val="21"/>
                      <w:szCs w:val="21"/>
                    </w:rPr>
                    <w:t>-N</w:t>
                  </w:r>
                </w:p>
              </w:tc>
              <w:tc>
                <w:tcPr>
                  <w:tcW w:w="1051" w:type="pct"/>
                  <w:tcBorders>
                    <w:top w:val="single" w:color="auto" w:sz="4" w:space="0"/>
                    <w:right w:val="single" w:color="auto" w:sz="4" w:space="0"/>
                  </w:tcBorders>
                  <w:noWrap/>
                  <w:vAlign w:val="center"/>
                </w:tcPr>
                <w:p w14:paraId="3C1AF3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b w:val="0"/>
                      <w:bCs w:val="0"/>
                      <w:color w:val="auto"/>
                      <w:kern w:val="0"/>
                      <w:sz w:val="21"/>
                      <w:szCs w:val="21"/>
                    </w:rPr>
                  </w:pPr>
                  <w:r>
                    <w:rPr>
                      <w:rFonts w:ascii="Times New Roman" w:hAnsi="Times New Roman" w:eastAsia="宋体"/>
                      <w:b w:val="0"/>
                      <w:bCs w:val="0"/>
                      <w:color w:val="auto"/>
                      <w:kern w:val="0"/>
                      <w:sz w:val="21"/>
                      <w:szCs w:val="21"/>
                    </w:rPr>
                    <w:t>TP</w:t>
                  </w:r>
                </w:p>
              </w:tc>
            </w:tr>
            <w:tr w14:paraId="601DAF18">
              <w:tblPrEx>
                <w:tblBorders>
                  <w:top w:val="single" w:color="000000" w:sz="8"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78" w:type="pct"/>
                  <w:tcBorders>
                    <w:left w:val="single" w:color="auto" w:sz="4" w:space="0"/>
                  </w:tcBorders>
                  <w:noWrap/>
                  <w:vAlign w:val="center"/>
                </w:tcPr>
                <w:p w14:paraId="2EF492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b w:val="0"/>
                      <w:bCs w:val="0"/>
                      <w:color w:val="auto"/>
                      <w:kern w:val="0"/>
                      <w:sz w:val="21"/>
                      <w:szCs w:val="21"/>
                    </w:rPr>
                  </w:pPr>
                  <w:r>
                    <w:rPr>
                      <w:rFonts w:ascii="Times New Roman" w:hAnsi="Times New Roman" w:eastAsia="宋体"/>
                      <w:b w:val="0"/>
                      <w:bCs w:val="0"/>
                      <w:color w:val="auto"/>
                      <w:kern w:val="0"/>
                      <w:sz w:val="21"/>
                      <w:szCs w:val="21"/>
                    </w:rPr>
                    <w:t>监测数据</w:t>
                  </w:r>
                </w:p>
              </w:tc>
              <w:tc>
                <w:tcPr>
                  <w:tcW w:w="1134" w:type="pct"/>
                  <w:noWrap/>
                  <w:vAlign w:val="center"/>
                </w:tcPr>
                <w:p w14:paraId="7E12E6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b w:val="0"/>
                      <w:bCs w:val="0"/>
                      <w:color w:val="auto"/>
                      <w:kern w:val="0"/>
                      <w:sz w:val="21"/>
                      <w:szCs w:val="21"/>
                      <w:lang w:val="en-US" w:eastAsia="zh-CN"/>
                    </w:rPr>
                  </w:pPr>
                  <w:r>
                    <w:rPr>
                      <w:rFonts w:hint="eastAsia"/>
                      <w:b w:val="0"/>
                      <w:bCs w:val="0"/>
                      <w:color w:val="auto"/>
                      <w:kern w:val="0"/>
                      <w:sz w:val="21"/>
                      <w:szCs w:val="21"/>
                      <w:lang w:val="en-US" w:eastAsia="zh-CN"/>
                    </w:rPr>
                    <w:t>26.9</w:t>
                  </w:r>
                </w:p>
              </w:tc>
              <w:tc>
                <w:tcPr>
                  <w:tcW w:w="1338" w:type="pct"/>
                  <w:noWrap/>
                  <w:vAlign w:val="center"/>
                </w:tcPr>
                <w:p w14:paraId="170321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b w:val="0"/>
                      <w:bCs w:val="0"/>
                      <w:color w:val="auto"/>
                      <w:kern w:val="0"/>
                      <w:sz w:val="21"/>
                      <w:szCs w:val="21"/>
                      <w:lang w:val="en-US" w:eastAsia="zh-CN"/>
                    </w:rPr>
                  </w:pPr>
                  <w:r>
                    <w:rPr>
                      <w:rFonts w:hint="eastAsia"/>
                      <w:b w:val="0"/>
                      <w:bCs w:val="0"/>
                      <w:color w:val="auto"/>
                      <w:kern w:val="0"/>
                      <w:sz w:val="21"/>
                      <w:szCs w:val="21"/>
                      <w:lang w:val="en-US" w:eastAsia="zh-CN"/>
                    </w:rPr>
                    <w:t>0.67</w:t>
                  </w:r>
                </w:p>
              </w:tc>
              <w:tc>
                <w:tcPr>
                  <w:tcW w:w="1051" w:type="pct"/>
                  <w:tcBorders>
                    <w:right w:val="single" w:color="auto" w:sz="4" w:space="0"/>
                  </w:tcBorders>
                  <w:noWrap/>
                  <w:vAlign w:val="center"/>
                </w:tcPr>
                <w:p w14:paraId="10FC398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b w:val="0"/>
                      <w:bCs w:val="0"/>
                      <w:color w:val="auto"/>
                      <w:kern w:val="0"/>
                      <w:sz w:val="21"/>
                      <w:szCs w:val="21"/>
                      <w:lang w:val="en-US" w:eastAsia="zh-CN"/>
                    </w:rPr>
                  </w:pPr>
                  <w:r>
                    <w:rPr>
                      <w:rFonts w:hint="eastAsia"/>
                      <w:b w:val="0"/>
                      <w:bCs w:val="0"/>
                      <w:color w:val="auto"/>
                      <w:kern w:val="0"/>
                      <w:sz w:val="21"/>
                      <w:szCs w:val="21"/>
                      <w:lang w:val="en-US" w:eastAsia="zh-CN"/>
                    </w:rPr>
                    <w:t>0.115</w:t>
                  </w:r>
                </w:p>
              </w:tc>
            </w:tr>
            <w:tr w14:paraId="4317C20F">
              <w:tblPrEx>
                <w:tblBorders>
                  <w:top w:val="single" w:color="000000" w:sz="8"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78" w:type="pct"/>
                  <w:tcBorders>
                    <w:left w:val="single" w:color="auto" w:sz="4" w:space="0"/>
                    <w:bottom w:val="single" w:color="auto" w:sz="4" w:space="0"/>
                  </w:tcBorders>
                  <w:noWrap/>
                  <w:vAlign w:val="center"/>
                </w:tcPr>
                <w:p w14:paraId="6D2B14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b w:val="0"/>
                      <w:bCs w:val="0"/>
                      <w:color w:val="auto"/>
                      <w:kern w:val="0"/>
                      <w:sz w:val="21"/>
                      <w:szCs w:val="21"/>
                    </w:rPr>
                  </w:pPr>
                  <w:r>
                    <w:rPr>
                      <w:rFonts w:ascii="Times New Roman" w:hAnsi="Times New Roman" w:eastAsia="宋体"/>
                      <w:b w:val="0"/>
                      <w:bCs w:val="0"/>
                      <w:color w:val="auto"/>
                      <w:kern w:val="0"/>
                      <w:sz w:val="21"/>
                      <w:szCs w:val="21"/>
                    </w:rPr>
                    <w:t>断面标准</w:t>
                  </w:r>
                </w:p>
              </w:tc>
              <w:tc>
                <w:tcPr>
                  <w:tcW w:w="1134" w:type="pct"/>
                  <w:tcBorders>
                    <w:bottom w:val="single" w:color="auto" w:sz="4" w:space="0"/>
                  </w:tcBorders>
                  <w:noWrap/>
                  <w:vAlign w:val="center"/>
                </w:tcPr>
                <w:p w14:paraId="71FAD9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b w:val="0"/>
                      <w:bCs w:val="0"/>
                      <w:color w:val="auto"/>
                      <w:kern w:val="0"/>
                      <w:sz w:val="21"/>
                      <w:szCs w:val="21"/>
                      <w:lang w:val="en-US" w:eastAsia="zh-CN"/>
                    </w:rPr>
                  </w:pPr>
                  <w:r>
                    <w:rPr>
                      <w:rFonts w:hint="eastAsia" w:ascii="Times New Roman" w:hAnsi="Times New Roman" w:eastAsia="宋体"/>
                      <w:b w:val="0"/>
                      <w:bCs w:val="0"/>
                      <w:color w:val="auto"/>
                      <w:kern w:val="0"/>
                      <w:sz w:val="21"/>
                      <w:szCs w:val="21"/>
                      <w:lang w:val="en-US" w:eastAsia="zh-CN"/>
                    </w:rPr>
                    <w:t>20</w:t>
                  </w:r>
                </w:p>
              </w:tc>
              <w:tc>
                <w:tcPr>
                  <w:tcW w:w="1338" w:type="pct"/>
                  <w:tcBorders>
                    <w:bottom w:val="single" w:color="auto" w:sz="4" w:space="0"/>
                  </w:tcBorders>
                  <w:noWrap/>
                  <w:vAlign w:val="center"/>
                </w:tcPr>
                <w:p w14:paraId="4B26DA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b w:val="0"/>
                      <w:bCs w:val="0"/>
                      <w:color w:val="auto"/>
                      <w:kern w:val="0"/>
                      <w:sz w:val="21"/>
                      <w:szCs w:val="21"/>
                      <w:lang w:val="en-US" w:eastAsia="zh-CN"/>
                    </w:rPr>
                  </w:pPr>
                  <w:r>
                    <w:rPr>
                      <w:rFonts w:hint="eastAsia" w:ascii="Times New Roman" w:hAnsi="Times New Roman" w:eastAsia="宋体"/>
                      <w:b w:val="0"/>
                      <w:bCs w:val="0"/>
                      <w:color w:val="auto"/>
                      <w:kern w:val="0"/>
                      <w:sz w:val="21"/>
                      <w:szCs w:val="21"/>
                      <w:lang w:val="en-US" w:eastAsia="zh-CN"/>
                    </w:rPr>
                    <w:t>1.0</w:t>
                  </w:r>
                </w:p>
              </w:tc>
              <w:tc>
                <w:tcPr>
                  <w:tcW w:w="1051" w:type="pct"/>
                  <w:tcBorders>
                    <w:bottom w:val="single" w:color="auto" w:sz="4" w:space="0"/>
                    <w:right w:val="single" w:color="auto" w:sz="4" w:space="0"/>
                  </w:tcBorders>
                  <w:noWrap/>
                  <w:vAlign w:val="center"/>
                </w:tcPr>
                <w:p w14:paraId="2FD7B9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b w:val="0"/>
                      <w:bCs w:val="0"/>
                      <w:color w:val="auto"/>
                      <w:kern w:val="0"/>
                      <w:sz w:val="21"/>
                      <w:szCs w:val="21"/>
                      <w:lang w:val="en-US" w:eastAsia="zh-CN"/>
                    </w:rPr>
                  </w:pPr>
                  <w:r>
                    <w:rPr>
                      <w:rFonts w:hint="eastAsia" w:ascii="Times New Roman" w:hAnsi="Times New Roman" w:eastAsia="宋体"/>
                      <w:b w:val="0"/>
                      <w:bCs w:val="0"/>
                      <w:color w:val="auto"/>
                      <w:kern w:val="0"/>
                      <w:sz w:val="21"/>
                      <w:szCs w:val="21"/>
                      <w:lang w:val="en-US" w:eastAsia="zh-CN"/>
                    </w:rPr>
                    <w:t>0.2</w:t>
                  </w:r>
                </w:p>
              </w:tc>
            </w:tr>
            <w:tr w14:paraId="5A201D4A">
              <w:tblPrEx>
                <w:tblBorders>
                  <w:top w:val="single" w:color="000000" w:sz="8"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1478" w:type="pct"/>
                  <w:tcBorders>
                    <w:top w:val="single" w:color="auto" w:sz="4" w:space="0"/>
                    <w:left w:val="single" w:color="auto" w:sz="4" w:space="0"/>
                    <w:bottom w:val="single" w:color="auto" w:sz="4" w:space="0"/>
                  </w:tcBorders>
                  <w:noWrap/>
                  <w:vAlign w:val="center"/>
                </w:tcPr>
                <w:p w14:paraId="504C074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b w:val="0"/>
                      <w:bCs w:val="0"/>
                      <w:color w:val="auto"/>
                      <w:kern w:val="0"/>
                      <w:sz w:val="21"/>
                      <w:szCs w:val="21"/>
                    </w:rPr>
                  </w:pPr>
                  <w:r>
                    <w:rPr>
                      <w:rFonts w:ascii="Times New Roman" w:hAnsi="Times New Roman" w:eastAsia="宋体"/>
                      <w:b w:val="0"/>
                      <w:bCs w:val="0"/>
                      <w:color w:val="auto"/>
                      <w:kern w:val="0"/>
                      <w:sz w:val="21"/>
                      <w:szCs w:val="21"/>
                    </w:rPr>
                    <w:t>达标情况</w:t>
                  </w:r>
                </w:p>
              </w:tc>
              <w:tc>
                <w:tcPr>
                  <w:tcW w:w="1134" w:type="pct"/>
                  <w:tcBorders>
                    <w:top w:val="single" w:color="auto" w:sz="4" w:space="0"/>
                    <w:bottom w:val="single" w:color="auto" w:sz="4" w:space="0"/>
                  </w:tcBorders>
                  <w:noWrap/>
                  <w:vAlign w:val="center"/>
                </w:tcPr>
                <w:p w14:paraId="4DF161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b w:val="0"/>
                      <w:bCs w:val="0"/>
                      <w:color w:val="auto"/>
                      <w:kern w:val="0"/>
                      <w:sz w:val="21"/>
                      <w:szCs w:val="21"/>
                    </w:rPr>
                  </w:pPr>
                  <w:r>
                    <w:rPr>
                      <w:rFonts w:hint="eastAsia"/>
                      <w:b w:val="0"/>
                      <w:bCs w:val="0"/>
                      <w:color w:val="auto"/>
                      <w:kern w:val="0"/>
                      <w:sz w:val="21"/>
                      <w:szCs w:val="21"/>
                      <w:lang w:eastAsia="zh-CN"/>
                    </w:rPr>
                    <w:t>不</w:t>
                  </w:r>
                  <w:r>
                    <w:rPr>
                      <w:rFonts w:hint="eastAsia" w:ascii="Times New Roman" w:hAnsi="Times New Roman" w:eastAsia="宋体"/>
                      <w:b w:val="0"/>
                      <w:bCs w:val="0"/>
                      <w:color w:val="auto"/>
                      <w:kern w:val="0"/>
                      <w:sz w:val="21"/>
                      <w:szCs w:val="21"/>
                    </w:rPr>
                    <w:t>达标</w:t>
                  </w:r>
                </w:p>
              </w:tc>
              <w:tc>
                <w:tcPr>
                  <w:tcW w:w="1338" w:type="pct"/>
                  <w:tcBorders>
                    <w:top w:val="single" w:color="auto" w:sz="4" w:space="0"/>
                    <w:bottom w:val="single" w:color="auto" w:sz="4" w:space="0"/>
                  </w:tcBorders>
                  <w:noWrap/>
                  <w:vAlign w:val="center"/>
                </w:tcPr>
                <w:p w14:paraId="284B51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b w:val="0"/>
                      <w:bCs w:val="0"/>
                      <w:color w:val="auto"/>
                      <w:kern w:val="0"/>
                      <w:sz w:val="21"/>
                      <w:szCs w:val="21"/>
                    </w:rPr>
                  </w:pPr>
                  <w:r>
                    <w:rPr>
                      <w:rFonts w:hint="eastAsia"/>
                      <w:b w:val="0"/>
                      <w:bCs w:val="0"/>
                      <w:color w:val="auto"/>
                      <w:kern w:val="0"/>
                      <w:sz w:val="21"/>
                      <w:szCs w:val="21"/>
                      <w:lang w:eastAsia="zh-CN"/>
                    </w:rPr>
                    <w:t>达标</w:t>
                  </w:r>
                </w:p>
              </w:tc>
              <w:tc>
                <w:tcPr>
                  <w:tcW w:w="1051" w:type="pct"/>
                  <w:tcBorders>
                    <w:top w:val="single" w:color="auto" w:sz="4" w:space="0"/>
                    <w:bottom w:val="single" w:color="auto" w:sz="4" w:space="0"/>
                    <w:right w:val="single" w:color="auto" w:sz="4" w:space="0"/>
                  </w:tcBorders>
                  <w:noWrap/>
                  <w:vAlign w:val="center"/>
                </w:tcPr>
                <w:p w14:paraId="2955D0C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b w:val="0"/>
                      <w:bCs w:val="0"/>
                      <w:color w:val="auto"/>
                      <w:kern w:val="0"/>
                      <w:sz w:val="21"/>
                      <w:szCs w:val="21"/>
                    </w:rPr>
                  </w:pPr>
                  <w:r>
                    <w:rPr>
                      <w:rFonts w:hint="eastAsia" w:ascii="Times New Roman" w:hAnsi="Times New Roman" w:eastAsia="宋体"/>
                      <w:b w:val="0"/>
                      <w:bCs w:val="0"/>
                      <w:color w:val="auto"/>
                      <w:kern w:val="0"/>
                      <w:sz w:val="21"/>
                      <w:szCs w:val="21"/>
                    </w:rPr>
                    <w:t>达标</w:t>
                  </w:r>
                </w:p>
              </w:tc>
            </w:tr>
          </w:tbl>
          <w:p w14:paraId="76E0A864">
            <w:pPr>
              <w:pStyle w:val="7"/>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Times New Roman" w:hAnsi="Times New Roman" w:cs="Times New Roman"/>
                <w:b/>
                <w:bCs/>
                <w:color w:val="auto"/>
              </w:rPr>
            </w:pPr>
            <w:r>
              <w:rPr>
                <w:color w:val="auto"/>
                <w:sz w:val="24"/>
              </w:rPr>
              <w:t>由上表可知，</w:t>
            </w:r>
            <w:r>
              <w:rPr>
                <w:rFonts w:hint="default" w:ascii="Times New Roman" w:hAnsi="Times New Roman" w:eastAsia="宋体" w:cs="Times New Roman"/>
                <w:color w:val="auto"/>
                <w:sz w:val="24"/>
              </w:rPr>
              <w:t>202</w:t>
            </w:r>
            <w:r>
              <w:rPr>
                <w:rFonts w:hint="eastAsia" w:cs="Times New Roman"/>
                <w:color w:val="auto"/>
                <w:sz w:val="24"/>
                <w:lang w:val="en-US" w:eastAsia="zh-CN"/>
              </w:rPr>
              <w:t>5</w:t>
            </w:r>
            <w:r>
              <w:rPr>
                <w:rFonts w:hint="default" w:ascii="Times New Roman" w:hAnsi="Times New Roman" w:eastAsia="宋体" w:cs="Times New Roman"/>
                <w:color w:val="auto"/>
                <w:sz w:val="24"/>
              </w:rPr>
              <w:t>年</w:t>
            </w:r>
            <w:r>
              <w:rPr>
                <w:rFonts w:hint="eastAsia" w:cs="Times New Roman"/>
                <w:color w:val="auto"/>
                <w:sz w:val="24"/>
                <w:lang w:val="en-US" w:eastAsia="zh-CN"/>
              </w:rPr>
              <w:t>1-12</w:t>
            </w:r>
            <w:r>
              <w:rPr>
                <w:rFonts w:hint="default" w:ascii="Times New Roman" w:hAnsi="Times New Roman" w:eastAsia="宋体" w:cs="Times New Roman"/>
                <w:color w:val="auto"/>
                <w:sz w:val="24"/>
              </w:rPr>
              <w:t>月</w:t>
            </w:r>
            <w:r>
              <w:rPr>
                <w:rFonts w:hint="eastAsia" w:cs="Times New Roman"/>
                <w:color w:val="auto"/>
                <w:sz w:val="24"/>
                <w:lang w:eastAsia="zh-CN"/>
              </w:rPr>
              <w:t>东孟姜女河高新区入口</w:t>
            </w:r>
            <w:r>
              <w:rPr>
                <w:rFonts w:hint="default" w:ascii="Times New Roman" w:hAnsi="Times New Roman" w:eastAsia="宋体" w:cs="Times New Roman"/>
                <w:color w:val="auto"/>
                <w:sz w:val="24"/>
              </w:rPr>
              <w:t>断面</w:t>
            </w:r>
            <w:r>
              <w:rPr>
                <w:rFonts w:hint="eastAsia" w:cs="Times New Roman"/>
                <w:color w:val="auto"/>
                <w:sz w:val="24"/>
                <w:lang w:val="en-US" w:eastAsia="zh-CN"/>
              </w:rPr>
              <w:t>监测</w:t>
            </w:r>
            <w:r>
              <w:rPr>
                <w:rFonts w:hint="default" w:ascii="Times New Roman" w:hAnsi="Times New Roman" w:eastAsia="宋体" w:cs="Times New Roman"/>
                <w:color w:val="auto"/>
                <w:sz w:val="24"/>
              </w:rPr>
              <w:t>数据COD</w:t>
            </w:r>
            <w:r>
              <w:rPr>
                <w:rFonts w:hint="eastAsia" w:cs="Times New Roman"/>
                <w:color w:val="auto"/>
                <w:sz w:val="24"/>
                <w:lang w:val="en-US" w:eastAsia="zh-CN"/>
              </w:rPr>
              <w:t>存在超标现象</w:t>
            </w:r>
            <w:r>
              <w:rPr>
                <w:rFonts w:hint="default" w:ascii="Times New Roman" w:hAnsi="Times New Roman" w:eastAsia="宋体" w:cs="Times New Roman"/>
                <w:color w:val="auto"/>
                <w:sz w:val="24"/>
              </w:rPr>
              <w:t>。目前新乡市正在推</w:t>
            </w:r>
            <w:r>
              <w:rPr>
                <w:rFonts w:hint="default" w:ascii="Times New Roman" w:hAnsi="Times New Roman" w:eastAsia="宋体" w:cs="Times New Roman"/>
                <w:color w:val="000000" w:themeColor="text1"/>
                <w:sz w:val="24"/>
                <w14:textFill>
                  <w14:solidFill>
                    <w14:schemeClr w14:val="tx1"/>
                  </w14:solidFill>
                </w14:textFill>
              </w:rPr>
              <w:t>进实施</w:t>
            </w:r>
            <w:r>
              <w:rPr>
                <w:rFonts w:hint="default" w:ascii="Times New Roman" w:hAnsi="Times New Roman" w:eastAsia="宋体" w:cs="Times New Roman"/>
                <w:color w:val="000000"/>
                <w:sz w:val="24"/>
                <w:lang w:val="en-US" w:eastAsia="zh-CN"/>
              </w:rPr>
              <w:t>《河南省2026年碧水保卫战实施方案》（豫环委办〔2026〕4号）</w:t>
            </w:r>
            <w:r>
              <w:rPr>
                <w:rFonts w:hint="eastAsia" w:cs="Times New Roman"/>
                <w:color w:val="000000"/>
                <w:sz w:val="24"/>
                <w:lang w:val="en-US" w:eastAsia="zh-CN"/>
              </w:rPr>
              <w:t>、《新乡市2026年碧水保卫战实施方案》（新环委办</w:t>
            </w:r>
            <w:r>
              <w:rPr>
                <w:rFonts w:hint="default" w:ascii="Times New Roman" w:hAnsi="Times New Roman" w:eastAsia="宋体" w:cs="Times New Roman"/>
                <w:color w:val="000000"/>
                <w:sz w:val="24"/>
                <w:lang w:val="en-US" w:eastAsia="zh-CN"/>
              </w:rPr>
              <w:t>〔2026〕</w:t>
            </w:r>
            <w:r>
              <w:rPr>
                <w:rFonts w:hint="eastAsia" w:cs="Times New Roman"/>
                <w:color w:val="000000"/>
                <w:sz w:val="24"/>
                <w:lang w:val="en-US" w:eastAsia="zh-CN"/>
              </w:rPr>
              <w:t>17号）</w:t>
            </w:r>
            <w:r>
              <w:rPr>
                <w:rFonts w:hint="default" w:ascii="Times New Roman" w:hAnsi="Times New Roman" w:eastAsia="宋体" w:cs="Times New Roman"/>
                <w:color w:val="000000" w:themeColor="text1"/>
                <w:sz w:val="24"/>
                <w14:textFill>
                  <w14:solidFill>
                    <w14:schemeClr w14:val="tx1"/>
                  </w14:solidFill>
                </w14:textFill>
              </w:rPr>
              <w:t>，将继续改善新乡市水环境质量</w:t>
            </w:r>
            <w:r>
              <w:rPr>
                <w:rFonts w:hint="default" w:ascii="Times New Roman" w:hAnsi="Times New Roman" w:eastAsia="宋体" w:cs="Times New Roman"/>
                <w:color w:val="000000" w:themeColor="text1"/>
                <w:sz w:val="24"/>
                <w:highlight w:val="none"/>
                <w14:textFill>
                  <w14:solidFill>
                    <w14:schemeClr w14:val="tx1"/>
                  </w14:solidFill>
                </w14:textFill>
              </w:rPr>
              <w:t>。</w:t>
            </w:r>
          </w:p>
          <w:p w14:paraId="539E62C3">
            <w:pPr>
              <w:keepNext w:val="0"/>
              <w:keepLines w:val="0"/>
              <w:pageBreakBefore w:val="0"/>
              <w:widowControl w:val="0"/>
              <w:kinsoku/>
              <w:wordWrap/>
              <w:overflowPunct/>
              <w:topLinePunct w:val="0"/>
              <w:autoSpaceDE/>
              <w:autoSpaceDN/>
              <w:bidi w:val="0"/>
              <w:adjustRightInd w:val="0"/>
              <w:snapToGrid w:val="0"/>
              <w:spacing w:line="520" w:lineRule="atLeast"/>
              <w:ind w:firstLine="482" w:firstLineChars="200"/>
              <w:jc w:val="left"/>
              <w:textAlignment w:val="auto"/>
              <w:rPr>
                <w:rFonts w:hint="default" w:ascii="Times New Roman" w:hAnsi="Times New Roman" w:cs="Times New Roman"/>
                <w:b/>
                <w:bCs/>
                <w:color w:val="auto"/>
              </w:rPr>
            </w:pPr>
            <w:r>
              <w:rPr>
                <w:rFonts w:hint="default" w:ascii="Times New Roman" w:hAnsi="Times New Roman" w:cs="Times New Roman"/>
                <w:b/>
                <w:bCs/>
                <w:color w:val="auto"/>
              </w:rPr>
              <w:t>3、声环境质量现状</w:t>
            </w:r>
          </w:p>
          <w:p w14:paraId="331729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atLeast"/>
              <w:ind w:left="0" w:right="0" w:firstLine="480" w:firstLineChars="200"/>
              <w:textAlignment w:val="auto"/>
              <w:rPr>
                <w:rFonts w:hint="default" w:ascii="Times New Roman" w:hAnsi="Times New Roman" w:cs="Times New Roman"/>
                <w:color w:val="auto"/>
              </w:rPr>
            </w:pPr>
            <w:r>
              <w:rPr>
                <w:rFonts w:hint="default" w:ascii="Times New Roman" w:hAnsi="Times New Roman" w:cs="Times New Roman"/>
                <w:color w:val="auto"/>
                <w:lang w:eastAsia="zh-CN"/>
              </w:rPr>
              <w:t>项目厂界外周边</w:t>
            </w:r>
            <w:r>
              <w:rPr>
                <w:rFonts w:hint="default" w:ascii="Times New Roman" w:hAnsi="Times New Roman" w:cs="Times New Roman"/>
                <w:color w:val="auto"/>
                <w:lang w:val="en-US" w:eastAsia="zh-CN"/>
              </w:rPr>
              <w:t>50米范围内无声环境保护目标。</w:t>
            </w:r>
          </w:p>
          <w:p w14:paraId="1D252637">
            <w:pPr>
              <w:keepNext w:val="0"/>
              <w:keepLines w:val="0"/>
              <w:pageBreakBefore w:val="0"/>
              <w:widowControl w:val="0"/>
              <w:kinsoku/>
              <w:wordWrap/>
              <w:overflowPunct/>
              <w:topLinePunct w:val="0"/>
              <w:autoSpaceDE/>
              <w:autoSpaceDN/>
              <w:bidi w:val="0"/>
              <w:adjustRightInd w:val="0"/>
              <w:snapToGrid w:val="0"/>
              <w:spacing w:line="520" w:lineRule="atLeast"/>
              <w:ind w:firstLine="482" w:firstLineChars="200"/>
              <w:textAlignment w:val="auto"/>
              <w:outlineLvl w:val="9"/>
              <w:rPr>
                <w:rFonts w:hint="default" w:ascii="Times New Roman" w:hAnsi="Times New Roman" w:cs="Times New Roman"/>
                <w:color w:val="auto"/>
              </w:rPr>
            </w:pPr>
            <w:r>
              <w:rPr>
                <w:rFonts w:hint="default" w:ascii="Times New Roman" w:hAnsi="Times New Roman" w:cs="Times New Roman"/>
                <w:b/>
                <w:bCs/>
                <w:color w:val="auto"/>
              </w:rPr>
              <w:t>4、地下水、土壤环境质量现状</w:t>
            </w:r>
          </w:p>
          <w:p w14:paraId="19DC3C41">
            <w:pPr>
              <w:keepNext w:val="0"/>
              <w:keepLines w:val="0"/>
              <w:pageBreakBefore w:val="0"/>
              <w:widowControl w:val="0"/>
              <w:kinsoku/>
              <w:wordWrap/>
              <w:overflowPunct/>
              <w:topLinePunct w:val="0"/>
              <w:autoSpaceDE/>
              <w:autoSpaceDN/>
              <w:bidi w:val="0"/>
              <w:adjustRightInd w:val="0"/>
              <w:snapToGrid w:val="0"/>
              <w:spacing w:line="520" w:lineRule="atLeast"/>
              <w:ind w:firstLine="480" w:firstLineChars="200"/>
              <w:textAlignment w:val="auto"/>
              <w:outlineLvl w:val="9"/>
              <w:rPr>
                <w:rFonts w:hint="default" w:ascii="Times New Roman" w:hAnsi="Times New Roman" w:cs="Times New Roman"/>
                <w:b/>
                <w:bCs/>
                <w:color w:val="auto"/>
              </w:rPr>
            </w:pPr>
            <w:r>
              <w:rPr>
                <w:rFonts w:hint="default" w:ascii="Times New Roman" w:hAnsi="Times New Roman" w:cs="Times New Roman"/>
                <w:color w:val="auto"/>
              </w:rPr>
              <w:t>根据《建设项目环境影响报告表编制技术指南（污染影响类）（试行）》，原则上不开展地下水和土壤环境质量现状调查，且本项目不存在地下水、土壤污染途径，因此不进行地下水、土壤质量现状调查。</w:t>
            </w:r>
          </w:p>
          <w:p w14:paraId="1A12987A">
            <w:pPr>
              <w:keepNext w:val="0"/>
              <w:keepLines w:val="0"/>
              <w:pageBreakBefore w:val="0"/>
              <w:widowControl w:val="0"/>
              <w:kinsoku/>
              <w:wordWrap/>
              <w:overflowPunct/>
              <w:topLinePunct w:val="0"/>
              <w:autoSpaceDE/>
              <w:autoSpaceDN/>
              <w:bidi w:val="0"/>
              <w:adjustRightInd w:val="0"/>
              <w:snapToGrid w:val="0"/>
              <w:spacing w:line="520" w:lineRule="atLeast"/>
              <w:ind w:firstLine="482" w:firstLineChars="200"/>
              <w:textAlignment w:val="auto"/>
              <w:outlineLvl w:val="9"/>
              <w:rPr>
                <w:rFonts w:hint="default" w:ascii="Times New Roman" w:hAnsi="Times New Roman" w:cs="Times New Roman"/>
                <w:b/>
                <w:bCs/>
                <w:color w:val="auto"/>
              </w:rPr>
            </w:pPr>
            <w:r>
              <w:rPr>
                <w:rFonts w:hint="default" w:ascii="Times New Roman" w:hAnsi="Times New Roman" w:cs="Times New Roman"/>
                <w:b/>
                <w:bCs/>
                <w:color w:val="auto"/>
              </w:rPr>
              <w:t>5、生态环境现状</w:t>
            </w:r>
          </w:p>
          <w:p w14:paraId="5641C8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20" w:lineRule="exact"/>
              <w:ind w:left="0" w:right="0" w:firstLine="480" w:firstLineChars="200"/>
              <w:jc w:val="both"/>
              <w:textAlignment w:val="auto"/>
              <w:rPr>
                <w:rFonts w:hint="default" w:ascii="Times New Roman" w:hAnsi="Times New Roman" w:cs="Times New Roman"/>
                <w:color w:val="auto"/>
                <w:lang w:eastAsia="zh-CN"/>
              </w:rPr>
            </w:pPr>
            <w:r>
              <w:rPr>
                <w:color w:val="auto"/>
                <w:sz w:val="24"/>
              </w:rPr>
              <w:t>根据《建设项目环境影响报告表编制技术指南（污染影响类）（试行）》，产业园区外建设项目新增用地且用地范围内含有生态环境保护目标时，应进行生态现状调查。本项目位</w:t>
            </w:r>
            <w:r>
              <w:rPr>
                <w:rFonts w:hint="eastAsia"/>
                <w:color w:val="auto"/>
                <w:sz w:val="24"/>
              </w:rPr>
              <w:t>于</w:t>
            </w:r>
            <w:r>
              <w:rPr>
                <w:rFonts w:hint="eastAsia" w:cs="宋体"/>
                <w:color w:val="auto"/>
                <w:spacing w:val="0"/>
                <w:sz w:val="24"/>
                <w:szCs w:val="24"/>
                <w:lang w:eastAsia="zh-CN"/>
              </w:rPr>
              <w:t>新乡市新乡县翟坡镇东大阳堤村村西中央大道东侧</w:t>
            </w:r>
            <w:r>
              <w:rPr>
                <w:color w:val="auto"/>
                <w:sz w:val="24"/>
              </w:rPr>
              <w:t>，</w:t>
            </w:r>
            <w:r>
              <w:rPr>
                <w:rFonts w:hint="default" w:ascii="Times New Roman" w:hAnsi="Times New Roman" w:cs="Times New Roman"/>
                <w:bCs/>
                <w:color w:val="000000" w:themeColor="text1"/>
                <w:sz w:val="24"/>
                <w14:textFill>
                  <w14:solidFill>
                    <w14:schemeClr w14:val="tx1"/>
                  </w14:solidFill>
                </w14:textFill>
              </w:rPr>
              <w:t>项目</w:t>
            </w:r>
            <w:r>
              <w:rPr>
                <w:rFonts w:hint="default" w:ascii="Times New Roman" w:hAnsi="Times New Roman" w:cs="Times New Roman"/>
                <w:color w:val="000000" w:themeColor="text1"/>
                <w:sz w:val="24"/>
                <w14:textFill>
                  <w14:solidFill>
                    <w14:schemeClr w14:val="tx1"/>
                  </w14:solidFill>
                </w14:textFill>
              </w:rPr>
              <w:t>周围500m范围内无重点保护的野生动植物、风景名胜区、自然保护区及文化</w:t>
            </w:r>
            <w:r>
              <w:rPr>
                <w:rFonts w:hint="default" w:ascii="Times New Roman" w:hAnsi="Times New Roman" w:eastAsia="宋体" w:cs="Times New Roman"/>
                <w:color w:val="auto"/>
                <w:sz w:val="24"/>
              </w:rPr>
              <w:t>遗产</w:t>
            </w:r>
            <w:r>
              <w:rPr>
                <w:rFonts w:hint="default" w:ascii="Times New Roman" w:hAnsi="Times New Roman" w:cs="Times New Roman"/>
                <w:color w:val="000000" w:themeColor="text1"/>
                <w:sz w:val="24"/>
                <w14:textFill>
                  <w14:solidFill>
                    <w14:schemeClr w14:val="tx1"/>
                  </w14:solidFill>
                </w14:textFill>
              </w:rPr>
              <w:t>等特殊保护目标</w:t>
            </w:r>
            <w:r>
              <w:rPr>
                <w:rFonts w:hint="default" w:ascii="Times New Roman" w:hAnsi="Times New Roman" w:cs="Times New Roman"/>
                <w:color w:val="000000" w:themeColor="text1"/>
                <w:sz w:val="24"/>
                <w:lang w:eastAsia="zh-CN"/>
                <w14:textFill>
                  <w14:solidFill>
                    <w14:schemeClr w14:val="tx1"/>
                  </w14:solidFill>
                </w14:textFill>
              </w:rPr>
              <w:t>。</w:t>
            </w:r>
          </w:p>
        </w:tc>
      </w:tr>
      <w:tr w14:paraId="081EE8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7" w:type="dxa"/>
            <w:noWrap w:val="0"/>
            <w:vAlign w:val="center"/>
          </w:tcPr>
          <w:p w14:paraId="4E5F061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环境</w:t>
            </w:r>
          </w:p>
          <w:p w14:paraId="7B48253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保护</w:t>
            </w:r>
          </w:p>
          <w:p w14:paraId="1B5918C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4"/>
                <w:szCs w:val="24"/>
              </w:rPr>
              <w:t>目标</w:t>
            </w:r>
          </w:p>
        </w:tc>
        <w:tc>
          <w:tcPr>
            <w:tcW w:w="8244" w:type="dxa"/>
            <w:noWrap w:val="0"/>
            <w:vAlign w:val="center"/>
          </w:tcPr>
          <w:p w14:paraId="3E1EAEA3">
            <w:pPr>
              <w:keepNext w:val="0"/>
              <w:keepLines w:val="0"/>
              <w:pageBreakBefore w:val="0"/>
              <w:widowControl w:val="0"/>
              <w:kinsoku/>
              <w:wordWrap/>
              <w:overflowPunct/>
              <w:topLinePunct w:val="0"/>
              <w:autoSpaceDE/>
              <w:autoSpaceDN/>
              <w:bidi w:val="0"/>
              <w:snapToGrid w:val="0"/>
              <w:spacing w:line="520" w:lineRule="exact"/>
              <w:ind w:left="0" w:leftChars="0" w:firstLine="482" w:firstLineChars="200"/>
              <w:textAlignment w:val="auto"/>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1、大气环境</w:t>
            </w:r>
          </w:p>
          <w:p w14:paraId="56932EC6">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jc w:val="both"/>
              <w:textAlignment w:val="auto"/>
              <w:rPr>
                <w:bCs/>
                <w:color w:val="auto"/>
                <w:sz w:val="24"/>
              </w:rPr>
            </w:pPr>
            <w:r>
              <w:rPr>
                <w:color w:val="auto"/>
                <w:sz w:val="24"/>
              </w:rPr>
              <w:t>根据调查，项目厂界外50</w:t>
            </w:r>
            <w:r>
              <w:rPr>
                <w:rFonts w:hint="eastAsia"/>
                <w:color w:val="auto"/>
                <w:sz w:val="24"/>
                <w:lang w:val="en-US" w:eastAsia="zh-CN"/>
              </w:rPr>
              <w:t>0</w:t>
            </w:r>
            <w:r>
              <w:rPr>
                <w:color w:val="auto"/>
                <w:sz w:val="24"/>
              </w:rPr>
              <w:t>米范围内大气环境保护目标</w:t>
            </w:r>
            <w:r>
              <w:rPr>
                <w:bCs/>
                <w:color w:val="auto"/>
                <w:sz w:val="24"/>
              </w:rPr>
              <w:t>见</w:t>
            </w:r>
            <w:r>
              <w:rPr>
                <w:rFonts w:hint="eastAsia"/>
                <w:bCs/>
                <w:color w:val="auto"/>
                <w:sz w:val="24"/>
              </w:rPr>
              <w:t>下</w:t>
            </w:r>
            <w:r>
              <w:rPr>
                <w:bCs/>
                <w:color w:val="auto"/>
                <w:sz w:val="24"/>
              </w:rPr>
              <w:t>表</w:t>
            </w:r>
            <w:r>
              <w:rPr>
                <w:rFonts w:hint="eastAsia"/>
                <w:bCs/>
                <w:color w:val="auto"/>
                <w:sz w:val="24"/>
              </w:rPr>
              <w:t>3-</w:t>
            </w:r>
            <w:r>
              <w:rPr>
                <w:rFonts w:hint="eastAsia"/>
                <w:bCs/>
                <w:color w:val="auto"/>
                <w:sz w:val="24"/>
                <w:lang w:val="en-US" w:eastAsia="zh-CN"/>
              </w:rPr>
              <w:t>3</w:t>
            </w:r>
            <w:r>
              <w:rPr>
                <w:bCs/>
                <w:color w:val="auto"/>
                <w:sz w:val="24"/>
              </w:rPr>
              <w:t>。</w:t>
            </w:r>
          </w:p>
          <w:p w14:paraId="014D2A69">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jc w:val="both"/>
              <w:textAlignment w:val="auto"/>
              <w:rPr>
                <w:color w:val="auto"/>
              </w:rPr>
            </w:pPr>
            <w:r>
              <w:rPr>
                <w:rFonts w:hint="default" w:ascii="Times New Roman" w:hAnsi="Times New Roman" w:eastAsia="黑体" w:cs="Times New Roman"/>
                <w:b w:val="0"/>
                <w:bCs/>
                <w:color w:val="auto"/>
                <w:sz w:val="24"/>
                <w:szCs w:val="24"/>
              </w:rPr>
              <w:t>表</w:t>
            </w:r>
            <w:r>
              <w:rPr>
                <w:rFonts w:hint="default" w:ascii="Times New Roman" w:hAnsi="Times New Roman" w:eastAsia="黑体" w:cs="Times New Roman"/>
                <w:b w:val="0"/>
                <w:bCs/>
                <w:color w:val="auto"/>
                <w:sz w:val="24"/>
                <w:szCs w:val="24"/>
                <w:lang w:val="en-US" w:eastAsia="zh-CN"/>
              </w:rPr>
              <w:t>3-</w:t>
            </w:r>
            <w:r>
              <w:rPr>
                <w:rFonts w:hint="eastAsia" w:eastAsia="黑体" w:cs="Times New Roman"/>
                <w:b w:val="0"/>
                <w:bCs/>
                <w:color w:val="auto"/>
                <w:sz w:val="24"/>
                <w:szCs w:val="24"/>
                <w:lang w:val="en-US" w:eastAsia="zh-CN"/>
              </w:rPr>
              <w:t>3</w:t>
            </w:r>
            <w:r>
              <w:rPr>
                <w:rFonts w:hint="default" w:ascii="Times New Roman" w:hAnsi="Times New Roman" w:eastAsia="黑体" w:cs="Times New Roman"/>
                <w:b w:val="0"/>
                <w:bCs/>
                <w:color w:val="auto"/>
                <w:sz w:val="24"/>
                <w:szCs w:val="24"/>
              </w:rPr>
              <w:t xml:space="preserve"> </w:t>
            </w:r>
            <w:r>
              <w:rPr>
                <w:rFonts w:hint="default" w:ascii="Times New Roman" w:hAnsi="Times New Roman" w:eastAsia="黑体" w:cs="Times New Roman"/>
                <w:b/>
                <w:color w:val="auto"/>
                <w:sz w:val="24"/>
                <w:szCs w:val="24"/>
              </w:rPr>
              <w:t xml:space="preserve">   </w:t>
            </w:r>
            <w:r>
              <w:rPr>
                <w:rFonts w:hint="default" w:ascii="Times New Roman" w:hAnsi="Times New Roman" w:eastAsia="黑体" w:cs="Times New Roman"/>
                <w:b/>
                <w:color w:val="auto"/>
                <w:sz w:val="24"/>
                <w:szCs w:val="24"/>
                <w:lang w:val="en-US" w:eastAsia="zh-CN"/>
              </w:rPr>
              <w:t xml:space="preserve">    </w:t>
            </w:r>
            <w:r>
              <w:rPr>
                <w:rFonts w:hint="default" w:ascii="Times New Roman" w:hAnsi="Times New Roman" w:eastAsia="黑体" w:cs="Times New Roman"/>
                <w:b w:val="0"/>
                <w:bCs/>
                <w:color w:val="auto"/>
                <w:sz w:val="24"/>
                <w:szCs w:val="24"/>
              </w:rPr>
              <w:t>本项目</w:t>
            </w:r>
            <w:r>
              <w:rPr>
                <w:rFonts w:hint="default" w:ascii="Times New Roman" w:hAnsi="Times New Roman" w:eastAsia="黑体" w:cs="Times New Roman"/>
                <w:b w:val="0"/>
                <w:bCs/>
                <w:color w:val="auto"/>
                <w:sz w:val="24"/>
                <w:szCs w:val="24"/>
                <w:highlight w:val="none"/>
              </w:rPr>
              <w:t>周围环境</w:t>
            </w:r>
            <w:r>
              <w:rPr>
                <w:rFonts w:hint="eastAsia" w:ascii="Times New Roman" w:hAnsi="Times New Roman" w:eastAsia="黑体" w:cs="Times New Roman"/>
                <w:b w:val="0"/>
                <w:bCs/>
                <w:color w:val="auto"/>
                <w:sz w:val="24"/>
                <w:szCs w:val="24"/>
                <w:highlight w:val="none"/>
                <w:lang w:eastAsia="zh-CN"/>
              </w:rPr>
              <w:t>大气环境</w:t>
            </w:r>
            <w:r>
              <w:rPr>
                <w:rFonts w:hint="default" w:ascii="Times New Roman" w:hAnsi="Times New Roman" w:eastAsia="黑体" w:cs="Times New Roman"/>
                <w:b w:val="0"/>
                <w:bCs/>
                <w:color w:val="auto"/>
                <w:sz w:val="24"/>
                <w:szCs w:val="24"/>
                <w:highlight w:val="none"/>
              </w:rPr>
              <w:t>保护</w:t>
            </w:r>
            <w:r>
              <w:rPr>
                <w:rFonts w:hint="default" w:ascii="Times New Roman" w:hAnsi="Times New Roman" w:eastAsia="黑体" w:cs="Times New Roman"/>
                <w:b w:val="0"/>
                <w:bCs/>
                <w:color w:val="auto"/>
                <w:sz w:val="24"/>
                <w:szCs w:val="24"/>
              </w:rPr>
              <w:t>目标</w:t>
            </w:r>
            <w:r>
              <w:rPr>
                <w:rFonts w:hint="default" w:ascii="Times New Roman" w:hAnsi="Times New Roman" w:eastAsia="黑体" w:cs="Times New Roman"/>
                <w:b w:val="0"/>
                <w:bCs/>
                <w:color w:val="auto"/>
                <w:sz w:val="24"/>
                <w:szCs w:val="24"/>
                <w:lang w:eastAsia="zh-CN"/>
              </w:rPr>
              <w:t>一览表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515"/>
              <w:gridCol w:w="1110"/>
              <w:gridCol w:w="780"/>
              <w:gridCol w:w="1065"/>
              <w:gridCol w:w="2684"/>
            </w:tblGrid>
            <w:tr w14:paraId="5D687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4" w:type="dxa"/>
                  <w:vMerge w:val="restart"/>
                  <w:tcBorders>
                    <w:tl2br w:val="nil"/>
                    <w:tr2bl w:val="nil"/>
                  </w:tcBorders>
                  <w:noWrap w:val="0"/>
                  <w:vAlign w:val="center"/>
                </w:tcPr>
                <w:p w14:paraId="7C070EFB">
                  <w:pPr>
                    <w:keepNext w:val="0"/>
                    <w:keepLines w:val="0"/>
                    <w:pageBreakBefore w:val="0"/>
                    <w:kinsoku/>
                    <w:wordWrap/>
                    <w:overflowPunct/>
                    <w:topLinePunct w:val="0"/>
                    <w:bidi w:val="0"/>
                    <w:adjustRightInd w:val="0"/>
                    <w:snapToGrid w:val="0"/>
                    <w:spacing w:line="240" w:lineRule="auto"/>
                    <w:ind w:left="0" w:leftChars="0" w:firstLine="0" w:firstLineChars="0"/>
                    <w:jc w:val="center"/>
                    <w:rPr>
                      <w:rFonts w:hint="default" w:ascii="Times New Roman" w:hAnsi="Times New Roman" w:eastAsia="宋体" w:cs="Times New Roman"/>
                      <w:b w:val="0"/>
                      <w:bCs w:val="0"/>
                      <w:color w:val="auto"/>
                      <w:sz w:val="21"/>
                      <w:szCs w:val="21"/>
                      <w:vertAlign w:val="baseline"/>
                      <w:lang w:eastAsia="zh-CN"/>
                    </w:rPr>
                  </w:pPr>
                  <w:r>
                    <w:rPr>
                      <w:rFonts w:hint="default" w:ascii="Times New Roman" w:hAnsi="Times New Roman" w:eastAsia="宋体" w:cs="Times New Roman"/>
                      <w:b w:val="0"/>
                      <w:bCs w:val="0"/>
                      <w:color w:val="auto"/>
                      <w:sz w:val="21"/>
                      <w:szCs w:val="21"/>
                    </w:rPr>
                    <w:t>保护类别</w:t>
                  </w:r>
                </w:p>
              </w:tc>
              <w:tc>
                <w:tcPr>
                  <w:tcW w:w="1515" w:type="dxa"/>
                  <w:vMerge w:val="restart"/>
                  <w:tcBorders>
                    <w:tl2br w:val="nil"/>
                    <w:tr2bl w:val="nil"/>
                  </w:tcBorders>
                  <w:noWrap w:val="0"/>
                  <w:vAlign w:val="center"/>
                </w:tcPr>
                <w:p w14:paraId="69FA7F7A">
                  <w:pPr>
                    <w:keepNext w:val="0"/>
                    <w:keepLines w:val="0"/>
                    <w:pageBreakBefore w:val="0"/>
                    <w:kinsoku/>
                    <w:wordWrap/>
                    <w:overflowPunct/>
                    <w:topLinePunct w:val="0"/>
                    <w:bidi w:val="0"/>
                    <w:adjustRightInd w:val="0"/>
                    <w:snapToGrid w:val="0"/>
                    <w:spacing w:line="240" w:lineRule="auto"/>
                    <w:ind w:left="0" w:leftChars="0" w:firstLine="0" w:firstLineChars="0"/>
                    <w:jc w:val="center"/>
                    <w:rPr>
                      <w:rFonts w:hint="default" w:ascii="Times New Roman" w:hAnsi="Times New Roman" w:eastAsia="宋体" w:cs="Times New Roman"/>
                      <w:b w:val="0"/>
                      <w:bCs w:val="0"/>
                      <w:color w:val="auto"/>
                      <w:sz w:val="21"/>
                      <w:szCs w:val="21"/>
                      <w:vertAlign w:val="baseline"/>
                      <w:lang w:eastAsia="zh-CN"/>
                    </w:rPr>
                  </w:pPr>
                  <w:r>
                    <w:rPr>
                      <w:rFonts w:hint="default" w:ascii="Times New Roman" w:hAnsi="Times New Roman" w:eastAsia="宋体" w:cs="Times New Roman"/>
                      <w:b w:val="0"/>
                      <w:bCs w:val="0"/>
                      <w:color w:val="auto"/>
                      <w:sz w:val="21"/>
                      <w:szCs w:val="21"/>
                    </w:rPr>
                    <w:t>环境保护目标</w:t>
                  </w:r>
                </w:p>
              </w:tc>
              <w:tc>
                <w:tcPr>
                  <w:tcW w:w="1110" w:type="dxa"/>
                  <w:vMerge w:val="restart"/>
                  <w:tcBorders>
                    <w:tl2br w:val="nil"/>
                    <w:tr2bl w:val="nil"/>
                  </w:tcBorders>
                  <w:noWrap w:val="0"/>
                  <w:vAlign w:val="center"/>
                </w:tcPr>
                <w:p w14:paraId="599572DD">
                  <w:pPr>
                    <w:keepNext w:val="0"/>
                    <w:keepLines w:val="0"/>
                    <w:pageBreakBefore w:val="0"/>
                    <w:kinsoku/>
                    <w:wordWrap/>
                    <w:overflowPunct/>
                    <w:topLinePunct w:val="0"/>
                    <w:bidi w:val="0"/>
                    <w:adjustRightInd w:val="0"/>
                    <w:snapToGrid w:val="0"/>
                    <w:spacing w:line="240" w:lineRule="auto"/>
                    <w:ind w:left="0" w:leftChars="0" w:firstLine="0" w:firstLineChars="0"/>
                    <w:jc w:val="center"/>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lang w:eastAsia="zh-CN"/>
                    </w:rPr>
                    <w:t>保护内容</w:t>
                  </w:r>
                </w:p>
              </w:tc>
              <w:tc>
                <w:tcPr>
                  <w:tcW w:w="780" w:type="dxa"/>
                  <w:vMerge w:val="restart"/>
                  <w:tcBorders>
                    <w:tl2br w:val="nil"/>
                    <w:tr2bl w:val="nil"/>
                  </w:tcBorders>
                  <w:noWrap w:val="0"/>
                  <w:vAlign w:val="center"/>
                </w:tcPr>
                <w:p w14:paraId="6AE4ED1D">
                  <w:pPr>
                    <w:keepNext w:val="0"/>
                    <w:keepLines w:val="0"/>
                    <w:pageBreakBefore w:val="0"/>
                    <w:kinsoku/>
                    <w:wordWrap/>
                    <w:overflowPunct/>
                    <w:topLinePunct w:val="0"/>
                    <w:bidi w:val="0"/>
                    <w:adjustRightInd w:val="0"/>
                    <w:snapToGrid w:val="0"/>
                    <w:spacing w:line="240" w:lineRule="auto"/>
                    <w:ind w:left="0" w:leftChars="0" w:firstLine="0" w:firstLineChars="0"/>
                    <w:jc w:val="center"/>
                    <w:rPr>
                      <w:rFonts w:hint="default" w:ascii="Times New Roman" w:hAnsi="Times New Roman" w:eastAsia="宋体" w:cs="Times New Roman"/>
                      <w:b w:val="0"/>
                      <w:bCs w:val="0"/>
                      <w:color w:val="auto"/>
                      <w:kern w:val="2"/>
                      <w:sz w:val="21"/>
                      <w:szCs w:val="21"/>
                      <w:vertAlign w:val="baseline"/>
                      <w:lang w:val="en-US" w:eastAsia="zh-CN" w:bidi="ar-SA"/>
                    </w:rPr>
                  </w:pPr>
                  <w:r>
                    <w:rPr>
                      <w:rFonts w:hint="default" w:ascii="Times New Roman" w:hAnsi="Times New Roman" w:eastAsia="宋体" w:cs="Times New Roman"/>
                      <w:b w:val="0"/>
                      <w:bCs w:val="0"/>
                      <w:color w:val="auto"/>
                      <w:sz w:val="21"/>
                      <w:szCs w:val="21"/>
                    </w:rPr>
                    <w:t>方位</w:t>
                  </w:r>
                </w:p>
              </w:tc>
              <w:tc>
                <w:tcPr>
                  <w:tcW w:w="1065" w:type="dxa"/>
                  <w:vMerge w:val="restart"/>
                  <w:tcBorders>
                    <w:tl2br w:val="nil"/>
                    <w:tr2bl w:val="nil"/>
                  </w:tcBorders>
                  <w:noWrap w:val="0"/>
                  <w:vAlign w:val="center"/>
                </w:tcPr>
                <w:p w14:paraId="164F0187">
                  <w:pPr>
                    <w:keepNext w:val="0"/>
                    <w:keepLines w:val="0"/>
                    <w:pageBreakBefore w:val="0"/>
                    <w:kinsoku/>
                    <w:wordWrap/>
                    <w:overflowPunct/>
                    <w:topLinePunct w:val="0"/>
                    <w:bidi w:val="0"/>
                    <w:adjustRightInd w:val="0"/>
                    <w:snapToGrid w:val="0"/>
                    <w:spacing w:line="240" w:lineRule="auto"/>
                    <w:ind w:left="0" w:leftChars="0" w:firstLine="0" w:firstLineChars="0"/>
                    <w:jc w:val="center"/>
                    <w:rPr>
                      <w:rFonts w:hint="default" w:ascii="Times New Roman" w:hAnsi="Times New Roman" w:eastAsia="宋体" w:cs="Times New Roman"/>
                      <w:b w:val="0"/>
                      <w:bCs w:val="0"/>
                      <w:color w:val="auto"/>
                      <w:sz w:val="21"/>
                      <w:szCs w:val="21"/>
                      <w:lang w:eastAsia="zh-CN"/>
                    </w:rPr>
                  </w:pPr>
                  <w:r>
                    <w:rPr>
                      <w:rFonts w:hint="default" w:ascii="Times New Roman" w:hAnsi="Times New Roman" w:eastAsia="宋体" w:cs="Times New Roman"/>
                      <w:b w:val="0"/>
                      <w:bCs w:val="0"/>
                      <w:color w:val="auto"/>
                      <w:sz w:val="21"/>
                      <w:szCs w:val="21"/>
                    </w:rPr>
                    <w:t>距离</w:t>
                  </w:r>
                  <w:r>
                    <w:rPr>
                      <w:rFonts w:hint="default"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lang w:val="en-US" w:eastAsia="zh-CN"/>
                    </w:rPr>
                    <w:t>m</w:t>
                  </w:r>
                  <w:r>
                    <w:rPr>
                      <w:rFonts w:hint="default" w:ascii="Times New Roman" w:hAnsi="Times New Roman" w:eastAsia="宋体" w:cs="Times New Roman"/>
                      <w:b w:val="0"/>
                      <w:bCs w:val="0"/>
                      <w:color w:val="auto"/>
                      <w:sz w:val="21"/>
                      <w:szCs w:val="21"/>
                      <w:lang w:eastAsia="zh-CN"/>
                    </w:rPr>
                    <w:t>）</w:t>
                  </w:r>
                </w:p>
              </w:tc>
              <w:tc>
                <w:tcPr>
                  <w:tcW w:w="2684" w:type="dxa"/>
                  <w:vMerge w:val="restart"/>
                  <w:tcBorders>
                    <w:tl2br w:val="nil"/>
                    <w:tr2bl w:val="nil"/>
                  </w:tcBorders>
                  <w:noWrap w:val="0"/>
                  <w:vAlign w:val="center"/>
                </w:tcPr>
                <w:p w14:paraId="29DE1F2C">
                  <w:pPr>
                    <w:keepNext w:val="0"/>
                    <w:keepLines w:val="0"/>
                    <w:pageBreakBefore w:val="0"/>
                    <w:kinsoku/>
                    <w:wordWrap/>
                    <w:overflowPunct/>
                    <w:topLinePunct w:val="0"/>
                    <w:bidi w:val="0"/>
                    <w:spacing w:line="240" w:lineRule="auto"/>
                    <w:ind w:left="0" w:leftChars="0" w:firstLine="0" w:firstLineChars="0"/>
                    <w:jc w:val="center"/>
                    <w:rPr>
                      <w:rFonts w:hint="default" w:ascii="Times New Roman" w:hAnsi="Times New Roman" w:eastAsia="宋体" w:cs="Times New Roman"/>
                      <w:b w:val="0"/>
                      <w:bCs w:val="0"/>
                      <w:color w:val="auto"/>
                      <w:sz w:val="21"/>
                      <w:szCs w:val="21"/>
                      <w:vertAlign w:val="baseline"/>
                      <w:lang w:eastAsia="zh-CN"/>
                    </w:rPr>
                  </w:pPr>
                  <w:r>
                    <w:rPr>
                      <w:rFonts w:hint="default" w:ascii="Times New Roman" w:hAnsi="Times New Roman" w:eastAsia="宋体" w:cs="Times New Roman"/>
                      <w:b w:val="0"/>
                      <w:bCs w:val="0"/>
                      <w:color w:val="auto"/>
                      <w:sz w:val="21"/>
                      <w:szCs w:val="21"/>
                    </w:rPr>
                    <w:t>保护级别</w:t>
                  </w:r>
                </w:p>
              </w:tc>
            </w:tr>
            <w:tr w14:paraId="31E29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4" w:type="dxa"/>
                  <w:vMerge w:val="continue"/>
                  <w:tcBorders>
                    <w:tl2br w:val="nil"/>
                    <w:tr2bl w:val="nil"/>
                  </w:tcBorders>
                  <w:noWrap w:val="0"/>
                  <w:vAlign w:val="center"/>
                </w:tcPr>
                <w:p w14:paraId="5E2E6E8E">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val="0"/>
                      <w:bCs w:val="0"/>
                      <w:color w:val="auto"/>
                      <w:sz w:val="21"/>
                      <w:szCs w:val="21"/>
                    </w:rPr>
                  </w:pPr>
                </w:p>
              </w:tc>
              <w:tc>
                <w:tcPr>
                  <w:tcW w:w="1515" w:type="dxa"/>
                  <w:vMerge w:val="continue"/>
                  <w:tcBorders>
                    <w:tl2br w:val="nil"/>
                    <w:tr2bl w:val="nil"/>
                  </w:tcBorders>
                  <w:noWrap w:val="0"/>
                  <w:vAlign w:val="center"/>
                </w:tcPr>
                <w:p w14:paraId="210C7BB0">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val="0"/>
                      <w:bCs w:val="0"/>
                      <w:color w:val="auto"/>
                      <w:sz w:val="21"/>
                      <w:szCs w:val="21"/>
                    </w:rPr>
                  </w:pPr>
                </w:p>
              </w:tc>
              <w:tc>
                <w:tcPr>
                  <w:tcW w:w="1110" w:type="dxa"/>
                  <w:vMerge w:val="continue"/>
                  <w:tcBorders>
                    <w:tl2br w:val="nil"/>
                    <w:tr2bl w:val="nil"/>
                  </w:tcBorders>
                  <w:noWrap w:val="0"/>
                  <w:vAlign w:val="center"/>
                </w:tcPr>
                <w:p w14:paraId="29C1B5E8">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val="0"/>
                      <w:bCs w:val="0"/>
                      <w:color w:val="auto"/>
                      <w:sz w:val="21"/>
                      <w:szCs w:val="21"/>
                    </w:rPr>
                  </w:pPr>
                </w:p>
              </w:tc>
              <w:tc>
                <w:tcPr>
                  <w:tcW w:w="780" w:type="dxa"/>
                  <w:vMerge w:val="continue"/>
                  <w:tcBorders>
                    <w:tl2br w:val="nil"/>
                    <w:tr2bl w:val="nil"/>
                  </w:tcBorders>
                  <w:noWrap w:val="0"/>
                  <w:vAlign w:val="center"/>
                </w:tcPr>
                <w:p w14:paraId="316F3CEC">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val="0"/>
                      <w:bCs w:val="0"/>
                      <w:color w:val="auto"/>
                      <w:kern w:val="2"/>
                      <w:sz w:val="21"/>
                      <w:szCs w:val="21"/>
                      <w:lang w:val="en-US" w:eastAsia="zh-CN" w:bidi="ar-SA"/>
                    </w:rPr>
                  </w:pPr>
                </w:p>
              </w:tc>
              <w:tc>
                <w:tcPr>
                  <w:tcW w:w="1065" w:type="dxa"/>
                  <w:vMerge w:val="continue"/>
                  <w:tcBorders>
                    <w:tl2br w:val="nil"/>
                    <w:tr2bl w:val="nil"/>
                  </w:tcBorders>
                  <w:noWrap w:val="0"/>
                  <w:vAlign w:val="center"/>
                </w:tcPr>
                <w:p w14:paraId="23CA5114">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val="0"/>
                      <w:bCs w:val="0"/>
                      <w:color w:val="auto"/>
                      <w:sz w:val="21"/>
                      <w:szCs w:val="21"/>
                    </w:rPr>
                  </w:pPr>
                </w:p>
              </w:tc>
              <w:tc>
                <w:tcPr>
                  <w:tcW w:w="2684" w:type="dxa"/>
                  <w:vMerge w:val="continue"/>
                  <w:tcBorders>
                    <w:tl2br w:val="nil"/>
                    <w:tr2bl w:val="nil"/>
                  </w:tcBorders>
                  <w:noWrap w:val="0"/>
                  <w:vAlign w:val="center"/>
                </w:tcPr>
                <w:p w14:paraId="36D76806">
                  <w:pPr>
                    <w:keepNext w:val="0"/>
                    <w:keepLines w:val="0"/>
                    <w:pageBreakBefore w:val="0"/>
                    <w:kinsoku/>
                    <w:wordWrap/>
                    <w:overflowPunct/>
                    <w:topLinePunct w:val="0"/>
                    <w:bidi w:val="0"/>
                    <w:adjustRightInd w:val="0"/>
                    <w:snapToGrid w:val="0"/>
                    <w:spacing w:line="240" w:lineRule="auto"/>
                    <w:jc w:val="center"/>
                    <w:rPr>
                      <w:rFonts w:hint="default" w:ascii="Times New Roman" w:hAnsi="Times New Roman" w:eastAsia="宋体" w:cs="Times New Roman"/>
                      <w:b w:val="0"/>
                      <w:bCs w:val="0"/>
                      <w:color w:val="auto"/>
                      <w:sz w:val="21"/>
                      <w:szCs w:val="21"/>
                    </w:rPr>
                  </w:pPr>
                </w:p>
              </w:tc>
            </w:tr>
            <w:tr w14:paraId="201FD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4" w:type="dxa"/>
                  <w:vMerge w:val="restart"/>
                  <w:tcBorders>
                    <w:tl2br w:val="nil"/>
                    <w:tr2bl w:val="nil"/>
                  </w:tcBorders>
                  <w:noWrap w:val="0"/>
                  <w:vAlign w:val="center"/>
                </w:tcPr>
                <w:p w14:paraId="4C71D02E">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eastAsia="zh-CN"/>
                    </w:rPr>
                  </w:pPr>
                  <w:r>
                    <w:rPr>
                      <w:rFonts w:hint="default" w:ascii="Times New Roman" w:hAnsi="Times New Roman" w:eastAsia="宋体" w:cs="Times New Roman"/>
                      <w:b w:val="0"/>
                      <w:bCs w:val="0"/>
                      <w:color w:val="auto"/>
                      <w:sz w:val="21"/>
                      <w:szCs w:val="21"/>
                      <w:vertAlign w:val="baseline"/>
                      <w:lang w:eastAsia="zh-CN"/>
                    </w:rPr>
                    <w:t>大气环境</w:t>
                  </w:r>
                </w:p>
              </w:tc>
              <w:tc>
                <w:tcPr>
                  <w:tcW w:w="1515" w:type="dxa"/>
                  <w:tcBorders>
                    <w:tl2br w:val="nil"/>
                    <w:tr2bl w:val="nil"/>
                  </w:tcBorders>
                  <w:noWrap w:val="0"/>
                  <w:vAlign w:val="center"/>
                </w:tcPr>
                <w:p w14:paraId="10A0753C">
                  <w:pPr>
                    <w:keepNext w:val="0"/>
                    <w:keepLines w:val="0"/>
                    <w:pageBreakBefore w:val="0"/>
                    <w:widowControl w:val="0"/>
                    <w:tabs>
                      <w:tab w:val="left" w:pos="761"/>
                    </w:tabs>
                    <w:kinsoku/>
                    <w:wordWrap/>
                    <w:overflowPunct/>
                    <w:topLinePunct w:val="0"/>
                    <w:autoSpaceDE/>
                    <w:autoSpaceDN/>
                    <w:bidi w:val="0"/>
                    <w:adjustRightInd/>
                    <w:snapToGrid/>
                    <w:spacing w:line="240" w:lineRule="auto"/>
                    <w:ind w:left="0" w:leftChars="0" w:firstLine="0" w:firstLineChars="0"/>
                    <w:jc w:val="center"/>
                    <w:textAlignment w:val="baseline"/>
                    <w:outlineLvl w:val="9"/>
                    <w:rPr>
                      <w:rFonts w:hint="default" w:ascii="Times New Roman" w:hAnsi="Times New Roman" w:eastAsia="宋体" w:cs="Times New Roman"/>
                      <w:b w:val="0"/>
                      <w:bCs w:val="0"/>
                      <w:color w:val="auto"/>
                      <w:sz w:val="21"/>
                      <w:szCs w:val="21"/>
                      <w:u w:val="none"/>
                      <w:vertAlign w:val="baseline"/>
                      <w:lang w:eastAsia="zh-CN"/>
                    </w:rPr>
                  </w:pPr>
                  <w:r>
                    <w:rPr>
                      <w:rFonts w:hint="eastAsia" w:cs="Times New Roman"/>
                      <w:b w:val="0"/>
                      <w:bCs w:val="0"/>
                      <w:color w:val="auto"/>
                      <w:sz w:val="21"/>
                      <w:szCs w:val="21"/>
                      <w:u w:val="none"/>
                      <w:vertAlign w:val="baseline"/>
                      <w:lang w:val="en-US" w:eastAsia="zh-CN"/>
                    </w:rPr>
                    <w:t>朝阳社区</w:t>
                  </w:r>
                </w:p>
              </w:tc>
              <w:tc>
                <w:tcPr>
                  <w:tcW w:w="1110" w:type="dxa"/>
                  <w:tcBorders>
                    <w:tl2br w:val="nil"/>
                    <w:tr2bl w:val="nil"/>
                  </w:tcBorders>
                  <w:noWrap w:val="0"/>
                  <w:vAlign w:val="center"/>
                </w:tcPr>
                <w:p w14:paraId="036FEEBD">
                  <w:pPr>
                    <w:keepNext w:val="0"/>
                    <w:keepLines w:val="0"/>
                    <w:pageBreakBefore w:val="0"/>
                    <w:widowControl w:val="0"/>
                    <w:tabs>
                      <w:tab w:val="left" w:pos="761"/>
                    </w:tabs>
                    <w:kinsoku/>
                    <w:wordWrap/>
                    <w:overflowPunct/>
                    <w:topLinePunct w:val="0"/>
                    <w:autoSpaceDE/>
                    <w:autoSpaceDN/>
                    <w:bidi w:val="0"/>
                    <w:adjustRightInd/>
                    <w:snapToGrid/>
                    <w:spacing w:line="240" w:lineRule="auto"/>
                    <w:ind w:left="0" w:leftChars="0" w:firstLine="0" w:firstLineChars="0"/>
                    <w:jc w:val="center"/>
                    <w:textAlignment w:val="baseline"/>
                    <w:outlineLvl w:val="9"/>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居民</w:t>
                  </w:r>
                </w:p>
              </w:tc>
              <w:tc>
                <w:tcPr>
                  <w:tcW w:w="780" w:type="dxa"/>
                  <w:tcBorders>
                    <w:tl2br w:val="nil"/>
                    <w:tr2bl w:val="nil"/>
                  </w:tcBorders>
                  <w:noWrap w:val="0"/>
                  <w:vAlign w:val="center"/>
                </w:tcPr>
                <w:p w14:paraId="0D0B9447">
                  <w:pPr>
                    <w:keepNext w:val="0"/>
                    <w:keepLines w:val="0"/>
                    <w:pageBreakBefore w:val="0"/>
                    <w:widowControl w:val="0"/>
                    <w:tabs>
                      <w:tab w:val="left" w:pos="761"/>
                    </w:tabs>
                    <w:kinsoku/>
                    <w:wordWrap/>
                    <w:overflowPunct/>
                    <w:topLinePunct w:val="0"/>
                    <w:autoSpaceDE/>
                    <w:autoSpaceDN/>
                    <w:bidi w:val="0"/>
                    <w:adjustRightInd/>
                    <w:snapToGrid/>
                    <w:spacing w:line="240" w:lineRule="auto"/>
                    <w:ind w:left="0" w:leftChars="0" w:firstLine="0" w:firstLineChars="0"/>
                    <w:jc w:val="center"/>
                    <w:textAlignment w:val="baseline"/>
                    <w:outlineLvl w:val="9"/>
                    <w:rPr>
                      <w:rFonts w:hint="default" w:ascii="Times New Roman" w:hAnsi="Times New Roman" w:eastAsia="宋体" w:cs="Times New Roman"/>
                      <w:b w:val="0"/>
                      <w:bCs w:val="0"/>
                      <w:color w:val="auto"/>
                      <w:kern w:val="2"/>
                      <w:sz w:val="21"/>
                      <w:szCs w:val="21"/>
                      <w:u w:val="none"/>
                      <w:vertAlign w:val="baseline"/>
                      <w:lang w:val="en-US" w:eastAsia="zh-CN" w:bidi="ar-SA"/>
                    </w:rPr>
                  </w:pPr>
                  <w:r>
                    <w:rPr>
                      <w:rFonts w:hint="eastAsia" w:cs="Times New Roman"/>
                      <w:b w:val="0"/>
                      <w:bCs w:val="0"/>
                      <w:color w:val="auto"/>
                      <w:kern w:val="2"/>
                      <w:sz w:val="21"/>
                      <w:szCs w:val="21"/>
                      <w:u w:val="none"/>
                      <w:vertAlign w:val="baseline"/>
                      <w:lang w:val="en-US" w:eastAsia="zh-CN" w:bidi="ar-SA"/>
                    </w:rPr>
                    <w:t>东</w:t>
                  </w:r>
                </w:p>
              </w:tc>
              <w:tc>
                <w:tcPr>
                  <w:tcW w:w="1065" w:type="dxa"/>
                  <w:tcBorders>
                    <w:tl2br w:val="nil"/>
                    <w:tr2bl w:val="nil"/>
                  </w:tcBorders>
                  <w:noWrap w:val="0"/>
                  <w:vAlign w:val="center"/>
                </w:tcPr>
                <w:p w14:paraId="3EAA490D">
                  <w:pPr>
                    <w:keepNext w:val="0"/>
                    <w:keepLines w:val="0"/>
                    <w:pageBreakBefore w:val="0"/>
                    <w:widowControl w:val="0"/>
                    <w:tabs>
                      <w:tab w:val="left" w:pos="761"/>
                    </w:tabs>
                    <w:kinsoku/>
                    <w:wordWrap/>
                    <w:overflowPunct/>
                    <w:topLinePunct w:val="0"/>
                    <w:autoSpaceDE/>
                    <w:autoSpaceDN/>
                    <w:bidi w:val="0"/>
                    <w:adjustRightInd/>
                    <w:snapToGrid/>
                    <w:spacing w:line="240" w:lineRule="auto"/>
                    <w:ind w:left="0" w:leftChars="0" w:firstLine="0" w:firstLineChars="0"/>
                    <w:jc w:val="center"/>
                    <w:textAlignment w:val="baseline"/>
                    <w:outlineLvl w:val="9"/>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114</w:t>
                  </w:r>
                </w:p>
              </w:tc>
              <w:tc>
                <w:tcPr>
                  <w:tcW w:w="2684" w:type="dxa"/>
                  <w:vMerge w:val="restart"/>
                  <w:tcBorders>
                    <w:tl2br w:val="nil"/>
                    <w:tr2bl w:val="nil"/>
                  </w:tcBorders>
                  <w:noWrap w:val="0"/>
                  <w:vAlign w:val="center"/>
                </w:tcPr>
                <w:p w14:paraId="2BA1F26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eastAsia="zh-CN"/>
                    </w:rPr>
                  </w:pPr>
                  <w:r>
                    <w:rPr>
                      <w:rFonts w:hint="default"/>
                      <w:color w:val="000000" w:themeColor="text1"/>
                      <w:sz w:val="21"/>
                      <w:szCs w:val="21"/>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环境空气质量标准</w:t>
                  </w:r>
                  <w:r>
                    <w:rPr>
                      <w:rFonts w:hint="default"/>
                      <w:color w:val="000000" w:themeColor="text1"/>
                      <w:sz w:val="21"/>
                      <w:szCs w:val="21"/>
                      <w14:textFill>
                        <w14:solidFill>
                          <w14:schemeClr w14:val="tx1"/>
                        </w14:solidFill>
                      </w14:textFill>
                    </w:rPr>
                    <w:t>》（GB</w:t>
                  </w:r>
                  <w:r>
                    <w:rPr>
                      <w:rFonts w:hint="eastAsia"/>
                      <w:color w:val="000000" w:themeColor="text1"/>
                      <w:sz w:val="21"/>
                      <w:szCs w:val="21"/>
                      <w:lang w:val="en-US" w:eastAsia="zh-CN"/>
                      <w14:textFill>
                        <w14:solidFill>
                          <w14:schemeClr w14:val="tx1"/>
                        </w14:solidFill>
                      </w14:textFill>
                    </w:rPr>
                    <w:t>3096</w:t>
                  </w:r>
                  <w:r>
                    <w:rPr>
                      <w:rFonts w:hint="default"/>
                      <w:color w:val="000000" w:themeColor="text1"/>
                      <w:sz w:val="21"/>
                      <w:szCs w:val="21"/>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2026</w:t>
                  </w:r>
                  <w:r>
                    <w:rPr>
                      <w:rFonts w:hint="default"/>
                      <w:color w:val="000000" w:themeColor="text1"/>
                      <w:sz w:val="21"/>
                      <w:szCs w:val="21"/>
                      <w14:textFill>
                        <w14:solidFill>
                          <w14:schemeClr w14:val="tx1"/>
                        </w14:solidFill>
                      </w14:textFill>
                    </w:rPr>
                    <w:t>）</w:t>
                  </w:r>
                  <w:r>
                    <w:rPr>
                      <w:rFonts w:hint="eastAsia"/>
                      <w:color w:val="000000" w:themeColor="text1"/>
                      <w:sz w:val="21"/>
                      <w:szCs w:val="21"/>
                      <w:lang w:val="en-US" w:eastAsia="zh-CN"/>
                      <w14:textFill>
                        <w14:solidFill>
                          <w14:schemeClr w14:val="tx1"/>
                        </w14:solidFill>
                      </w14:textFill>
                    </w:rPr>
                    <w:t>二级</w:t>
                  </w:r>
                </w:p>
              </w:tc>
            </w:tr>
            <w:tr w14:paraId="4D54C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4" w:type="dxa"/>
                  <w:vMerge w:val="continue"/>
                  <w:tcBorders>
                    <w:tl2br w:val="nil"/>
                    <w:tr2bl w:val="nil"/>
                  </w:tcBorders>
                  <w:noWrap w:val="0"/>
                  <w:vAlign w:val="center"/>
                </w:tcPr>
                <w:p w14:paraId="7C3F1B1F">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eastAsia="zh-CN"/>
                    </w:rPr>
                  </w:pPr>
                </w:p>
              </w:tc>
              <w:tc>
                <w:tcPr>
                  <w:tcW w:w="1515" w:type="dxa"/>
                  <w:tcBorders>
                    <w:tl2br w:val="nil"/>
                    <w:tr2bl w:val="nil"/>
                  </w:tcBorders>
                  <w:noWrap w:val="0"/>
                  <w:vAlign w:val="center"/>
                </w:tcPr>
                <w:p w14:paraId="3208A1A4">
                  <w:pPr>
                    <w:keepNext w:val="0"/>
                    <w:keepLines w:val="0"/>
                    <w:pageBreakBefore w:val="0"/>
                    <w:widowControl w:val="0"/>
                    <w:tabs>
                      <w:tab w:val="left" w:pos="761"/>
                    </w:tabs>
                    <w:kinsoku/>
                    <w:wordWrap/>
                    <w:overflowPunct/>
                    <w:topLinePunct w:val="0"/>
                    <w:autoSpaceDE/>
                    <w:autoSpaceDN/>
                    <w:bidi w:val="0"/>
                    <w:adjustRightInd/>
                    <w:snapToGrid/>
                    <w:spacing w:line="240" w:lineRule="auto"/>
                    <w:ind w:left="0" w:leftChars="0" w:firstLine="0" w:firstLineChars="0"/>
                    <w:jc w:val="center"/>
                    <w:textAlignment w:val="baseline"/>
                    <w:outlineLvl w:val="9"/>
                    <w:rPr>
                      <w:rFonts w:hint="eastAsia" w:ascii="Times New Roman" w:hAnsi="Times New Roman" w:eastAsia="宋体" w:cs="Times New Roman"/>
                      <w:b w:val="0"/>
                      <w:bCs w:val="0"/>
                      <w:color w:val="auto"/>
                      <w:sz w:val="21"/>
                      <w:szCs w:val="21"/>
                      <w:u w:val="none"/>
                      <w:vertAlign w:val="baseline"/>
                      <w:lang w:val="en-US" w:eastAsia="zh-CN"/>
                    </w:rPr>
                  </w:pPr>
                  <w:r>
                    <w:rPr>
                      <w:rFonts w:hint="eastAsia" w:cs="Times New Roman"/>
                      <w:b w:val="0"/>
                      <w:bCs w:val="0"/>
                      <w:color w:val="auto"/>
                      <w:sz w:val="21"/>
                      <w:szCs w:val="21"/>
                      <w:u w:val="none"/>
                      <w:vertAlign w:val="baseline"/>
                      <w:lang w:val="en-US" w:eastAsia="zh-CN"/>
                    </w:rPr>
                    <w:t>兴宁村</w:t>
                  </w:r>
                </w:p>
              </w:tc>
              <w:tc>
                <w:tcPr>
                  <w:tcW w:w="1110" w:type="dxa"/>
                  <w:tcBorders>
                    <w:tl2br w:val="nil"/>
                    <w:tr2bl w:val="nil"/>
                  </w:tcBorders>
                  <w:noWrap w:val="0"/>
                  <w:vAlign w:val="center"/>
                </w:tcPr>
                <w:p w14:paraId="5278230E">
                  <w:pPr>
                    <w:keepNext w:val="0"/>
                    <w:keepLines w:val="0"/>
                    <w:pageBreakBefore w:val="0"/>
                    <w:widowControl w:val="0"/>
                    <w:tabs>
                      <w:tab w:val="left" w:pos="761"/>
                    </w:tabs>
                    <w:kinsoku/>
                    <w:wordWrap/>
                    <w:overflowPunct/>
                    <w:topLinePunct w:val="0"/>
                    <w:autoSpaceDE/>
                    <w:autoSpaceDN/>
                    <w:bidi w:val="0"/>
                    <w:adjustRightInd/>
                    <w:snapToGrid/>
                    <w:spacing w:line="240" w:lineRule="auto"/>
                    <w:ind w:left="0" w:leftChars="0" w:firstLine="0" w:firstLineChars="0"/>
                    <w:jc w:val="center"/>
                    <w:textAlignment w:val="baseline"/>
                    <w:outlineLvl w:val="9"/>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居民</w:t>
                  </w:r>
                </w:p>
              </w:tc>
              <w:tc>
                <w:tcPr>
                  <w:tcW w:w="780" w:type="dxa"/>
                  <w:tcBorders>
                    <w:tl2br w:val="nil"/>
                    <w:tr2bl w:val="nil"/>
                  </w:tcBorders>
                  <w:noWrap w:val="0"/>
                  <w:vAlign w:val="center"/>
                </w:tcPr>
                <w:p w14:paraId="57046804">
                  <w:pPr>
                    <w:keepNext w:val="0"/>
                    <w:keepLines w:val="0"/>
                    <w:pageBreakBefore w:val="0"/>
                    <w:widowControl w:val="0"/>
                    <w:tabs>
                      <w:tab w:val="left" w:pos="761"/>
                    </w:tabs>
                    <w:kinsoku/>
                    <w:wordWrap/>
                    <w:overflowPunct/>
                    <w:topLinePunct w:val="0"/>
                    <w:autoSpaceDE/>
                    <w:autoSpaceDN/>
                    <w:bidi w:val="0"/>
                    <w:adjustRightInd/>
                    <w:snapToGrid/>
                    <w:spacing w:line="240" w:lineRule="auto"/>
                    <w:ind w:left="0" w:leftChars="0" w:firstLine="0" w:firstLineChars="0"/>
                    <w:jc w:val="center"/>
                    <w:textAlignment w:val="baseline"/>
                    <w:outlineLvl w:val="9"/>
                    <w:rPr>
                      <w:rFonts w:hint="eastAsia" w:ascii="Times New Roman" w:hAnsi="Times New Roman" w:eastAsia="宋体" w:cs="Times New Roman"/>
                      <w:b w:val="0"/>
                      <w:bCs w:val="0"/>
                      <w:color w:val="auto"/>
                      <w:kern w:val="2"/>
                      <w:sz w:val="21"/>
                      <w:szCs w:val="21"/>
                      <w:u w:val="none"/>
                      <w:vertAlign w:val="baseline"/>
                      <w:lang w:val="en-US" w:eastAsia="zh-CN" w:bidi="ar-SA"/>
                    </w:rPr>
                  </w:pPr>
                  <w:r>
                    <w:rPr>
                      <w:rFonts w:hint="eastAsia" w:cs="Times New Roman"/>
                      <w:b w:val="0"/>
                      <w:bCs w:val="0"/>
                      <w:color w:val="auto"/>
                      <w:kern w:val="2"/>
                      <w:sz w:val="21"/>
                      <w:szCs w:val="21"/>
                      <w:u w:val="none"/>
                      <w:vertAlign w:val="baseline"/>
                      <w:lang w:val="en-US" w:eastAsia="zh-CN" w:bidi="ar-SA"/>
                    </w:rPr>
                    <w:t>东南</w:t>
                  </w:r>
                </w:p>
              </w:tc>
              <w:tc>
                <w:tcPr>
                  <w:tcW w:w="1065" w:type="dxa"/>
                  <w:tcBorders>
                    <w:tl2br w:val="nil"/>
                    <w:tr2bl w:val="nil"/>
                  </w:tcBorders>
                  <w:noWrap w:val="0"/>
                  <w:vAlign w:val="center"/>
                </w:tcPr>
                <w:p w14:paraId="0CF578DB">
                  <w:pPr>
                    <w:keepNext w:val="0"/>
                    <w:keepLines w:val="0"/>
                    <w:pageBreakBefore w:val="0"/>
                    <w:widowControl w:val="0"/>
                    <w:tabs>
                      <w:tab w:val="left" w:pos="761"/>
                    </w:tabs>
                    <w:kinsoku/>
                    <w:wordWrap/>
                    <w:overflowPunct/>
                    <w:topLinePunct w:val="0"/>
                    <w:autoSpaceDE/>
                    <w:autoSpaceDN/>
                    <w:bidi w:val="0"/>
                    <w:adjustRightInd/>
                    <w:snapToGrid/>
                    <w:spacing w:line="240" w:lineRule="auto"/>
                    <w:ind w:left="0" w:leftChars="0" w:firstLine="0" w:firstLineChars="0"/>
                    <w:jc w:val="center"/>
                    <w:textAlignment w:val="baseline"/>
                    <w:outlineLvl w:val="9"/>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498</w:t>
                  </w:r>
                </w:p>
              </w:tc>
              <w:tc>
                <w:tcPr>
                  <w:tcW w:w="2684" w:type="dxa"/>
                  <w:vMerge w:val="continue"/>
                  <w:tcBorders>
                    <w:tl2br w:val="nil"/>
                    <w:tr2bl w:val="nil"/>
                  </w:tcBorders>
                  <w:noWrap w:val="0"/>
                  <w:vAlign w:val="center"/>
                </w:tcPr>
                <w:p w14:paraId="5D37361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lang w:val="en-US" w:eastAsia="zh-CN"/>
                    </w:rPr>
                  </w:pPr>
                </w:p>
              </w:tc>
            </w:tr>
            <w:tr w14:paraId="65045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64" w:type="dxa"/>
                  <w:vMerge w:val="continue"/>
                  <w:tcBorders>
                    <w:tl2br w:val="nil"/>
                    <w:tr2bl w:val="nil"/>
                  </w:tcBorders>
                  <w:noWrap w:val="0"/>
                  <w:vAlign w:val="center"/>
                </w:tcPr>
                <w:p w14:paraId="2D3D3797">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outlineLvl w:val="9"/>
                    <w:rPr>
                      <w:rFonts w:hint="default" w:ascii="Times New Roman" w:hAnsi="Times New Roman" w:eastAsia="宋体" w:cs="Times New Roman"/>
                      <w:b w:val="0"/>
                      <w:bCs w:val="0"/>
                      <w:color w:val="auto"/>
                      <w:sz w:val="21"/>
                      <w:szCs w:val="21"/>
                      <w:vertAlign w:val="baseline"/>
                      <w:lang w:eastAsia="zh-CN"/>
                    </w:rPr>
                  </w:pPr>
                </w:p>
              </w:tc>
              <w:tc>
                <w:tcPr>
                  <w:tcW w:w="1515" w:type="dxa"/>
                  <w:tcBorders>
                    <w:tl2br w:val="nil"/>
                    <w:tr2bl w:val="nil"/>
                  </w:tcBorders>
                  <w:noWrap w:val="0"/>
                  <w:vAlign w:val="center"/>
                </w:tcPr>
                <w:p w14:paraId="7033D3E9">
                  <w:pPr>
                    <w:keepNext w:val="0"/>
                    <w:keepLines w:val="0"/>
                    <w:pageBreakBefore w:val="0"/>
                    <w:widowControl w:val="0"/>
                    <w:tabs>
                      <w:tab w:val="left" w:pos="761"/>
                    </w:tabs>
                    <w:kinsoku/>
                    <w:wordWrap/>
                    <w:overflowPunct/>
                    <w:topLinePunct w:val="0"/>
                    <w:autoSpaceDE/>
                    <w:autoSpaceDN/>
                    <w:bidi w:val="0"/>
                    <w:adjustRightInd/>
                    <w:snapToGrid/>
                    <w:spacing w:line="240" w:lineRule="auto"/>
                    <w:ind w:left="0" w:leftChars="0" w:firstLine="0" w:firstLineChars="0"/>
                    <w:jc w:val="center"/>
                    <w:textAlignment w:val="baseline"/>
                    <w:outlineLvl w:val="9"/>
                    <w:rPr>
                      <w:rFonts w:hint="eastAsia" w:ascii="Times New Roman" w:hAnsi="Times New Roman" w:eastAsia="宋体" w:cs="Times New Roman"/>
                      <w:b w:val="0"/>
                      <w:bCs w:val="0"/>
                      <w:color w:val="auto"/>
                      <w:sz w:val="21"/>
                      <w:szCs w:val="21"/>
                      <w:u w:val="none"/>
                      <w:vertAlign w:val="baseline"/>
                      <w:lang w:val="en-US" w:eastAsia="zh-CN"/>
                    </w:rPr>
                  </w:pPr>
                  <w:r>
                    <w:rPr>
                      <w:rFonts w:hint="eastAsia" w:cs="Times New Roman"/>
                      <w:b w:val="0"/>
                      <w:bCs w:val="0"/>
                      <w:color w:val="auto"/>
                      <w:sz w:val="21"/>
                      <w:szCs w:val="21"/>
                      <w:u w:val="none"/>
                      <w:vertAlign w:val="baseline"/>
                      <w:lang w:val="en-US" w:eastAsia="zh-CN"/>
                    </w:rPr>
                    <w:t>中大阳堤村</w:t>
                  </w:r>
                </w:p>
              </w:tc>
              <w:tc>
                <w:tcPr>
                  <w:tcW w:w="1110" w:type="dxa"/>
                  <w:tcBorders>
                    <w:tl2br w:val="nil"/>
                    <w:tr2bl w:val="nil"/>
                  </w:tcBorders>
                  <w:noWrap w:val="0"/>
                  <w:vAlign w:val="center"/>
                </w:tcPr>
                <w:p w14:paraId="126E6B63">
                  <w:pPr>
                    <w:keepNext w:val="0"/>
                    <w:keepLines w:val="0"/>
                    <w:pageBreakBefore w:val="0"/>
                    <w:widowControl w:val="0"/>
                    <w:tabs>
                      <w:tab w:val="left" w:pos="761"/>
                    </w:tabs>
                    <w:kinsoku/>
                    <w:wordWrap/>
                    <w:overflowPunct/>
                    <w:topLinePunct w:val="0"/>
                    <w:autoSpaceDE/>
                    <w:autoSpaceDN/>
                    <w:bidi w:val="0"/>
                    <w:adjustRightInd/>
                    <w:snapToGrid/>
                    <w:spacing w:line="240" w:lineRule="auto"/>
                    <w:ind w:left="0" w:leftChars="0" w:firstLine="0" w:firstLineChars="0"/>
                    <w:jc w:val="center"/>
                    <w:textAlignment w:val="baseline"/>
                    <w:outlineLvl w:val="9"/>
                    <w:rPr>
                      <w:rFonts w:hint="eastAsia" w:cs="Times New Roman"/>
                      <w:b w:val="0"/>
                      <w:bCs w:val="0"/>
                      <w:color w:val="auto"/>
                      <w:sz w:val="21"/>
                      <w:szCs w:val="21"/>
                      <w:lang w:val="en-US" w:eastAsia="zh-CN"/>
                    </w:rPr>
                  </w:pPr>
                  <w:r>
                    <w:rPr>
                      <w:rFonts w:hint="eastAsia" w:cs="Times New Roman"/>
                      <w:b w:val="0"/>
                      <w:bCs w:val="0"/>
                      <w:color w:val="auto"/>
                      <w:sz w:val="21"/>
                      <w:szCs w:val="21"/>
                      <w:lang w:val="en-US" w:eastAsia="zh-CN"/>
                    </w:rPr>
                    <w:t>居民</w:t>
                  </w:r>
                </w:p>
              </w:tc>
              <w:tc>
                <w:tcPr>
                  <w:tcW w:w="780" w:type="dxa"/>
                  <w:tcBorders>
                    <w:tl2br w:val="nil"/>
                    <w:tr2bl w:val="nil"/>
                  </w:tcBorders>
                  <w:noWrap w:val="0"/>
                  <w:vAlign w:val="center"/>
                </w:tcPr>
                <w:p w14:paraId="487B3FD8">
                  <w:pPr>
                    <w:keepNext w:val="0"/>
                    <w:keepLines w:val="0"/>
                    <w:pageBreakBefore w:val="0"/>
                    <w:widowControl w:val="0"/>
                    <w:tabs>
                      <w:tab w:val="left" w:pos="761"/>
                    </w:tabs>
                    <w:kinsoku/>
                    <w:wordWrap/>
                    <w:overflowPunct/>
                    <w:topLinePunct w:val="0"/>
                    <w:autoSpaceDE/>
                    <w:autoSpaceDN/>
                    <w:bidi w:val="0"/>
                    <w:adjustRightInd/>
                    <w:snapToGrid/>
                    <w:spacing w:line="240" w:lineRule="auto"/>
                    <w:ind w:left="0" w:leftChars="0" w:firstLine="0" w:firstLineChars="0"/>
                    <w:jc w:val="center"/>
                    <w:textAlignment w:val="baseline"/>
                    <w:outlineLvl w:val="9"/>
                    <w:rPr>
                      <w:rFonts w:hint="eastAsia" w:ascii="Times New Roman" w:hAnsi="Times New Roman" w:eastAsia="宋体" w:cs="Times New Roman"/>
                      <w:b w:val="0"/>
                      <w:bCs w:val="0"/>
                      <w:color w:val="auto"/>
                      <w:kern w:val="2"/>
                      <w:sz w:val="21"/>
                      <w:szCs w:val="21"/>
                      <w:u w:val="none"/>
                      <w:vertAlign w:val="baseline"/>
                      <w:lang w:val="en-US" w:eastAsia="zh-CN" w:bidi="ar-SA"/>
                    </w:rPr>
                  </w:pPr>
                  <w:r>
                    <w:rPr>
                      <w:rFonts w:hint="eastAsia" w:cs="Times New Roman"/>
                      <w:b w:val="0"/>
                      <w:bCs w:val="0"/>
                      <w:color w:val="auto"/>
                      <w:kern w:val="2"/>
                      <w:sz w:val="21"/>
                      <w:szCs w:val="21"/>
                      <w:u w:val="none"/>
                      <w:vertAlign w:val="baseline"/>
                      <w:lang w:val="en-US" w:eastAsia="zh-CN" w:bidi="ar-SA"/>
                    </w:rPr>
                    <w:t>西</w:t>
                  </w:r>
                </w:p>
              </w:tc>
              <w:tc>
                <w:tcPr>
                  <w:tcW w:w="1065" w:type="dxa"/>
                  <w:tcBorders>
                    <w:tl2br w:val="nil"/>
                    <w:tr2bl w:val="nil"/>
                  </w:tcBorders>
                  <w:noWrap w:val="0"/>
                  <w:vAlign w:val="center"/>
                </w:tcPr>
                <w:p w14:paraId="22070D3B">
                  <w:pPr>
                    <w:keepNext w:val="0"/>
                    <w:keepLines w:val="0"/>
                    <w:pageBreakBefore w:val="0"/>
                    <w:widowControl w:val="0"/>
                    <w:tabs>
                      <w:tab w:val="left" w:pos="761"/>
                    </w:tabs>
                    <w:kinsoku/>
                    <w:wordWrap/>
                    <w:overflowPunct/>
                    <w:topLinePunct w:val="0"/>
                    <w:autoSpaceDE/>
                    <w:autoSpaceDN/>
                    <w:bidi w:val="0"/>
                    <w:adjustRightInd/>
                    <w:snapToGrid/>
                    <w:spacing w:line="240" w:lineRule="auto"/>
                    <w:ind w:left="0" w:leftChars="0" w:firstLine="0" w:firstLineChars="0"/>
                    <w:jc w:val="center"/>
                    <w:textAlignment w:val="baseline"/>
                    <w:outlineLvl w:val="9"/>
                    <w:rPr>
                      <w:rFonts w:hint="default" w:cs="Times New Roman"/>
                      <w:b w:val="0"/>
                      <w:bCs w:val="0"/>
                      <w:color w:val="auto"/>
                      <w:sz w:val="21"/>
                      <w:szCs w:val="21"/>
                      <w:lang w:val="en-US" w:eastAsia="zh-CN"/>
                    </w:rPr>
                  </w:pPr>
                  <w:r>
                    <w:rPr>
                      <w:rFonts w:hint="eastAsia" w:cs="Times New Roman"/>
                      <w:b w:val="0"/>
                      <w:bCs w:val="0"/>
                      <w:color w:val="auto"/>
                      <w:sz w:val="21"/>
                      <w:szCs w:val="21"/>
                      <w:lang w:val="en-US" w:eastAsia="zh-CN"/>
                    </w:rPr>
                    <w:t>378</w:t>
                  </w:r>
                </w:p>
              </w:tc>
              <w:tc>
                <w:tcPr>
                  <w:tcW w:w="2684" w:type="dxa"/>
                  <w:vMerge w:val="continue"/>
                  <w:tcBorders>
                    <w:tl2br w:val="nil"/>
                    <w:tr2bl w:val="nil"/>
                  </w:tcBorders>
                  <w:noWrap w:val="0"/>
                  <w:vAlign w:val="center"/>
                </w:tcPr>
                <w:p w14:paraId="71458D1B">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outlineLvl w:val="9"/>
                    <w:rPr>
                      <w:rFonts w:hint="default" w:ascii="Times New Roman" w:hAnsi="Times New Roman" w:eastAsia="宋体" w:cs="Times New Roman"/>
                      <w:color w:val="auto"/>
                      <w:sz w:val="21"/>
                      <w:szCs w:val="21"/>
                      <w:lang w:val="en-US" w:eastAsia="zh-CN"/>
                    </w:rPr>
                  </w:pPr>
                </w:p>
              </w:tc>
            </w:tr>
          </w:tbl>
          <w:p w14:paraId="6C25F13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2、声环境</w:t>
            </w:r>
          </w:p>
          <w:p w14:paraId="68FCC796">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both"/>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eastAsia="zh-CN"/>
              </w:rPr>
              <w:t>根据调查，项目厂界外</w:t>
            </w:r>
            <w:r>
              <w:rPr>
                <w:rFonts w:hint="default" w:ascii="Times New Roman" w:hAnsi="Times New Roman" w:cs="Times New Roman"/>
                <w:color w:val="auto"/>
                <w:lang w:val="en-US" w:eastAsia="zh-CN"/>
              </w:rPr>
              <w:t>50米范围内无声环境保护目标。</w:t>
            </w:r>
          </w:p>
          <w:p w14:paraId="471FFDDA">
            <w:pPr>
              <w:keepNext w:val="0"/>
              <w:keepLines w:val="0"/>
              <w:pageBreakBefore w:val="0"/>
              <w:widowControl w:val="0"/>
              <w:kinsoku/>
              <w:wordWrap/>
              <w:overflowPunct/>
              <w:topLinePunct w:val="0"/>
              <w:autoSpaceDE/>
              <w:autoSpaceDN/>
              <w:bidi w:val="0"/>
              <w:adjustRightInd/>
              <w:snapToGrid w:val="0"/>
              <w:spacing w:line="520" w:lineRule="exact"/>
              <w:ind w:firstLine="482" w:firstLineChars="200"/>
              <w:textAlignment w:val="auto"/>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3、地下水环境</w:t>
            </w:r>
          </w:p>
          <w:p w14:paraId="698D8C07">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default" w:ascii="Times New Roman" w:hAnsi="Times New Roman" w:cs="Times New Roman"/>
                <w:color w:val="auto"/>
                <w:lang w:val="en-US" w:eastAsia="zh-CN"/>
              </w:rPr>
            </w:pPr>
            <w:r>
              <w:rPr>
                <w:rFonts w:hint="default" w:ascii="Times New Roman" w:hAnsi="Times New Roman" w:cs="Times New Roman"/>
                <w:color w:val="auto"/>
                <w:lang w:eastAsia="zh-CN"/>
              </w:rPr>
              <w:t>本项目厂界外</w:t>
            </w:r>
            <w:r>
              <w:rPr>
                <w:rFonts w:hint="default" w:ascii="Times New Roman" w:hAnsi="Times New Roman" w:cs="Times New Roman"/>
                <w:color w:val="auto"/>
                <w:lang w:val="en-US" w:eastAsia="zh-CN"/>
              </w:rPr>
              <w:t>500米范围内无地下水集中式饮用水水源和热水、矿泉水、温泉等特殊地下水资源。</w:t>
            </w:r>
          </w:p>
          <w:p w14:paraId="2C2EAE91">
            <w:pPr>
              <w:keepNext w:val="0"/>
              <w:keepLines w:val="0"/>
              <w:pageBreakBefore w:val="0"/>
              <w:widowControl w:val="0"/>
              <w:kinsoku/>
              <w:wordWrap/>
              <w:overflowPunct/>
              <w:topLinePunct w:val="0"/>
              <w:autoSpaceDE/>
              <w:autoSpaceDN/>
              <w:bidi w:val="0"/>
              <w:adjustRightInd/>
              <w:snapToGrid w:val="0"/>
              <w:spacing w:line="520" w:lineRule="exact"/>
              <w:ind w:firstLine="482" w:firstLineChars="200"/>
              <w:textAlignment w:val="auto"/>
              <w:rPr>
                <w:rFonts w:hint="default" w:ascii="Times New Roman" w:hAnsi="Times New Roman" w:cs="Times New Roman"/>
                <w:b/>
                <w:bCs/>
                <w:color w:val="auto"/>
                <w:lang w:val="en-US" w:eastAsia="zh-CN"/>
              </w:rPr>
            </w:pPr>
            <w:r>
              <w:rPr>
                <w:rFonts w:hint="default" w:ascii="Times New Roman" w:hAnsi="Times New Roman" w:cs="Times New Roman"/>
                <w:b/>
                <w:bCs/>
                <w:color w:val="auto"/>
                <w:lang w:val="en-US" w:eastAsia="zh-CN"/>
              </w:rPr>
              <w:t>4、生态环境</w:t>
            </w:r>
          </w:p>
          <w:p w14:paraId="334BE7AA">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rPr>
                <w:rFonts w:hint="default"/>
                <w:color w:val="auto"/>
              </w:rPr>
            </w:pPr>
            <w:r>
              <w:rPr>
                <w:rFonts w:hint="default" w:ascii="Times New Roman" w:hAnsi="Times New Roman" w:cs="Times New Roman"/>
                <w:color w:val="auto"/>
                <w:lang w:val="en-US" w:eastAsia="zh-CN"/>
              </w:rPr>
              <w:t>本项目厂区范围内无生态环境保护目标。</w:t>
            </w:r>
          </w:p>
        </w:tc>
      </w:tr>
      <w:tr w14:paraId="76080A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7" w:type="dxa"/>
            <w:noWrap w:val="0"/>
            <w:tcMar>
              <w:left w:w="28" w:type="dxa"/>
              <w:right w:w="28" w:type="dxa"/>
            </w:tcMar>
            <w:vAlign w:val="center"/>
          </w:tcPr>
          <w:p w14:paraId="296E7479">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rPr>
            </w:pPr>
            <w:r>
              <w:rPr>
                <w:rFonts w:hint="default" w:ascii="Times New Roman" w:hAnsi="Times New Roman" w:cs="Times New Roman"/>
                <w:color w:val="auto"/>
                <w:kern w:val="0"/>
              </w:rPr>
              <w:t>污染</w:t>
            </w:r>
          </w:p>
          <w:p w14:paraId="450C5408">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rPr>
            </w:pPr>
            <w:r>
              <w:rPr>
                <w:rFonts w:hint="default" w:ascii="Times New Roman" w:hAnsi="Times New Roman" w:cs="Times New Roman"/>
                <w:color w:val="auto"/>
                <w:kern w:val="0"/>
              </w:rPr>
              <w:t>物排</w:t>
            </w:r>
          </w:p>
          <w:p w14:paraId="3E27CD35">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rPr>
            </w:pPr>
            <w:r>
              <w:rPr>
                <w:rFonts w:hint="default" w:ascii="Times New Roman" w:hAnsi="Times New Roman" w:cs="Times New Roman"/>
                <w:color w:val="auto"/>
                <w:kern w:val="0"/>
              </w:rPr>
              <w:t>放控</w:t>
            </w:r>
          </w:p>
          <w:p w14:paraId="61D45EAF">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rPr>
            </w:pPr>
            <w:r>
              <w:rPr>
                <w:rFonts w:hint="default" w:ascii="Times New Roman" w:hAnsi="Times New Roman" w:cs="Times New Roman"/>
                <w:color w:val="auto"/>
                <w:kern w:val="0"/>
              </w:rPr>
              <w:t>制标</w:t>
            </w:r>
          </w:p>
          <w:p w14:paraId="564AAB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sz w:val="21"/>
                <w:szCs w:val="21"/>
              </w:rPr>
            </w:pPr>
            <w:r>
              <w:rPr>
                <w:rFonts w:hint="default" w:ascii="Times New Roman" w:hAnsi="Times New Roman" w:cs="Times New Roman"/>
                <w:color w:val="auto"/>
                <w:kern w:val="0"/>
              </w:rPr>
              <w:t>准</w:t>
            </w:r>
          </w:p>
        </w:tc>
        <w:tc>
          <w:tcPr>
            <w:tcW w:w="8244" w:type="dxa"/>
            <w:noWrap w:val="0"/>
            <w:vAlign w:val="center"/>
          </w:tcPr>
          <w:p w14:paraId="15509989">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default" w:ascii="Times New Roman" w:hAnsi="Times New Roman" w:eastAsia="宋体" w:cs="Times New Roman"/>
                <w:b/>
                <w:color w:val="auto"/>
                <w:sz w:val="24"/>
                <w:szCs w:val="32"/>
              </w:rPr>
            </w:pPr>
            <w:r>
              <w:rPr>
                <w:rFonts w:hint="eastAsia" w:cs="Times New Roman"/>
                <w:b/>
                <w:color w:val="auto"/>
                <w:sz w:val="24"/>
                <w:szCs w:val="32"/>
                <w:lang w:val="en-US" w:eastAsia="zh-CN"/>
              </w:rPr>
              <w:t>1</w:t>
            </w:r>
            <w:r>
              <w:rPr>
                <w:rFonts w:hint="default" w:ascii="Times New Roman" w:hAnsi="Times New Roman" w:eastAsia="宋体" w:cs="Times New Roman"/>
                <w:b/>
                <w:color w:val="auto"/>
                <w:sz w:val="24"/>
                <w:szCs w:val="32"/>
              </w:rPr>
              <w:t>、噪声</w:t>
            </w:r>
          </w:p>
          <w:p w14:paraId="06879540">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eastAsia="宋体" w:cs="Times New Roman"/>
                <w:b w:val="0"/>
                <w:bCs/>
                <w:color w:val="auto"/>
                <w:sz w:val="24"/>
                <w:lang w:eastAsia="zh-CN"/>
              </w:rPr>
            </w:pPr>
            <w:r>
              <w:rPr>
                <w:rFonts w:hint="default" w:ascii="Times New Roman" w:hAnsi="Times New Roman" w:eastAsia="宋体" w:cs="Times New Roman"/>
                <w:b w:val="0"/>
                <w:bCs/>
                <w:color w:val="auto"/>
                <w:sz w:val="24"/>
                <w:lang w:val="en-US" w:eastAsia="zh-CN"/>
              </w:rPr>
              <w:t>本项目运营期厂界噪声执行《工业企业厂界环境噪声排放标准》（GB12348-2008）</w:t>
            </w:r>
            <w:r>
              <w:rPr>
                <w:rFonts w:hint="eastAsia" w:cs="Times New Roman"/>
                <w:b w:val="0"/>
                <w:bCs/>
                <w:color w:val="auto"/>
                <w:sz w:val="24"/>
                <w:lang w:val="en-US" w:eastAsia="zh-CN"/>
              </w:rPr>
              <w:t>2</w:t>
            </w:r>
            <w:r>
              <w:rPr>
                <w:rFonts w:hint="default" w:ascii="Times New Roman" w:hAnsi="Times New Roman" w:eastAsia="宋体" w:cs="Times New Roman"/>
                <w:b w:val="0"/>
                <w:bCs/>
                <w:color w:val="auto"/>
                <w:sz w:val="24"/>
                <w:lang w:val="en-US" w:eastAsia="zh-CN"/>
              </w:rPr>
              <w:t>类标准，具体值见下表。</w:t>
            </w:r>
          </w:p>
          <w:p w14:paraId="37AA6281">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default" w:ascii="Times New Roman" w:hAnsi="Times New Roman" w:eastAsia="宋体" w:cs="Times New Roman"/>
                <w:b/>
                <w:color w:val="auto"/>
                <w:kern w:val="0"/>
                <w:sz w:val="24"/>
                <w:szCs w:val="21"/>
              </w:rPr>
            </w:pPr>
            <w:r>
              <w:rPr>
                <w:rFonts w:hint="default" w:ascii="Times New Roman" w:hAnsi="Times New Roman" w:eastAsia="黑体" w:cs="Times New Roman"/>
                <w:b w:val="0"/>
                <w:bCs/>
                <w:color w:val="auto"/>
                <w:kern w:val="0"/>
                <w:sz w:val="24"/>
                <w:szCs w:val="21"/>
              </w:rPr>
              <w:t>表</w:t>
            </w:r>
            <w:r>
              <w:rPr>
                <w:rFonts w:hint="default" w:ascii="Times New Roman" w:hAnsi="Times New Roman" w:eastAsia="黑体" w:cs="Times New Roman"/>
                <w:b w:val="0"/>
                <w:bCs/>
                <w:color w:val="auto"/>
                <w:kern w:val="0"/>
                <w:sz w:val="24"/>
                <w:szCs w:val="21"/>
                <w:lang w:val="en-US" w:eastAsia="zh-CN"/>
              </w:rPr>
              <w:t>3-</w:t>
            </w:r>
            <w:r>
              <w:rPr>
                <w:rFonts w:hint="eastAsia" w:eastAsia="黑体" w:cs="Times New Roman"/>
                <w:b w:val="0"/>
                <w:bCs/>
                <w:color w:val="auto"/>
                <w:kern w:val="0"/>
                <w:sz w:val="24"/>
                <w:szCs w:val="21"/>
                <w:lang w:val="en-US" w:eastAsia="zh-CN"/>
              </w:rPr>
              <w:t>4</w:t>
            </w:r>
            <w:r>
              <w:rPr>
                <w:rFonts w:hint="default" w:ascii="Times New Roman" w:hAnsi="Times New Roman" w:eastAsia="黑体" w:cs="Times New Roman"/>
                <w:b w:val="0"/>
                <w:bCs/>
                <w:color w:val="auto"/>
                <w:kern w:val="0"/>
                <w:sz w:val="24"/>
                <w:szCs w:val="21"/>
              </w:rPr>
              <w:t xml:space="preserve">         </w:t>
            </w:r>
            <w:r>
              <w:rPr>
                <w:rFonts w:hint="default" w:ascii="Times New Roman" w:hAnsi="Times New Roman" w:eastAsia="黑体" w:cs="Times New Roman"/>
                <w:b w:val="0"/>
                <w:bCs/>
                <w:color w:val="auto"/>
                <w:kern w:val="0"/>
                <w:sz w:val="24"/>
                <w:szCs w:val="21"/>
                <w:lang w:val="en-US" w:eastAsia="zh-CN"/>
              </w:rPr>
              <w:t xml:space="preserve">    </w:t>
            </w:r>
            <w:r>
              <w:rPr>
                <w:rFonts w:hint="default" w:ascii="Times New Roman" w:hAnsi="Times New Roman" w:eastAsia="黑体" w:cs="Times New Roman"/>
                <w:b w:val="0"/>
                <w:bCs/>
                <w:color w:val="auto"/>
                <w:kern w:val="0"/>
                <w:sz w:val="24"/>
                <w:szCs w:val="21"/>
              </w:rPr>
              <w:t xml:space="preserve"> 厂界环境噪声排放标准</w:t>
            </w:r>
            <w:r>
              <w:rPr>
                <w:rFonts w:hint="default" w:ascii="Times New Roman" w:hAnsi="Times New Roman" w:eastAsia="黑体" w:cs="Times New Roman"/>
                <w:b w:val="0"/>
                <w:bCs/>
                <w:color w:val="auto"/>
                <w:kern w:val="0"/>
                <w:sz w:val="24"/>
                <w:szCs w:val="21"/>
                <w:lang w:val="en-US" w:eastAsia="zh-CN"/>
              </w:rPr>
              <w:t xml:space="preserve">         </w:t>
            </w:r>
            <w:r>
              <w:rPr>
                <w:rFonts w:hint="default" w:ascii="Times New Roman" w:hAnsi="Times New Roman" w:eastAsia="黑体" w:cs="Times New Roman"/>
                <w:b w:val="0"/>
                <w:bCs/>
                <w:color w:val="auto"/>
                <w:kern w:val="0"/>
                <w:sz w:val="24"/>
                <w:szCs w:val="21"/>
              </w:rPr>
              <w:t>单位：dB（A）</w:t>
            </w:r>
          </w:p>
          <w:tbl>
            <w:tblPr>
              <w:tblStyle w:val="25"/>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824"/>
              <w:gridCol w:w="5194"/>
            </w:tblGrid>
            <w:tr w14:paraId="2A8015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jc w:val="center"/>
              </w:trPr>
              <w:tc>
                <w:tcPr>
                  <w:tcW w:w="2824" w:type="dxa"/>
                  <w:tcBorders>
                    <w:tl2br w:val="nil"/>
                    <w:tr2bl w:val="nil"/>
                  </w:tcBorders>
                  <w:noWrap w:val="0"/>
                  <w:vAlign w:val="center"/>
                </w:tcPr>
                <w:p w14:paraId="0E24C509">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类别</w:t>
                  </w:r>
                </w:p>
              </w:tc>
              <w:tc>
                <w:tcPr>
                  <w:tcW w:w="5194" w:type="dxa"/>
                  <w:tcBorders>
                    <w:tl2br w:val="nil"/>
                    <w:tr2bl w:val="nil"/>
                  </w:tcBorders>
                  <w:noWrap w:val="0"/>
                  <w:vAlign w:val="center"/>
                </w:tcPr>
                <w:p w14:paraId="693E9372">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rPr>
                  </w:pPr>
                  <w:r>
                    <w:rPr>
                      <w:rFonts w:hint="default" w:ascii="Times New Roman" w:hAnsi="Times New Roman" w:eastAsia="宋体" w:cs="Times New Roman"/>
                      <w:b w:val="0"/>
                      <w:bCs/>
                      <w:color w:val="auto"/>
                      <w:sz w:val="21"/>
                      <w:szCs w:val="21"/>
                    </w:rPr>
                    <w:t>昼间</w:t>
                  </w:r>
                </w:p>
              </w:tc>
            </w:tr>
            <w:tr w14:paraId="12D0A2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exact"/>
                <w:jc w:val="center"/>
              </w:trPr>
              <w:tc>
                <w:tcPr>
                  <w:tcW w:w="2824" w:type="dxa"/>
                  <w:tcBorders>
                    <w:tl2br w:val="nil"/>
                    <w:tr2bl w:val="nil"/>
                  </w:tcBorders>
                  <w:noWrap w:val="0"/>
                  <w:vAlign w:val="center"/>
                </w:tcPr>
                <w:p w14:paraId="70DC91B1">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rPr>
                  </w:pPr>
                  <w:r>
                    <w:rPr>
                      <w:rFonts w:hint="eastAsia" w:cs="Times New Roman"/>
                      <w:b w:val="0"/>
                      <w:bCs/>
                      <w:color w:val="auto"/>
                      <w:sz w:val="21"/>
                      <w:szCs w:val="21"/>
                      <w:lang w:val="en-US" w:eastAsia="zh-CN"/>
                    </w:rPr>
                    <w:t>2</w:t>
                  </w:r>
                  <w:r>
                    <w:rPr>
                      <w:rFonts w:hint="default" w:ascii="Times New Roman" w:hAnsi="Times New Roman" w:eastAsia="宋体" w:cs="Times New Roman"/>
                      <w:b w:val="0"/>
                      <w:bCs/>
                      <w:color w:val="auto"/>
                      <w:sz w:val="21"/>
                      <w:szCs w:val="21"/>
                    </w:rPr>
                    <w:t>类</w:t>
                  </w:r>
                </w:p>
              </w:tc>
              <w:tc>
                <w:tcPr>
                  <w:tcW w:w="5194" w:type="dxa"/>
                  <w:tcBorders>
                    <w:tl2br w:val="nil"/>
                    <w:tr2bl w:val="nil"/>
                  </w:tcBorders>
                  <w:noWrap w:val="0"/>
                  <w:vAlign w:val="center"/>
                </w:tcPr>
                <w:p w14:paraId="2BAD9506">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60</w:t>
                  </w:r>
                </w:p>
              </w:tc>
            </w:tr>
          </w:tbl>
          <w:p w14:paraId="6A5D68D1">
            <w:pPr>
              <w:keepNext w:val="0"/>
              <w:keepLines w:val="0"/>
              <w:pageBreakBefore w:val="0"/>
              <w:widowControl w:val="0"/>
              <w:kinsoku/>
              <w:wordWrap/>
              <w:overflowPunct/>
              <w:topLinePunct w:val="0"/>
              <w:autoSpaceDE/>
              <w:autoSpaceDN/>
              <w:bidi w:val="0"/>
              <w:adjustRightInd/>
              <w:snapToGrid/>
              <w:spacing w:line="520" w:lineRule="exact"/>
              <w:ind w:left="0" w:leftChars="0" w:firstLine="482" w:firstLineChars="200"/>
              <w:textAlignment w:val="auto"/>
              <w:rPr>
                <w:rFonts w:hint="default" w:ascii="Times New Roman" w:hAnsi="Times New Roman" w:eastAsia="宋体" w:cs="Times New Roman"/>
                <w:b/>
                <w:color w:val="auto"/>
                <w:sz w:val="24"/>
                <w:szCs w:val="32"/>
              </w:rPr>
            </w:pPr>
            <w:r>
              <w:rPr>
                <w:rFonts w:hint="eastAsia" w:cs="Times New Roman"/>
                <w:b/>
                <w:color w:val="auto"/>
                <w:sz w:val="24"/>
                <w:szCs w:val="32"/>
                <w:lang w:val="en-US" w:eastAsia="zh-CN"/>
              </w:rPr>
              <w:t>2</w:t>
            </w:r>
            <w:r>
              <w:rPr>
                <w:rFonts w:hint="default" w:ascii="Times New Roman" w:hAnsi="Times New Roman" w:eastAsia="宋体" w:cs="Times New Roman"/>
                <w:b/>
                <w:color w:val="auto"/>
                <w:sz w:val="24"/>
                <w:szCs w:val="32"/>
              </w:rPr>
              <w:t>、固废</w:t>
            </w:r>
          </w:p>
          <w:p w14:paraId="3F9CF3D4">
            <w:pPr>
              <w:keepNext w:val="0"/>
              <w:keepLines w:val="0"/>
              <w:pageBreakBefore w:val="0"/>
              <w:widowControl w:val="0"/>
              <w:kinsoku/>
              <w:wordWrap/>
              <w:overflowPunct/>
              <w:topLinePunct w:val="0"/>
              <w:autoSpaceDE/>
              <w:autoSpaceDN/>
              <w:bidi w:val="0"/>
              <w:adjustRightInd/>
              <w:snapToGrid/>
              <w:spacing w:line="520" w:lineRule="exact"/>
              <w:ind w:firstLine="588" w:firstLineChars="245"/>
              <w:textAlignment w:val="auto"/>
              <w:rPr>
                <w:rFonts w:hint="default" w:ascii="Times New Roman" w:hAnsi="Times New Roman" w:eastAsia="宋体" w:cs="Times New Roman"/>
                <w:b w:val="0"/>
                <w:bCs/>
                <w:color w:val="auto"/>
                <w:sz w:val="24"/>
                <w:lang w:val="en-US" w:eastAsia="zh-CN"/>
              </w:rPr>
            </w:pPr>
            <w:r>
              <w:rPr>
                <w:rFonts w:hint="eastAsia" w:ascii="Times New Roman" w:hAnsi="Times New Roman" w:eastAsia="宋体" w:cs="Times New Roman"/>
                <w:color w:val="auto"/>
                <w:sz w:val="24"/>
                <w:szCs w:val="32"/>
                <w:lang w:eastAsia="zh-CN"/>
              </w:rPr>
              <w:t>一般固废执行《</w:t>
            </w:r>
            <w:r>
              <w:rPr>
                <w:rFonts w:hint="default" w:ascii="Times New Roman" w:hAnsi="Times New Roman" w:eastAsia="宋体" w:cs="Times New Roman"/>
                <w:color w:val="auto"/>
                <w:sz w:val="24"/>
                <w:szCs w:val="32"/>
              </w:rPr>
              <w:t>一般工业固体废物贮存和填埋污染控制标准</w:t>
            </w:r>
            <w:r>
              <w:rPr>
                <w:rFonts w:hint="eastAsia" w:ascii="Times New Roman" w:hAnsi="Times New Roman" w:eastAsia="宋体" w:cs="Times New Roman"/>
                <w:color w:val="auto"/>
                <w:sz w:val="24"/>
                <w:szCs w:val="32"/>
                <w:lang w:eastAsia="zh-CN"/>
              </w:rPr>
              <w:t>》</w:t>
            </w:r>
            <w:r>
              <w:rPr>
                <w:rFonts w:hint="default" w:ascii="Times New Roman" w:hAnsi="Times New Roman" w:eastAsia="宋体" w:cs="Times New Roman"/>
                <w:color w:val="auto"/>
                <w:sz w:val="24"/>
                <w:szCs w:val="32"/>
              </w:rPr>
              <w:t>（GB 18599-2020）</w:t>
            </w:r>
            <w:r>
              <w:rPr>
                <w:rFonts w:hint="eastAsia" w:ascii="Times New Roman" w:hAnsi="Times New Roman" w:eastAsia="宋体" w:cs="Times New Roman"/>
                <w:color w:val="auto"/>
                <w:sz w:val="24"/>
                <w:szCs w:val="32"/>
                <w:lang w:eastAsia="zh-CN"/>
              </w:rPr>
              <w:t>中的</w:t>
            </w:r>
            <w:r>
              <w:rPr>
                <w:bCs/>
                <w:color w:val="auto"/>
                <w:sz w:val="24"/>
                <w:szCs w:val="21"/>
              </w:rPr>
              <w:t>防渗漏、防雨淋、防扬尘等环境保护要求</w:t>
            </w:r>
            <w:r>
              <w:rPr>
                <w:rFonts w:hint="default" w:ascii="Times New Roman" w:hAnsi="Times New Roman" w:eastAsia="宋体" w:cs="Times New Roman"/>
                <w:color w:val="auto"/>
                <w:sz w:val="24"/>
                <w:szCs w:val="32"/>
              </w:rPr>
              <w:t>标准要求</w:t>
            </w:r>
            <w:r>
              <w:rPr>
                <w:rFonts w:hint="eastAsia" w:ascii="Times New Roman" w:hAnsi="Times New Roman" w:eastAsia="宋体" w:cs="Times New Roman"/>
                <w:color w:val="auto"/>
                <w:sz w:val="24"/>
                <w:szCs w:val="32"/>
                <w:lang w:eastAsia="zh-CN"/>
              </w:rPr>
              <w:t>；危险废物执行</w:t>
            </w:r>
            <w:r>
              <w:rPr>
                <w:rFonts w:hint="eastAsia" w:ascii="Times New Roman" w:hAnsi="Times New Roman" w:eastAsia="宋体" w:cs="Times New Roman"/>
                <w:b w:val="0"/>
                <w:bCs/>
                <w:color w:val="auto"/>
                <w:sz w:val="24"/>
                <w:lang w:val="en-US" w:eastAsia="zh-CN"/>
              </w:rPr>
              <w:t>《危险废物贮存污染控制标准》（GB 18597-2023）标准要求。</w:t>
            </w:r>
          </w:p>
        </w:tc>
      </w:tr>
      <w:tr w14:paraId="52FBB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17" w:type="dxa"/>
            <w:noWrap w:val="0"/>
            <w:tcMar>
              <w:left w:w="28" w:type="dxa"/>
              <w:right w:w="28" w:type="dxa"/>
            </w:tcMar>
            <w:vAlign w:val="center"/>
          </w:tcPr>
          <w:p w14:paraId="493963BA">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总量</w:t>
            </w:r>
          </w:p>
          <w:p w14:paraId="7C37E5FE">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控制</w:t>
            </w:r>
          </w:p>
          <w:p w14:paraId="215DCAE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color w:val="auto"/>
                <w:kern w:val="0"/>
              </w:rPr>
            </w:pPr>
            <w:r>
              <w:rPr>
                <w:rFonts w:hint="default" w:ascii="Times New Roman" w:hAnsi="Times New Roman" w:cs="Times New Roman"/>
                <w:color w:val="auto"/>
                <w:kern w:val="0"/>
                <w:sz w:val="24"/>
                <w:szCs w:val="24"/>
              </w:rPr>
              <w:t>指标</w:t>
            </w:r>
          </w:p>
        </w:tc>
        <w:tc>
          <w:tcPr>
            <w:tcW w:w="8244" w:type="dxa"/>
            <w:noWrap w:val="0"/>
            <w:vAlign w:val="center"/>
          </w:tcPr>
          <w:p w14:paraId="098FA855">
            <w:pPr>
              <w:pStyle w:val="2"/>
              <w:keepNext/>
              <w:keepLines w:val="0"/>
              <w:pageBreakBefore w:val="0"/>
              <w:widowControl w:val="0"/>
              <w:kinsoku/>
              <w:wordWrap/>
              <w:overflowPunct w:val="0"/>
              <w:topLinePunct w:val="0"/>
              <w:autoSpaceDE/>
              <w:autoSpaceDN/>
              <w:bidi w:val="0"/>
              <w:adjustRightInd/>
              <w:snapToGrid w:val="0"/>
              <w:spacing w:before="0" w:after="0" w:line="520" w:lineRule="exact"/>
              <w:ind w:left="0" w:leftChars="0" w:firstLine="480" w:firstLineChars="200"/>
              <w:textAlignment w:val="auto"/>
              <w:rPr>
                <w:rFonts w:hint="eastAsia" w:ascii="Times New Roman" w:hAnsi="Times New Roman" w:eastAsia="宋体" w:cs="Times New Roman"/>
                <w:b w:val="0"/>
                <w:bCs w:val="0"/>
                <w:color w:val="auto"/>
                <w:kern w:val="2"/>
                <w:sz w:val="24"/>
                <w:szCs w:val="24"/>
                <w:lang w:val="en-US" w:eastAsia="zh-CN" w:bidi="ar-SA"/>
              </w:rPr>
            </w:pPr>
          </w:p>
          <w:p w14:paraId="23B41071">
            <w:pPr>
              <w:rPr>
                <w:rFonts w:hint="eastAsia"/>
                <w:lang w:val="en-US" w:eastAsia="zh-CN"/>
              </w:rPr>
            </w:pPr>
          </w:p>
          <w:p w14:paraId="008827BF">
            <w:pPr>
              <w:rPr>
                <w:rFonts w:hint="eastAsia"/>
                <w:lang w:val="en-US" w:eastAsia="zh-CN"/>
              </w:rPr>
            </w:pPr>
          </w:p>
          <w:p w14:paraId="10CB5A0C">
            <w:pPr>
              <w:ind w:left="0" w:leftChars="0" w:firstLine="0" w:firstLineChars="0"/>
              <w:rPr>
                <w:rFonts w:hint="eastAsia"/>
                <w:lang w:val="en-US" w:eastAsia="zh-CN"/>
              </w:rPr>
            </w:pPr>
          </w:p>
          <w:p w14:paraId="3E63DB2C">
            <w:pPr>
              <w:ind w:left="0" w:leftChars="0" w:firstLine="0" w:firstLineChars="0"/>
              <w:rPr>
                <w:rFonts w:hint="eastAsia"/>
                <w:lang w:val="en-US" w:eastAsia="zh-CN"/>
              </w:rPr>
            </w:pPr>
          </w:p>
          <w:p w14:paraId="21B94742">
            <w:pPr>
              <w:pStyle w:val="18"/>
              <w:ind w:left="0" w:leftChars="0" w:firstLine="0" w:firstLineChars="0"/>
              <w:rPr>
                <w:rFonts w:hint="eastAsia"/>
                <w:color w:val="auto"/>
                <w:highlight w:val="yellow"/>
                <w:lang w:eastAsia="zh-CN"/>
              </w:rPr>
            </w:pPr>
          </w:p>
          <w:p w14:paraId="2F6574BF">
            <w:pPr>
              <w:pStyle w:val="2"/>
              <w:keepNext/>
              <w:keepLines w:val="0"/>
              <w:pageBreakBefore w:val="0"/>
              <w:widowControl w:val="0"/>
              <w:shd w:val="clear"/>
              <w:kinsoku/>
              <w:wordWrap/>
              <w:overflowPunct w:val="0"/>
              <w:topLinePunct w:val="0"/>
              <w:autoSpaceDE/>
              <w:autoSpaceDN/>
              <w:bidi w:val="0"/>
              <w:adjustRightInd/>
              <w:snapToGrid w:val="0"/>
              <w:spacing w:before="0" w:after="0" w:line="520" w:lineRule="exact"/>
              <w:ind w:left="0" w:firstLine="480" w:firstLineChars="200"/>
              <w:textAlignment w:val="auto"/>
              <w:rPr>
                <w:rFonts w:hint="eastAsia" w:ascii="Times New Roman" w:hAnsi="Times New Roman" w:eastAsia="宋体" w:cs="Times New Roman"/>
                <w:b w:val="0"/>
                <w:bCs w:val="0"/>
                <w:color w:val="000000"/>
                <w:sz w:val="24"/>
                <w:szCs w:val="24"/>
                <w:highlight w:val="none"/>
                <w:lang w:eastAsia="zh-CN"/>
              </w:rPr>
            </w:pPr>
            <w:r>
              <w:rPr>
                <w:rFonts w:hint="eastAsia" w:ascii="Times New Roman" w:hAnsi="Times New Roman" w:eastAsia="宋体" w:cs="Times New Roman"/>
                <w:b w:val="0"/>
                <w:bCs w:val="0"/>
                <w:color w:val="000000"/>
                <w:sz w:val="24"/>
                <w:szCs w:val="24"/>
                <w:highlight w:val="none"/>
                <w:lang w:eastAsia="zh-CN"/>
              </w:rPr>
              <w:t>根据《新乡市生态环境局关于转发&lt;河南省生态环境厅关于印发建设项目主要污染物排放总量指标管理工作内部规程的通知&gt;的通知》，建设项目环境影响评价文件中应明确建设项目主要污染物排放总量及替代方案。另外根据部办《“十五五”污染减排工作方案编制技术指南》（环办综合函【2025】184号）要求，列入“十五五”减排的主要水污染物由化学需氧量、氨氮调整为化学需氧量、总磷，相应“十五五”新建项目涉水总量指标替代同步调整为化学需氧量、总磷。</w:t>
            </w:r>
          </w:p>
          <w:p w14:paraId="10C506AE">
            <w:pPr>
              <w:pStyle w:val="2"/>
              <w:keepNext/>
              <w:keepLines w:val="0"/>
              <w:pageBreakBefore w:val="0"/>
              <w:widowControl w:val="0"/>
              <w:shd w:val="clear"/>
              <w:kinsoku/>
              <w:wordWrap/>
              <w:overflowPunct w:val="0"/>
              <w:topLinePunct w:val="0"/>
              <w:autoSpaceDE/>
              <w:autoSpaceDN/>
              <w:bidi w:val="0"/>
              <w:adjustRightInd/>
              <w:snapToGrid w:val="0"/>
              <w:spacing w:before="0" w:after="0" w:line="520" w:lineRule="exact"/>
              <w:ind w:left="0" w:firstLine="480" w:firstLineChars="200"/>
              <w:textAlignment w:val="auto"/>
              <w:rPr>
                <w:rFonts w:hint="eastAsia" w:ascii="Times New Roman" w:hAnsi="Times New Roman" w:eastAsia="宋体" w:cs="Times New Roman"/>
                <w:b w:val="0"/>
                <w:bCs w:val="0"/>
                <w:color w:val="000000"/>
                <w:sz w:val="24"/>
                <w:szCs w:val="24"/>
                <w:highlight w:val="none"/>
                <w:lang w:val="en-US" w:eastAsia="zh-CN"/>
              </w:rPr>
            </w:pPr>
            <w:r>
              <w:rPr>
                <w:rFonts w:hint="eastAsia" w:ascii="Times New Roman" w:hAnsi="Times New Roman" w:eastAsia="宋体" w:cs="Times New Roman"/>
                <w:b w:val="0"/>
                <w:bCs w:val="0"/>
                <w:color w:val="000000"/>
                <w:sz w:val="24"/>
                <w:szCs w:val="24"/>
                <w:highlight w:val="none"/>
                <w:lang w:val="en-US" w:eastAsia="zh-CN"/>
              </w:rPr>
              <w:t>项目建成后新增COD0.01t/a、总磷0.0001t/a，废水经新乡县综合污水处理厂处理后，最终排入东孟姜女河，2025年东孟姜女河断面水质未达标，需要双倍替代，所需的替代量为COD0.02t</w:t>
            </w:r>
            <w:r>
              <w:rPr>
                <w:rFonts w:hint="eastAsia" w:eastAsia="宋体" w:cs="Times New Roman"/>
                <w:b w:val="0"/>
                <w:bCs w:val="0"/>
                <w:color w:val="000000"/>
                <w:sz w:val="24"/>
                <w:szCs w:val="24"/>
                <w:highlight w:val="none"/>
                <w:lang w:val="en-US" w:eastAsia="zh-CN"/>
              </w:rPr>
              <w:t>/</w:t>
            </w:r>
            <w:r>
              <w:rPr>
                <w:rFonts w:hint="eastAsia" w:ascii="Times New Roman" w:hAnsi="Times New Roman" w:eastAsia="宋体" w:cs="Times New Roman"/>
                <w:b w:val="0"/>
                <w:bCs w:val="0"/>
                <w:color w:val="000000"/>
                <w:sz w:val="24"/>
                <w:szCs w:val="24"/>
                <w:highlight w:val="none"/>
                <w:lang w:val="en-US" w:eastAsia="zh-CN"/>
              </w:rPr>
              <w:t>a、总磷0.0002t/a，COD、总磷替代总量从新乡市东鹏玻璃器皿有限公司倒闭后形成的减排量COD0.3226t/a，总磷 0.003226t/a中扣除。</w:t>
            </w:r>
          </w:p>
          <w:p w14:paraId="630284EB">
            <w:pPr>
              <w:rPr>
                <w:rFonts w:hint="eastAsia"/>
                <w:color w:val="auto"/>
                <w:highlight w:val="yellow"/>
                <w:lang w:eastAsia="zh-CN"/>
              </w:rPr>
            </w:pPr>
          </w:p>
          <w:p w14:paraId="5B5E7046">
            <w:pPr>
              <w:rPr>
                <w:rFonts w:hint="eastAsia"/>
                <w:color w:val="auto"/>
                <w:highlight w:val="yellow"/>
                <w:lang w:eastAsia="zh-CN"/>
              </w:rPr>
            </w:pPr>
          </w:p>
          <w:p w14:paraId="1DA6AE1B">
            <w:pPr>
              <w:rPr>
                <w:rFonts w:hint="eastAsia"/>
                <w:color w:val="auto"/>
                <w:highlight w:val="yellow"/>
                <w:lang w:eastAsia="zh-CN"/>
              </w:rPr>
            </w:pPr>
          </w:p>
          <w:p w14:paraId="7FE5CE73">
            <w:pPr>
              <w:ind w:left="0" w:leftChars="0" w:firstLine="0" w:firstLineChars="0"/>
              <w:rPr>
                <w:rFonts w:hint="eastAsia"/>
                <w:color w:val="auto"/>
                <w:highlight w:val="yellow"/>
                <w:lang w:eastAsia="zh-CN"/>
              </w:rPr>
            </w:pPr>
          </w:p>
          <w:p w14:paraId="1222214A">
            <w:pPr>
              <w:ind w:left="0" w:leftChars="0" w:firstLine="0" w:firstLineChars="0"/>
              <w:rPr>
                <w:rFonts w:hint="eastAsia"/>
                <w:color w:val="auto"/>
                <w:highlight w:val="yellow"/>
                <w:lang w:eastAsia="zh-CN"/>
              </w:rPr>
            </w:pPr>
          </w:p>
          <w:p w14:paraId="285889F2">
            <w:pPr>
              <w:pStyle w:val="2"/>
              <w:rPr>
                <w:rFonts w:hint="eastAsia"/>
                <w:color w:val="auto"/>
                <w:highlight w:val="yellow"/>
                <w:lang w:eastAsia="zh-CN"/>
              </w:rPr>
            </w:pPr>
          </w:p>
          <w:p w14:paraId="5095FEE5">
            <w:pPr>
              <w:rPr>
                <w:rFonts w:hint="eastAsia"/>
                <w:lang w:eastAsia="zh-CN"/>
              </w:rPr>
            </w:pPr>
          </w:p>
          <w:p w14:paraId="721E1AB6">
            <w:pPr>
              <w:rPr>
                <w:rFonts w:hint="eastAsia"/>
                <w:lang w:eastAsia="zh-CN"/>
              </w:rPr>
            </w:pPr>
          </w:p>
        </w:tc>
      </w:tr>
    </w:tbl>
    <w:p w14:paraId="1B0CED76">
      <w:pPr>
        <w:pStyle w:val="20"/>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黑体" w:cs="Times New Roman"/>
          <w:snapToGrid w:val="0"/>
          <w:sz w:val="30"/>
          <w:szCs w:val="30"/>
        </w:rPr>
      </w:pPr>
      <w:r>
        <w:rPr>
          <w:rFonts w:hint="default" w:ascii="Times New Roman" w:hAnsi="Times New Roman" w:eastAsia="黑体" w:cs="Times New Roman"/>
          <w:snapToGrid w:val="0"/>
          <w:sz w:val="36"/>
          <w:szCs w:val="36"/>
        </w:rPr>
        <w:br w:type="page"/>
      </w:r>
      <w:r>
        <w:rPr>
          <w:rFonts w:hint="default" w:ascii="Times New Roman" w:hAnsi="Times New Roman" w:eastAsia="宋体" w:cs="Times New Roman"/>
          <w:b/>
          <w:kern w:val="2"/>
          <w:sz w:val="30"/>
          <w:szCs w:val="22"/>
          <w:highlight w:val="none"/>
          <w:lang w:val="en-US" w:eastAsia="zh-CN" w:bidi="ar-SA"/>
        </w:rPr>
        <w:t>四、主要环境影响和保护措施</w:t>
      </w:r>
    </w:p>
    <w:tbl>
      <w:tblPr>
        <w:tblStyle w:val="25"/>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638"/>
        <w:gridCol w:w="8343"/>
      </w:tblGrid>
      <w:tr w14:paraId="1850AF4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488" w:hRule="atLeast"/>
          <w:jc w:val="center"/>
        </w:trPr>
        <w:tc>
          <w:tcPr>
            <w:tcW w:w="638" w:type="dxa"/>
            <w:noWrap w:val="0"/>
            <w:tcMar>
              <w:left w:w="28" w:type="dxa"/>
              <w:right w:w="28" w:type="dxa"/>
            </w:tcMar>
            <w:vAlign w:val="center"/>
          </w:tcPr>
          <w:p w14:paraId="5F50A090">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施工</w:t>
            </w:r>
          </w:p>
          <w:p w14:paraId="49AC6C0F">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期环</w:t>
            </w:r>
          </w:p>
          <w:p w14:paraId="4BC8533F">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境保</w:t>
            </w:r>
          </w:p>
          <w:p w14:paraId="63DB0B1F">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color w:val="auto"/>
                <w:kern w:val="2"/>
                <w:szCs w:val="24"/>
              </w:rPr>
            </w:pPr>
            <w:r>
              <w:rPr>
                <w:rFonts w:hint="default" w:ascii="Times New Roman" w:hAnsi="Times New Roman" w:cs="Times New Roman"/>
                <w:color w:val="auto"/>
                <w:kern w:val="2"/>
                <w:szCs w:val="24"/>
              </w:rPr>
              <w:t>护措</w:t>
            </w:r>
          </w:p>
          <w:p w14:paraId="33165385">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textAlignment w:val="auto"/>
              <w:rPr>
                <w:rFonts w:hint="default" w:ascii="Times New Roman" w:hAnsi="Times New Roman" w:cs="Times New Roman"/>
                <w:bCs/>
                <w:color w:val="auto"/>
                <w:kern w:val="2"/>
                <w:szCs w:val="24"/>
              </w:rPr>
            </w:pPr>
            <w:r>
              <w:rPr>
                <w:rFonts w:hint="default" w:ascii="Times New Roman" w:hAnsi="Times New Roman" w:cs="Times New Roman"/>
                <w:color w:val="auto"/>
                <w:kern w:val="2"/>
                <w:szCs w:val="24"/>
              </w:rPr>
              <w:t>施</w:t>
            </w:r>
          </w:p>
        </w:tc>
        <w:tc>
          <w:tcPr>
            <w:tcW w:w="8343" w:type="dxa"/>
            <w:noWrap w:val="0"/>
            <w:vAlign w:val="center"/>
          </w:tcPr>
          <w:p w14:paraId="45735D3C">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
                <w:bCs w:val="0"/>
                <w:sz w:val="24"/>
              </w:rPr>
            </w:pPr>
            <w:r>
              <w:rPr>
                <w:rFonts w:ascii="Times New Roman" w:hAnsi="Times New Roman"/>
                <w:sz w:val="24"/>
              </w:rPr>
              <w:t>本项目施工期影响主要来自施工</w:t>
            </w:r>
            <w:r>
              <w:rPr>
                <w:rFonts w:hint="eastAsia" w:ascii="Times New Roman" w:hAnsi="Times New Roman"/>
                <w:sz w:val="24"/>
              </w:rPr>
              <w:t>过程中</w:t>
            </w:r>
            <w:r>
              <w:rPr>
                <w:rFonts w:hint="eastAsia" w:ascii="Times New Roman" w:hAnsi="Times New Roman"/>
                <w:sz w:val="24"/>
                <w:lang w:eastAsia="zh-CN"/>
              </w:rPr>
              <w:t>设备安装和新建车间、办公楼</w:t>
            </w:r>
            <w:r>
              <w:rPr>
                <w:rFonts w:ascii="Times New Roman" w:hAnsi="Times New Roman"/>
                <w:sz w:val="24"/>
              </w:rPr>
              <w:t>产生的废气、废水、噪声和固体废弃物。</w:t>
            </w:r>
          </w:p>
          <w:p w14:paraId="74BCAAE6">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520" w:lineRule="exact"/>
              <w:ind w:left="0" w:right="0" w:firstLine="482" w:firstLineChars="200"/>
              <w:textAlignment w:val="auto"/>
              <w:rPr>
                <w:rFonts w:hint="default" w:ascii="Times New Roman" w:hAnsi="Times New Roman" w:eastAsia="宋体" w:cs="Times New Roman"/>
                <w:b/>
                <w:bCs w:val="0"/>
                <w:sz w:val="24"/>
              </w:rPr>
            </w:pPr>
            <w:r>
              <w:rPr>
                <w:rFonts w:hint="default" w:ascii="Times New Roman" w:hAnsi="Times New Roman" w:eastAsia="宋体" w:cs="Times New Roman"/>
                <w:b/>
                <w:bCs w:val="0"/>
                <w:sz w:val="24"/>
              </w:rPr>
              <w:t>1、扬尘</w:t>
            </w:r>
          </w:p>
          <w:p w14:paraId="6B9805D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color w:val="000000"/>
                <w:sz w:val="24"/>
                <w:szCs w:val="24"/>
              </w:rPr>
            </w:pPr>
            <w:r>
              <w:rPr>
                <w:rFonts w:ascii="Times New Roman" w:hAnsi="Times New Roman"/>
                <w:sz w:val="24"/>
                <w:szCs w:val="24"/>
              </w:rPr>
              <w:t>本项目</w:t>
            </w:r>
            <w:r>
              <w:rPr>
                <w:rFonts w:ascii="Times New Roman" w:hAnsi="Times New Roman"/>
                <w:color w:val="000000"/>
                <w:sz w:val="24"/>
                <w:szCs w:val="24"/>
              </w:rPr>
              <w:t>施工期大气污染源为施工扬尘和机动车尾气。</w:t>
            </w:r>
            <w:r>
              <w:rPr>
                <w:rFonts w:ascii="Times New Roman" w:hAnsi="Times New Roman"/>
                <w:sz w:val="24"/>
                <w:szCs w:val="24"/>
              </w:rPr>
              <w:t>施工期间燃油机械设备较多，装载机、推土机等以柴油为燃料的施工机械在施工过程中，会产生一定量废气，废气主要污染物为THC、CO、NO</w:t>
            </w:r>
            <w:r>
              <w:rPr>
                <w:rFonts w:ascii="Times New Roman" w:hAnsi="Times New Roman"/>
                <w:sz w:val="24"/>
                <w:szCs w:val="24"/>
                <w:vertAlign w:val="subscript"/>
              </w:rPr>
              <w:t>x</w:t>
            </w:r>
            <w:r>
              <w:rPr>
                <w:rFonts w:ascii="Times New Roman" w:hAnsi="Times New Roman"/>
                <w:sz w:val="24"/>
                <w:szCs w:val="24"/>
              </w:rPr>
              <w:t>等。施工机械燃料以轻质柴油为主，燃烧废气中THC、CO、NO</w:t>
            </w:r>
            <w:r>
              <w:rPr>
                <w:rFonts w:ascii="Times New Roman" w:hAnsi="Times New Roman"/>
                <w:sz w:val="24"/>
                <w:szCs w:val="24"/>
                <w:vertAlign w:val="subscript"/>
              </w:rPr>
              <w:t>x</w:t>
            </w:r>
            <w:r>
              <w:rPr>
                <w:rFonts w:ascii="Times New Roman" w:hAnsi="Times New Roman"/>
                <w:sz w:val="24"/>
                <w:szCs w:val="24"/>
              </w:rPr>
              <w:t>排放量较少，且项目施工场地大、施工周期短，产生的污染物间歇排放，经自然扩散后浓度很小，对周围环境影响较小。</w:t>
            </w:r>
          </w:p>
          <w:p w14:paraId="3086525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color w:val="000000"/>
                <w:sz w:val="24"/>
                <w:szCs w:val="24"/>
              </w:rPr>
            </w:pPr>
            <w:r>
              <w:rPr>
                <w:rFonts w:ascii="Times New Roman" w:hAnsi="Times New Roman"/>
                <w:color w:val="000000"/>
                <w:sz w:val="24"/>
                <w:szCs w:val="24"/>
              </w:rPr>
              <w:t>为进一步减少对周围环境的影响，建议建设单位采取以下措施：</w:t>
            </w:r>
          </w:p>
          <w:p w14:paraId="6F6FBE5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color w:val="000000"/>
                <w:sz w:val="24"/>
                <w:szCs w:val="24"/>
              </w:rPr>
            </w:pPr>
            <w:r>
              <w:rPr>
                <w:rFonts w:ascii="Times New Roman" w:hAnsi="Times New Roman"/>
                <w:color w:val="000000"/>
                <w:sz w:val="24"/>
                <w:szCs w:val="24"/>
              </w:rPr>
              <w:t>a、加强施工扬尘控制。建立施工工地动态管理清单，全面开展标准化施工，按照“谁施工、谁负责，谁主管、谁监督”原则，严格执行开复工验收、“三员”管理等制度。贯彻落实《城市房屋建筑和市政基础设施工程及道路扬尘污染防治标准》（河南省住房和城乡建设厅公告〔2020〕7号）</w:t>
            </w:r>
            <w:r>
              <w:rPr>
                <w:rFonts w:hint="eastAsia" w:ascii="Times New Roman" w:hAnsi="Times New Roman"/>
                <w:color w:val="000000"/>
                <w:sz w:val="24"/>
                <w:szCs w:val="24"/>
                <w:lang w:eastAsia="zh-CN"/>
              </w:rPr>
              <w:t>及</w:t>
            </w:r>
            <w:r>
              <w:rPr>
                <w:rFonts w:hint="eastAsia" w:ascii="Times New Roman" w:hAnsi="Times New Roman"/>
                <w:bCs/>
                <w:sz w:val="24"/>
                <w:highlight w:val="none"/>
              </w:rPr>
              <w:t>《新乡市</w:t>
            </w:r>
            <w:r>
              <w:rPr>
                <w:rFonts w:hint="eastAsia"/>
                <w:bCs/>
                <w:sz w:val="24"/>
                <w:highlight w:val="none"/>
                <w:lang w:eastAsia="zh-CN"/>
              </w:rPr>
              <w:t>生态环境保护委员会办公室</w:t>
            </w:r>
            <w:r>
              <w:rPr>
                <w:rFonts w:hint="eastAsia" w:ascii="Times New Roman" w:hAnsi="Times New Roman"/>
                <w:bCs/>
                <w:sz w:val="24"/>
                <w:highlight w:val="none"/>
              </w:rPr>
              <w:t>关于印发新乡市202</w:t>
            </w:r>
            <w:r>
              <w:rPr>
                <w:rFonts w:hint="eastAsia"/>
                <w:bCs/>
                <w:sz w:val="24"/>
                <w:highlight w:val="none"/>
                <w:lang w:val="en-US" w:eastAsia="zh-CN"/>
              </w:rPr>
              <w:t>6</w:t>
            </w:r>
            <w:r>
              <w:rPr>
                <w:rFonts w:hint="eastAsia" w:ascii="Times New Roman" w:hAnsi="Times New Roman"/>
                <w:bCs/>
                <w:sz w:val="24"/>
                <w:highlight w:val="none"/>
              </w:rPr>
              <w:t>年净土保卫战实施方案的通知》（新环</w:t>
            </w:r>
            <w:r>
              <w:rPr>
                <w:rFonts w:hint="eastAsia"/>
                <w:bCs/>
                <w:sz w:val="24"/>
                <w:highlight w:val="none"/>
                <w:lang w:eastAsia="zh-CN"/>
              </w:rPr>
              <w:t>委办</w:t>
            </w:r>
            <w:r>
              <w:rPr>
                <w:rFonts w:hint="eastAsia" w:ascii="Times New Roman" w:hAnsi="Times New Roman"/>
                <w:bCs/>
                <w:sz w:val="24"/>
                <w:highlight w:val="none"/>
              </w:rPr>
              <w:t>[202</w:t>
            </w:r>
            <w:r>
              <w:rPr>
                <w:rFonts w:hint="eastAsia"/>
                <w:bCs/>
                <w:sz w:val="24"/>
                <w:highlight w:val="none"/>
                <w:lang w:val="en-US" w:eastAsia="zh-CN"/>
              </w:rPr>
              <w:t>6]20</w:t>
            </w:r>
            <w:r>
              <w:rPr>
                <w:rFonts w:hint="eastAsia" w:ascii="Times New Roman" w:hAnsi="Times New Roman"/>
                <w:bCs/>
                <w:sz w:val="24"/>
                <w:highlight w:val="none"/>
              </w:rPr>
              <w:t>号）</w:t>
            </w:r>
            <w:r>
              <w:rPr>
                <w:rFonts w:ascii="Times New Roman" w:hAnsi="Times New Roman"/>
                <w:color w:val="000000"/>
                <w:sz w:val="24"/>
                <w:szCs w:val="24"/>
              </w:rPr>
              <w:t>要求，施工现场必须做到周边全部围挡、土方和散碎物料全部覆盖、出场车辆全部冲洗干净、主要场区及道路全部硬化、渣土车辆全部密闭运输、拆除工程全部湿法作业。</w:t>
            </w:r>
            <w:r>
              <w:rPr>
                <w:rFonts w:hint="eastAsia" w:ascii="Times New Roman" w:hAnsi="Times New Roman"/>
                <w:color w:val="000000"/>
                <w:sz w:val="24"/>
                <w:szCs w:val="24"/>
              </w:rPr>
              <w:t>施工现场做到“两个禁止”，禁止现场搅拌混凝土、禁止现场配置砂浆。施工现场混凝土搅拌场所应采取封闭、降尘措施。在规定区域内的施工现场应使用预拌制混凝土及预拌砂浆。采用现场搅拌混凝土或砂浆的场所应采取封闭、降尘、降噪措施。水泥和其他易飞扬的细颗粒建筑材料应密闭存放或采取覆盖等措施。</w:t>
            </w:r>
          </w:p>
          <w:p w14:paraId="0557A5D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color w:val="000000"/>
                <w:sz w:val="24"/>
                <w:szCs w:val="24"/>
              </w:rPr>
            </w:pPr>
            <w:r>
              <w:rPr>
                <w:rFonts w:ascii="Times New Roman" w:hAnsi="Times New Roman"/>
                <w:color w:val="000000"/>
                <w:sz w:val="24"/>
                <w:szCs w:val="24"/>
              </w:rPr>
              <w:t>b、施工场地洒水与否对扬尘的影响较大，根据资料显示，施工场地洒水后，扬尘量将减低28%～75%，可大大减少其对周围环境的影响。因此，建议在施工场地安排员工定期对施工场地洒水以减少扬尘量，洒水次数根据天气状况而定，一般每天洒水1～2次，若遇大风天气或干燥天气可适当增加洒水次数。</w:t>
            </w:r>
          </w:p>
          <w:p w14:paraId="2D70184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color w:val="000000"/>
                <w:sz w:val="24"/>
                <w:szCs w:val="24"/>
              </w:rPr>
            </w:pPr>
            <w:r>
              <w:rPr>
                <w:rFonts w:ascii="Times New Roman" w:hAnsi="Times New Roman"/>
                <w:color w:val="000000"/>
                <w:sz w:val="24"/>
                <w:szCs w:val="24"/>
              </w:rPr>
              <w:t>c、在施工场地周围设置硬质材料连续围挡，必须达到施工工地100%围挡；</w:t>
            </w:r>
          </w:p>
          <w:p w14:paraId="161829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color w:val="000000"/>
                <w:sz w:val="24"/>
                <w:szCs w:val="24"/>
              </w:rPr>
            </w:pPr>
            <w:r>
              <w:rPr>
                <w:rFonts w:ascii="Times New Roman" w:hAnsi="Times New Roman"/>
                <w:color w:val="000000"/>
                <w:sz w:val="24"/>
                <w:szCs w:val="24"/>
              </w:rPr>
              <w:t>d、施工现场的道路及作业场地应当采用混凝土硬化地面，施工现场地面100%硬化，保证平整坚实，无浮土、无积水；</w:t>
            </w:r>
          </w:p>
          <w:p w14:paraId="7EF0C4F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color w:val="000000"/>
                <w:sz w:val="24"/>
                <w:szCs w:val="24"/>
              </w:rPr>
            </w:pPr>
            <w:r>
              <w:rPr>
                <w:rFonts w:ascii="Times New Roman" w:hAnsi="Times New Roman"/>
                <w:color w:val="000000"/>
                <w:sz w:val="24"/>
                <w:szCs w:val="24"/>
              </w:rPr>
              <w:t>e、建筑垃圾、工程土渣应及时清运，不能及时完成清运的，应当在施工工地内设置临时堆放场，物料堆放要100%覆盖，堆放高度不得高于围挡；</w:t>
            </w:r>
          </w:p>
          <w:p w14:paraId="42A0231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color w:val="000000"/>
                <w:sz w:val="24"/>
                <w:szCs w:val="24"/>
              </w:rPr>
            </w:pPr>
            <w:r>
              <w:rPr>
                <w:rFonts w:ascii="Times New Roman" w:hAnsi="Times New Roman"/>
                <w:color w:val="000000"/>
                <w:sz w:val="24"/>
                <w:szCs w:val="24"/>
              </w:rPr>
              <w:t>f、做好对易起尘物料</w:t>
            </w:r>
            <w:r>
              <w:rPr>
                <w:rFonts w:hint="eastAsia" w:ascii="Times New Roman" w:hAnsi="Times New Roman"/>
                <w:color w:val="000000"/>
                <w:sz w:val="24"/>
                <w:szCs w:val="24"/>
                <w:lang w:eastAsia="zh-CN"/>
              </w:rPr>
              <w:t>加盖篷布</w:t>
            </w:r>
            <w:r>
              <w:rPr>
                <w:rFonts w:ascii="Times New Roman" w:hAnsi="Times New Roman"/>
                <w:color w:val="000000"/>
                <w:sz w:val="24"/>
                <w:szCs w:val="24"/>
              </w:rPr>
              <w:t>、控制车速、合理分流车辆、减少卸料落差、施工场地要勤洒水、建筑工地建筑施工外脚手架一律采用密目防尘网维护(不低于2000目/100cm</w:t>
            </w:r>
            <w:r>
              <w:rPr>
                <w:rFonts w:ascii="Times New Roman" w:hAnsi="Times New Roman"/>
                <w:color w:val="000000"/>
                <w:sz w:val="24"/>
                <w:szCs w:val="24"/>
                <w:vertAlign w:val="superscript"/>
              </w:rPr>
              <w:t>2</w:t>
            </w:r>
            <w:r>
              <w:rPr>
                <w:rFonts w:ascii="Times New Roman" w:hAnsi="Times New Roman"/>
                <w:color w:val="000000"/>
                <w:sz w:val="24"/>
                <w:szCs w:val="24"/>
              </w:rPr>
              <w:t>)或防尘布、运输车辆行驶路线尽量避开环境保护目标等内容；</w:t>
            </w:r>
          </w:p>
          <w:p w14:paraId="68DFC5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color w:val="000000"/>
                <w:sz w:val="24"/>
                <w:szCs w:val="24"/>
              </w:rPr>
            </w:pPr>
            <w:r>
              <w:rPr>
                <w:rFonts w:ascii="Times New Roman" w:hAnsi="Times New Roman"/>
                <w:color w:val="000000"/>
                <w:sz w:val="24"/>
                <w:szCs w:val="24"/>
              </w:rPr>
              <w:t>g、建筑垃圾、工程弃方应及时清运，不能及时完成清运的，在施工工地内设置临时堆放场，临时堆放场应当采取围挡、遮盖、洒水、喷洒覆盖剂或其他防尘措施；</w:t>
            </w:r>
          </w:p>
          <w:p w14:paraId="2C484C4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color w:val="000000"/>
                <w:sz w:val="24"/>
                <w:szCs w:val="24"/>
              </w:rPr>
            </w:pPr>
            <w:r>
              <w:rPr>
                <w:rFonts w:ascii="Times New Roman" w:hAnsi="Times New Roman"/>
                <w:color w:val="000000"/>
                <w:sz w:val="24"/>
                <w:szCs w:val="24"/>
              </w:rPr>
              <w:t>h、及时清扫运输通道，以减少汽车行驶扬尘，垃圾、渣土要及时清运；</w:t>
            </w:r>
          </w:p>
          <w:p w14:paraId="6DFA94F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color w:val="000000"/>
                <w:sz w:val="24"/>
                <w:szCs w:val="24"/>
              </w:rPr>
            </w:pPr>
            <w:r>
              <w:rPr>
                <w:rFonts w:ascii="Times New Roman" w:hAnsi="Times New Roman"/>
                <w:color w:val="000000"/>
                <w:sz w:val="24"/>
                <w:szCs w:val="24"/>
              </w:rPr>
              <w:t>i、在工地出口处设置冲洗设施，出入车辆100%冲洗，车辆驶出工地时对车轮进行冲刷，保持出场车辆清洁；</w:t>
            </w:r>
          </w:p>
          <w:p w14:paraId="1C8295EF">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520" w:lineRule="exact"/>
              <w:ind w:left="0" w:right="0" w:firstLine="480" w:firstLineChars="200"/>
              <w:textAlignment w:val="auto"/>
              <w:rPr>
                <w:rFonts w:hint="default" w:ascii="Times New Roman" w:hAnsi="Times New Roman" w:eastAsia="宋体" w:cs="Times New Roman"/>
                <w:bCs/>
                <w:sz w:val="24"/>
                <w:lang w:val="en-US" w:eastAsia="zh-CN"/>
              </w:rPr>
            </w:pPr>
            <w:r>
              <w:rPr>
                <w:rFonts w:ascii="Times New Roman" w:hAnsi="Times New Roman"/>
                <w:color w:val="000000"/>
                <w:sz w:val="24"/>
                <w:szCs w:val="24"/>
              </w:rPr>
              <w:t>j、运输车辆加盖篷布，渣土车辆100%密闭运输，进入施工场地应低速或限速行驶，以减少产尘量，并且车辆行驶应按规定路线进行；</w:t>
            </w:r>
          </w:p>
          <w:p w14:paraId="1ED1A4E8">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520" w:lineRule="exact"/>
              <w:ind w:left="0" w:right="0" w:firstLine="482" w:firstLineChars="200"/>
              <w:textAlignment w:val="auto"/>
              <w:rPr>
                <w:rFonts w:hint="default" w:ascii="Times New Roman" w:hAnsi="Times New Roman" w:eastAsia="宋体" w:cs="Times New Roman"/>
                <w:b/>
                <w:bCs w:val="0"/>
                <w:sz w:val="24"/>
                <w:lang w:val="en-US" w:eastAsia="zh-CN"/>
              </w:rPr>
            </w:pPr>
            <w:r>
              <w:rPr>
                <w:rFonts w:hint="default" w:ascii="Times New Roman" w:hAnsi="Times New Roman" w:eastAsia="宋体" w:cs="Times New Roman"/>
                <w:b/>
                <w:bCs w:val="0"/>
                <w:sz w:val="24"/>
                <w:lang w:val="en-US" w:eastAsia="zh-CN"/>
              </w:rPr>
              <w:t>2、噪声</w:t>
            </w:r>
          </w:p>
          <w:p w14:paraId="6DE5484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bCs/>
                <w:color w:val="000000"/>
                <w:sz w:val="24"/>
                <w:szCs w:val="24"/>
              </w:rPr>
            </w:pPr>
            <w:r>
              <w:rPr>
                <w:rFonts w:ascii="Times New Roman" w:hAnsi="Times New Roman"/>
                <w:sz w:val="24"/>
                <w:szCs w:val="24"/>
              </w:rPr>
              <w:t>工程施工噪声主要为施工机械产生的噪声以及施工运输车辆的交通噪声，噪声源强在80～90dB(A)之间。由于项目施工期持续时间较短，且只在白天施工，因此对周围环境影响较小。</w:t>
            </w:r>
          </w:p>
          <w:p w14:paraId="1AFF81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bCs/>
                <w:color w:val="000000"/>
                <w:sz w:val="24"/>
                <w:szCs w:val="24"/>
              </w:rPr>
            </w:pPr>
            <w:r>
              <w:rPr>
                <w:rFonts w:ascii="Times New Roman" w:hAnsi="Times New Roman"/>
                <w:bCs/>
                <w:color w:val="000000"/>
                <w:sz w:val="24"/>
                <w:szCs w:val="24"/>
              </w:rPr>
              <w:t>本项目厂界最近的敏感点为</w:t>
            </w:r>
            <w:r>
              <w:rPr>
                <w:rFonts w:hint="eastAsia" w:cs="Times New Roman"/>
                <w:b w:val="0"/>
                <w:bCs w:val="0"/>
                <w:color w:val="auto"/>
                <w:sz w:val="24"/>
                <w:szCs w:val="24"/>
                <w:highlight w:val="none"/>
                <w:lang w:val="en-US" w:eastAsia="zh-CN"/>
              </w:rPr>
              <w:t>东侧114m处的朝阳社区</w:t>
            </w:r>
            <w:r>
              <w:rPr>
                <w:rFonts w:ascii="Times New Roman" w:hAnsi="Times New Roman"/>
                <w:bCs/>
                <w:color w:val="000000"/>
                <w:sz w:val="24"/>
                <w:szCs w:val="24"/>
              </w:rPr>
              <w:t>。施工过程中所用到的高噪声设备持续时间较短，施工期的噪声对周围环境的影响只是暂时的，会随施工期的结束而结束。为确保施工场界噪声满足《建筑施工场界环境噪声排放标准》（GB12523-2011）标准要求，要求施工单位禁止夜间施工，如因工艺需要连续施工，必须取得当地环保部门同意，并公告附近居民，并根据</w:t>
            </w:r>
            <w:r>
              <w:rPr>
                <w:rFonts w:hint="eastAsia" w:ascii="Times New Roman" w:hAnsi="Times New Roman"/>
                <w:bCs/>
                <w:color w:val="000000"/>
                <w:sz w:val="24"/>
                <w:szCs w:val="24"/>
                <w:lang w:eastAsia="zh-CN"/>
              </w:rPr>
              <w:t>施工</w:t>
            </w:r>
            <w:r>
              <w:rPr>
                <w:rFonts w:ascii="Times New Roman" w:hAnsi="Times New Roman"/>
                <w:bCs/>
                <w:color w:val="000000"/>
                <w:sz w:val="24"/>
                <w:szCs w:val="24"/>
              </w:rPr>
              <w:t>需要，适当增加场界处隔声围挡；昼间施工应控制施工范围，施工机械距离厂界应控制在10m范围外，如因工艺要求无法满足该距离要求，则应设置临时声屏障。评价建议在施工期采取以下具体措施：</w:t>
            </w:r>
          </w:p>
          <w:p w14:paraId="753615D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bCs/>
                <w:color w:val="000000"/>
                <w:sz w:val="24"/>
                <w:szCs w:val="24"/>
              </w:rPr>
            </w:pPr>
            <w:r>
              <w:rPr>
                <w:rFonts w:ascii="Times New Roman" w:hAnsi="Times New Roman"/>
                <w:bCs/>
                <w:color w:val="000000"/>
                <w:sz w:val="24"/>
                <w:szCs w:val="24"/>
              </w:rPr>
              <w:t>①严格执行《建筑施工场界环境噪声排放标准》（GB12523-2011），尽量选用新型的低噪声施工机械设备，改进高噪声的施工方法，采用噪声比较小的振动打桩法和钻孔灌桩法等。</w:t>
            </w:r>
          </w:p>
          <w:p w14:paraId="639EC3D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bCs/>
                <w:color w:val="000000"/>
                <w:sz w:val="24"/>
                <w:szCs w:val="24"/>
              </w:rPr>
            </w:pPr>
            <w:r>
              <w:rPr>
                <w:rFonts w:ascii="Times New Roman" w:hAnsi="Times New Roman"/>
                <w:bCs/>
                <w:color w:val="000000"/>
                <w:sz w:val="24"/>
                <w:szCs w:val="24"/>
              </w:rPr>
              <w:t>②尽可能以液压工具代替气压工具，降低噪声。</w:t>
            </w:r>
          </w:p>
          <w:p w14:paraId="542AC30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bCs/>
                <w:color w:val="000000"/>
                <w:sz w:val="24"/>
                <w:szCs w:val="24"/>
              </w:rPr>
            </w:pPr>
            <w:r>
              <w:rPr>
                <w:rFonts w:ascii="Times New Roman" w:hAnsi="Times New Roman"/>
                <w:bCs/>
                <w:color w:val="000000"/>
                <w:sz w:val="24"/>
                <w:szCs w:val="24"/>
              </w:rPr>
              <w:t>③加强机械设备、运输车辆的保养维修，使其处于良好的工作状态。</w:t>
            </w:r>
          </w:p>
          <w:p w14:paraId="76D0072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bCs/>
                <w:color w:val="000000"/>
                <w:sz w:val="24"/>
                <w:szCs w:val="24"/>
              </w:rPr>
            </w:pPr>
            <w:r>
              <w:rPr>
                <w:rFonts w:ascii="Times New Roman" w:hAnsi="Times New Roman"/>
                <w:bCs/>
                <w:color w:val="000000"/>
                <w:sz w:val="24"/>
                <w:szCs w:val="24"/>
              </w:rPr>
              <w:t>④不设水泥搅拌机，使用商品混凝土及预制件。</w:t>
            </w:r>
          </w:p>
          <w:p w14:paraId="1C1E6C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bCs/>
                <w:color w:val="000000"/>
                <w:sz w:val="24"/>
                <w:szCs w:val="24"/>
              </w:rPr>
            </w:pPr>
            <w:r>
              <w:rPr>
                <w:rFonts w:ascii="Times New Roman" w:hAnsi="Times New Roman"/>
                <w:bCs/>
                <w:color w:val="000000"/>
                <w:sz w:val="24"/>
                <w:szCs w:val="24"/>
              </w:rPr>
              <w:t>⑤尽量避免在同一时间集中使用大量的动力机械设备。建议将高噪声设备设于项目中部。</w:t>
            </w:r>
          </w:p>
          <w:p w14:paraId="1910296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bCs/>
                <w:color w:val="000000"/>
                <w:sz w:val="24"/>
                <w:szCs w:val="24"/>
              </w:rPr>
            </w:pPr>
            <w:r>
              <w:rPr>
                <w:rFonts w:ascii="Times New Roman" w:hAnsi="Times New Roman"/>
                <w:bCs/>
                <w:color w:val="000000"/>
                <w:sz w:val="24"/>
                <w:szCs w:val="24"/>
              </w:rPr>
              <w:t>⑥减缓人为噪声污染。钢制模板在使用、拆卸、装卸等过程中，应尽可能地轻拿轻放，以免模板相互碰撞产生噪声。</w:t>
            </w:r>
          </w:p>
          <w:p w14:paraId="2D1F2F3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ascii="Times New Roman" w:hAnsi="Times New Roman"/>
                <w:bCs/>
                <w:color w:val="000000"/>
                <w:sz w:val="24"/>
                <w:szCs w:val="24"/>
              </w:rPr>
            </w:pPr>
            <w:r>
              <w:rPr>
                <w:rFonts w:ascii="Times New Roman" w:hAnsi="Times New Roman"/>
                <w:bCs/>
                <w:color w:val="000000"/>
                <w:sz w:val="24"/>
                <w:szCs w:val="24"/>
              </w:rPr>
              <w:t>⑦合理安排施工时间：禁止夜间（22:00-6:00）施工；如果要在夜间施工，必须符合《中华人民共和国环境噪声防治法》第四章第三十条的要求，“必须有县级以上人民政府</w:t>
            </w:r>
            <w:r>
              <w:rPr>
                <w:rFonts w:hint="eastAsia" w:ascii="Times New Roman" w:hAnsi="Times New Roman"/>
                <w:bCs/>
                <w:color w:val="000000"/>
                <w:sz w:val="24"/>
                <w:szCs w:val="24"/>
                <w:lang w:eastAsia="zh-CN"/>
              </w:rPr>
              <w:t>或者其他</w:t>
            </w:r>
            <w:r>
              <w:rPr>
                <w:rFonts w:ascii="Times New Roman" w:hAnsi="Times New Roman"/>
                <w:bCs/>
                <w:color w:val="000000"/>
                <w:sz w:val="24"/>
                <w:szCs w:val="24"/>
              </w:rPr>
              <w:t>有关主管部门的证明”。建议中午（12:00-14:30）停止施工。</w:t>
            </w:r>
          </w:p>
          <w:p w14:paraId="75B40E06">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520" w:lineRule="exact"/>
              <w:ind w:left="0" w:right="0" w:firstLine="480" w:firstLineChars="200"/>
              <w:textAlignment w:val="auto"/>
              <w:rPr>
                <w:rFonts w:ascii="Times New Roman" w:hAnsi="Times New Roman"/>
                <w:bCs/>
                <w:color w:val="000000"/>
                <w:sz w:val="24"/>
                <w:szCs w:val="24"/>
              </w:rPr>
            </w:pPr>
            <w:r>
              <w:rPr>
                <w:rFonts w:ascii="Times New Roman" w:hAnsi="Times New Roman"/>
                <w:bCs/>
                <w:color w:val="000000"/>
                <w:sz w:val="24"/>
                <w:szCs w:val="24"/>
              </w:rPr>
              <w:t>在采取上述措施后，厂界噪声能够达到《建筑施工场界环境噪声排放标准》（GB12523-2011）要求，将施工期噪声影响降到最低。</w:t>
            </w:r>
          </w:p>
          <w:p w14:paraId="65DBD893">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520" w:lineRule="exact"/>
              <w:ind w:left="0" w:right="0" w:firstLine="482" w:firstLineChars="200"/>
              <w:textAlignment w:val="auto"/>
              <w:rPr>
                <w:rFonts w:hint="default" w:ascii="Times New Roman" w:hAnsi="Times New Roman" w:eastAsia="宋体" w:cs="Times New Roman"/>
                <w:b/>
                <w:bCs w:val="0"/>
                <w:sz w:val="24"/>
              </w:rPr>
            </w:pPr>
            <w:r>
              <w:rPr>
                <w:rFonts w:hint="default" w:ascii="Times New Roman" w:hAnsi="Times New Roman" w:eastAsia="宋体" w:cs="Times New Roman"/>
                <w:b/>
                <w:bCs w:val="0"/>
                <w:sz w:val="24"/>
              </w:rPr>
              <w:t>3、废水</w:t>
            </w:r>
          </w:p>
          <w:p w14:paraId="5EE99173">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0" w:firstLineChars="200"/>
              <w:jc w:val="both"/>
              <w:textAlignment w:val="auto"/>
              <w:outlineLvl w:val="9"/>
              <w:rPr>
                <w:rFonts w:hint="default" w:ascii="Times New Roman" w:hAnsi="Times New Roman" w:cs="Times New Roman"/>
                <w:color w:val="auto"/>
                <w:sz w:val="24"/>
                <w:szCs w:val="24"/>
              </w:rPr>
            </w:pPr>
            <w:r>
              <w:rPr>
                <w:rFonts w:ascii="Times New Roman" w:hAnsi="Times New Roman"/>
                <w:color w:val="auto"/>
                <w:sz w:val="24"/>
                <w:szCs w:val="24"/>
              </w:rPr>
              <w:t>施工期废水来源主要是建筑施工废水和施工人员生活污水。拟采取的污染防</w:t>
            </w:r>
            <w:r>
              <w:rPr>
                <w:rFonts w:hint="default" w:ascii="Times New Roman" w:hAnsi="Times New Roman" w:cs="Times New Roman"/>
                <w:color w:val="auto"/>
                <w:sz w:val="24"/>
                <w:szCs w:val="24"/>
              </w:rPr>
              <w:t>治措施有：</w:t>
            </w:r>
          </w:p>
          <w:p w14:paraId="3E659C30">
            <w:pPr>
              <w:keepNext w:val="0"/>
              <w:keepLines w:val="0"/>
              <w:pageBreakBefore w:val="0"/>
              <w:widowControl w:val="0"/>
              <w:numPr>
                <w:ilvl w:val="0"/>
                <w:numId w:val="0"/>
              </w:numPr>
              <w:kinsoku/>
              <w:wordWrap/>
              <w:overflowPunct/>
              <w:topLinePunct w:val="0"/>
              <w:autoSpaceDE/>
              <w:autoSpaceDN/>
              <w:bidi w:val="0"/>
              <w:adjustRightInd w:val="0"/>
              <w:snapToGrid w:val="0"/>
              <w:spacing w:line="520" w:lineRule="exact"/>
              <w:ind w:left="0" w:leftChars="0" w:right="0" w:rightChars="0" w:firstLine="480" w:firstLineChars="200"/>
              <w:jc w:val="both"/>
              <w:textAlignment w:val="auto"/>
              <w:outlineLvl w:val="9"/>
              <w:rPr>
                <w:rFonts w:hint="default" w:ascii="Times New Roman" w:hAnsi="Times New Roman" w:cs="Times New Roman"/>
                <w:color w:val="auto"/>
                <w:sz w:val="24"/>
                <w:szCs w:val="24"/>
                <w:lang w:eastAsia="zh-CN"/>
              </w:rPr>
            </w:pPr>
            <w:r>
              <w:rPr>
                <w:rFonts w:hint="default" w:ascii="Times New Roman" w:hAnsi="Times New Roman" w:cs="Times New Roman"/>
                <w:color w:val="auto"/>
                <w:kern w:val="2"/>
                <w:sz w:val="24"/>
                <w:szCs w:val="24"/>
                <w:lang w:val="en-US" w:eastAsia="zh-CN" w:bidi="ar-SA"/>
              </w:rPr>
              <w:t>（1）</w:t>
            </w:r>
            <w:r>
              <w:rPr>
                <w:rFonts w:hint="default" w:ascii="Times New Roman" w:hAnsi="Times New Roman" w:cs="Times New Roman"/>
                <w:color w:val="auto"/>
                <w:sz w:val="24"/>
                <w:szCs w:val="24"/>
              </w:rPr>
              <w:t>对于施工人员生活污水，经</w:t>
            </w:r>
            <w:r>
              <w:rPr>
                <w:rFonts w:hint="default" w:ascii="Times New Roman" w:hAnsi="Times New Roman" w:cs="Times New Roman"/>
                <w:color w:val="auto"/>
                <w:sz w:val="24"/>
                <w:szCs w:val="24"/>
                <w:lang w:eastAsia="zh-CN"/>
              </w:rPr>
              <w:t>临时化粪池处理后</w:t>
            </w:r>
            <w:r>
              <w:rPr>
                <w:rFonts w:hint="eastAsia" w:cs="Times New Roman"/>
                <w:color w:val="auto"/>
                <w:sz w:val="24"/>
                <w:szCs w:val="24"/>
                <w:lang w:eastAsia="zh-CN"/>
              </w:rPr>
              <w:t>排入污水管网进入新乡县综合污水处理厂</w:t>
            </w:r>
            <w:r>
              <w:rPr>
                <w:rFonts w:hint="default" w:ascii="Times New Roman" w:hAnsi="Times New Roman" w:cs="Times New Roman"/>
                <w:color w:val="auto"/>
                <w:sz w:val="24"/>
                <w:szCs w:val="24"/>
                <w:lang w:eastAsia="zh-CN"/>
              </w:rPr>
              <w:t>。</w:t>
            </w:r>
          </w:p>
          <w:p w14:paraId="20C860A3">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520" w:lineRule="exact"/>
              <w:ind w:left="0" w:right="0" w:firstLine="480" w:firstLineChars="200"/>
              <w:textAlignment w:val="auto"/>
              <w:rPr>
                <w:rFonts w:hint="default" w:ascii="Times New Roman" w:hAnsi="Times New Roman" w:cs="Times New Roman"/>
                <w:color w:val="auto"/>
                <w:sz w:val="24"/>
                <w:szCs w:val="24"/>
                <w:lang w:eastAsia="zh-CN"/>
              </w:rPr>
            </w:pPr>
            <w:r>
              <w:rPr>
                <w:rFonts w:hint="default" w:ascii="Times New Roman" w:hAnsi="Times New Roman" w:cs="Times New Roman"/>
                <w:color w:val="auto"/>
                <w:kern w:val="2"/>
                <w:sz w:val="24"/>
                <w:szCs w:val="24"/>
                <w:lang w:val="en-US" w:eastAsia="zh-CN" w:bidi="ar-SA"/>
              </w:rPr>
              <w:t>（2）</w:t>
            </w:r>
            <w:r>
              <w:rPr>
                <w:rFonts w:hint="default" w:ascii="Times New Roman" w:hAnsi="Times New Roman" w:cs="Times New Roman"/>
                <w:color w:val="auto"/>
                <w:sz w:val="24"/>
                <w:szCs w:val="24"/>
              </w:rPr>
              <w:t>建筑施工废水SS浓度较高，</w:t>
            </w:r>
            <w:r>
              <w:rPr>
                <w:rFonts w:hint="default" w:ascii="Times New Roman" w:hAnsi="Times New Roman" w:cs="Times New Roman"/>
                <w:color w:val="auto"/>
                <w:sz w:val="24"/>
                <w:szCs w:val="24"/>
                <w:lang w:eastAsia="zh-CN"/>
              </w:rPr>
              <w:t>评价建议</w:t>
            </w:r>
            <w:r>
              <w:rPr>
                <w:rFonts w:hint="default" w:ascii="Times New Roman" w:hAnsi="Times New Roman" w:cs="Times New Roman"/>
                <w:color w:val="auto"/>
                <w:sz w:val="24"/>
                <w:szCs w:val="24"/>
              </w:rPr>
              <w:t>在施工区</w:t>
            </w:r>
            <w:r>
              <w:rPr>
                <w:rFonts w:hint="default" w:ascii="Times New Roman" w:hAnsi="Times New Roman" w:cs="Times New Roman"/>
                <w:color w:val="auto"/>
                <w:sz w:val="24"/>
                <w:szCs w:val="24"/>
                <w:lang w:eastAsia="zh-CN"/>
              </w:rPr>
              <w:t>设置临时沉淀池，</w:t>
            </w:r>
            <w:r>
              <w:rPr>
                <w:rFonts w:hint="default" w:ascii="Times New Roman" w:hAnsi="Times New Roman" w:cs="Times New Roman"/>
                <w:color w:val="auto"/>
                <w:sz w:val="24"/>
                <w:szCs w:val="24"/>
              </w:rPr>
              <w:t>并在场地四周设置一条环状截水沟，把冲洗废水引入沉淀池中收集，经沉淀后的废水循环使用</w:t>
            </w:r>
            <w:r>
              <w:rPr>
                <w:rFonts w:hint="default" w:ascii="Times New Roman" w:hAnsi="Times New Roman" w:cs="Times New Roman"/>
                <w:color w:val="auto"/>
                <w:sz w:val="24"/>
                <w:szCs w:val="24"/>
                <w:lang w:eastAsia="zh-CN"/>
              </w:rPr>
              <w:t>或用于</w:t>
            </w:r>
            <w:r>
              <w:rPr>
                <w:rFonts w:hint="default" w:ascii="Times New Roman" w:hAnsi="Times New Roman" w:cs="Times New Roman"/>
                <w:color w:val="auto"/>
                <w:sz w:val="24"/>
                <w:szCs w:val="24"/>
              </w:rPr>
              <w:t>施工场地洒水抑尘</w:t>
            </w:r>
            <w:r>
              <w:rPr>
                <w:rFonts w:hint="default" w:ascii="Times New Roman" w:hAnsi="Times New Roman" w:cs="Times New Roman"/>
                <w:color w:val="auto"/>
                <w:sz w:val="24"/>
                <w:szCs w:val="24"/>
                <w:lang w:eastAsia="zh-CN"/>
              </w:rPr>
              <w:t>，不外排。</w:t>
            </w:r>
          </w:p>
          <w:p w14:paraId="23DED3CA">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520" w:lineRule="exact"/>
              <w:ind w:left="0" w:right="0" w:firstLine="482" w:firstLineChars="200"/>
              <w:textAlignment w:val="auto"/>
              <w:rPr>
                <w:rFonts w:hint="default" w:ascii="Times New Roman" w:hAnsi="Times New Roman" w:eastAsia="宋体" w:cs="Times New Roman"/>
                <w:b/>
                <w:bCs w:val="0"/>
                <w:sz w:val="24"/>
              </w:rPr>
            </w:pPr>
            <w:r>
              <w:rPr>
                <w:rFonts w:hint="default" w:ascii="Times New Roman" w:hAnsi="Times New Roman" w:eastAsia="宋体" w:cs="Times New Roman"/>
                <w:b/>
                <w:bCs w:val="0"/>
                <w:sz w:val="24"/>
              </w:rPr>
              <w:t>4、固废</w:t>
            </w:r>
          </w:p>
          <w:p w14:paraId="327EB608">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520" w:lineRule="exact"/>
              <w:ind w:left="0" w:right="0" w:firstLine="480" w:firstLineChars="200"/>
              <w:textAlignment w:val="auto"/>
              <w:rPr>
                <w:rFonts w:ascii="Times New Roman" w:hAnsi="Times New Roman"/>
                <w:kern w:val="0"/>
                <w:sz w:val="24"/>
              </w:rPr>
            </w:pPr>
            <w:r>
              <w:rPr>
                <w:rFonts w:hint="default" w:ascii="Times New Roman" w:hAnsi="Times New Roman" w:eastAsia="宋体" w:cs="Times New Roman"/>
                <w:bCs/>
                <w:sz w:val="24"/>
                <w:lang w:val="en-US" w:eastAsia="zh-CN"/>
              </w:rPr>
              <w:t>建筑垃圾：施工产生的废砖渣等固体废物采用铺路或垫地等填埋措施后可得到妥善处置，不会污染环境。施工建筑垃圾主要有开挖土地产生的土方、建材损耗产生的垃圾、装修产生的建筑垃圾。为减轻施工过程中建筑垃圾对周围环境的影响，施工方应将建筑垃圾收集后堆放于指定地点，能进行回收利用的尽量回收利用，并及时运至专门的建筑垃圾堆放场。</w:t>
            </w:r>
          </w:p>
          <w:p w14:paraId="1B51635C">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520" w:lineRule="exact"/>
              <w:ind w:left="0" w:right="0" w:firstLine="480" w:firstLineChars="200"/>
              <w:textAlignment w:val="auto"/>
              <w:rPr>
                <w:rFonts w:hint="default" w:ascii="Times New Roman" w:hAnsi="Times New Roman"/>
                <w:bCs/>
                <w:color w:val="000000"/>
                <w:sz w:val="24"/>
                <w:szCs w:val="24"/>
              </w:rPr>
            </w:pPr>
            <w:r>
              <w:rPr>
                <w:rFonts w:hint="default" w:ascii="Times New Roman" w:hAnsi="Times New Roman" w:eastAsia="宋体" w:cs="Times New Roman"/>
                <w:bCs/>
                <w:sz w:val="24"/>
                <w:lang w:val="en-US" w:eastAsia="zh-CN"/>
              </w:rPr>
              <w:t>以上污染因素均伴随施工而产生，且呈间歇式排放。施工单位应加强施工管理可以避免或减缓其对周围环境和人群所产生的不利影响。建设项目完成后，上述环境影响将随之消失。</w:t>
            </w:r>
          </w:p>
        </w:tc>
      </w:tr>
      <w:tr w14:paraId="536BE0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38" w:type="dxa"/>
            <w:noWrap w:val="0"/>
            <w:tcMar>
              <w:left w:w="28" w:type="dxa"/>
              <w:right w:w="28" w:type="dxa"/>
            </w:tcMar>
            <w:vAlign w:val="center"/>
          </w:tcPr>
          <w:p w14:paraId="032A47FB">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Cs/>
                <w:color w:val="auto"/>
              </w:rPr>
            </w:pPr>
            <w:r>
              <w:rPr>
                <w:rFonts w:hint="default" w:ascii="Times New Roman" w:hAnsi="Times New Roman" w:cs="Times New Roman"/>
                <w:bCs/>
                <w:color w:val="auto"/>
              </w:rPr>
              <w:t>运营</w:t>
            </w:r>
          </w:p>
          <w:p w14:paraId="11F29841">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Cs/>
                <w:color w:val="auto"/>
              </w:rPr>
            </w:pPr>
            <w:r>
              <w:rPr>
                <w:rFonts w:hint="default" w:ascii="Times New Roman" w:hAnsi="Times New Roman" w:cs="Times New Roman"/>
                <w:bCs/>
                <w:color w:val="auto"/>
              </w:rPr>
              <w:t>期环</w:t>
            </w:r>
          </w:p>
          <w:p w14:paraId="561A9CF2">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Cs/>
                <w:color w:val="auto"/>
              </w:rPr>
            </w:pPr>
            <w:r>
              <w:rPr>
                <w:rFonts w:hint="default" w:ascii="Times New Roman" w:hAnsi="Times New Roman" w:cs="Times New Roman"/>
                <w:bCs/>
                <w:color w:val="auto"/>
              </w:rPr>
              <w:t>境影</w:t>
            </w:r>
          </w:p>
          <w:p w14:paraId="38FD877D">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Cs/>
                <w:color w:val="auto"/>
              </w:rPr>
            </w:pPr>
            <w:r>
              <w:rPr>
                <w:rFonts w:hint="default" w:ascii="Times New Roman" w:hAnsi="Times New Roman" w:cs="Times New Roman"/>
                <w:bCs/>
                <w:color w:val="auto"/>
              </w:rPr>
              <w:t>响和</w:t>
            </w:r>
          </w:p>
          <w:p w14:paraId="72F12993">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Cs/>
                <w:color w:val="auto"/>
              </w:rPr>
            </w:pPr>
            <w:r>
              <w:rPr>
                <w:rFonts w:hint="default" w:ascii="Times New Roman" w:hAnsi="Times New Roman" w:cs="Times New Roman"/>
                <w:bCs/>
                <w:color w:val="auto"/>
              </w:rPr>
              <w:t>保护</w:t>
            </w:r>
          </w:p>
          <w:p w14:paraId="60BF4887">
            <w:pPr>
              <w:keepNext w:val="0"/>
              <w:keepLines w:val="0"/>
              <w:pageBreakBefore w:val="0"/>
              <w:widowControl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rPr>
                <w:rFonts w:hint="default" w:ascii="Times New Roman" w:hAnsi="Times New Roman" w:cs="Times New Roman"/>
                <w:bCs/>
                <w:color w:val="auto"/>
                <w:kern w:val="2"/>
                <w:sz w:val="24"/>
                <w:szCs w:val="24"/>
                <w:lang w:val="en-US" w:eastAsia="zh-CN" w:bidi="ar-SA"/>
              </w:rPr>
            </w:pPr>
            <w:r>
              <w:rPr>
                <w:rFonts w:hint="default" w:ascii="Times New Roman" w:hAnsi="Times New Roman" w:cs="Times New Roman"/>
                <w:bCs/>
                <w:color w:val="auto"/>
              </w:rPr>
              <w:t>措施</w:t>
            </w:r>
          </w:p>
        </w:tc>
        <w:tc>
          <w:tcPr>
            <w:tcW w:w="8343" w:type="dxa"/>
            <w:noWrap w:val="0"/>
            <w:vAlign w:val="center"/>
          </w:tcPr>
          <w:p w14:paraId="7640A7C7">
            <w:pPr>
              <w:keepNext w:val="0"/>
              <w:keepLines w:val="0"/>
              <w:pageBreakBefore w:val="0"/>
              <w:widowControl w:val="0"/>
              <w:numPr>
                <w:ilvl w:val="0"/>
                <w:numId w:val="5"/>
              </w:numPr>
              <w:kinsoku/>
              <w:wordWrap/>
              <w:overflowPunct/>
              <w:topLinePunct w:val="0"/>
              <w:bidi w:val="0"/>
              <w:adjustRightInd w:val="0"/>
              <w:snapToGrid w:val="0"/>
              <w:spacing w:line="520" w:lineRule="atLeast"/>
              <w:ind w:left="-2" w:leftChars="0" w:right="0" w:rightChars="0" w:firstLine="482" w:firstLineChars="0"/>
              <w:textAlignment w:val="auto"/>
              <w:rPr>
                <w:rFonts w:hint="default" w:ascii="Times New Roman" w:hAnsi="Times New Roman" w:cs="Times New Roman"/>
                <w:b/>
                <w:color w:val="auto"/>
              </w:rPr>
            </w:pPr>
            <w:r>
              <w:rPr>
                <w:rFonts w:hint="default" w:ascii="Times New Roman" w:hAnsi="Times New Roman" w:cs="Times New Roman"/>
                <w:b/>
                <w:color w:val="auto"/>
              </w:rPr>
              <w:t>废水</w:t>
            </w:r>
          </w:p>
          <w:p w14:paraId="0F124185">
            <w:pPr>
              <w:keepNext w:val="0"/>
              <w:keepLines w:val="0"/>
              <w:pageBreakBefore w:val="0"/>
              <w:widowControl w:val="0"/>
              <w:kinsoku/>
              <w:wordWrap/>
              <w:overflowPunct/>
              <w:topLinePunct w:val="0"/>
              <w:autoSpaceDE w:val="0"/>
              <w:autoSpaceDN w:val="0"/>
              <w:bidi w:val="0"/>
              <w:adjustRightInd w:val="0"/>
              <w:spacing w:line="520" w:lineRule="exact"/>
              <w:ind w:firstLine="482" w:firstLineChars="200"/>
              <w:rPr>
                <w:rFonts w:hint="default" w:ascii="Times New Roman" w:hAnsi="Times New Roman" w:eastAsia="宋体" w:cs="Times New Roman"/>
                <w:b/>
                <w:bCs/>
                <w:color w:val="000000"/>
                <w:sz w:val="24"/>
                <w:lang w:val="en-US" w:eastAsia="zh-CN"/>
              </w:rPr>
            </w:pPr>
            <w:r>
              <w:rPr>
                <w:rFonts w:hint="eastAsia" w:cs="Times New Roman"/>
                <w:b/>
                <w:bCs/>
                <w:color w:val="000000"/>
                <w:sz w:val="24"/>
                <w:lang w:val="en-US" w:eastAsia="zh-CN"/>
              </w:rPr>
              <w:t>1.1废水源强分析</w:t>
            </w:r>
          </w:p>
          <w:p w14:paraId="3F300D48">
            <w:pPr>
              <w:keepNext w:val="0"/>
              <w:keepLines w:val="0"/>
              <w:pageBreakBefore w:val="0"/>
              <w:widowControl w:val="0"/>
              <w:kinsoku/>
              <w:wordWrap/>
              <w:overflowPunct/>
              <w:topLinePunct w:val="0"/>
              <w:autoSpaceDE w:val="0"/>
              <w:autoSpaceDN w:val="0"/>
              <w:bidi w:val="0"/>
              <w:adjustRightInd w:val="0"/>
              <w:spacing w:line="520" w:lineRule="exact"/>
              <w:ind w:firstLine="480" w:firstLineChars="200"/>
              <w:rPr>
                <w:rFonts w:hint="eastAsia" w:ascii="Times New Roman" w:hAnsi="Times New Roman" w:eastAsia="宋体" w:cs="Times New Roman"/>
                <w:color w:val="000000"/>
                <w:sz w:val="24"/>
              </w:rPr>
            </w:pPr>
            <w:r>
              <w:rPr>
                <w:rFonts w:hint="eastAsia" w:ascii="Times New Roman" w:hAnsi="Times New Roman" w:eastAsia="宋体" w:cs="Times New Roman"/>
                <w:color w:val="000000"/>
                <w:sz w:val="24"/>
              </w:rPr>
              <w:t>本项目</w:t>
            </w:r>
            <w:r>
              <w:rPr>
                <w:rFonts w:hint="eastAsia" w:cs="Times New Roman"/>
                <w:color w:val="000000"/>
                <w:sz w:val="24"/>
                <w:lang w:eastAsia="zh-CN"/>
              </w:rPr>
              <w:t>无生产废水产生，外排废水仅为生活污水。本项目</w:t>
            </w:r>
            <w:r>
              <w:rPr>
                <w:rFonts w:hint="eastAsia" w:ascii="Times New Roman" w:hAnsi="Times New Roman" w:eastAsia="宋体" w:cs="Times New Roman"/>
                <w:color w:val="000000"/>
                <w:sz w:val="24"/>
              </w:rPr>
              <w:t>员工</w:t>
            </w:r>
            <w:r>
              <w:rPr>
                <w:rFonts w:hint="eastAsia" w:cs="Times New Roman"/>
                <w:color w:val="000000"/>
                <w:sz w:val="24"/>
                <w:lang w:val="en-US" w:eastAsia="zh-CN"/>
              </w:rPr>
              <w:t>40</w:t>
            </w:r>
            <w:r>
              <w:rPr>
                <w:rFonts w:hint="eastAsia" w:ascii="Times New Roman" w:hAnsi="Times New Roman" w:eastAsia="宋体" w:cs="Times New Roman"/>
                <w:color w:val="000000"/>
                <w:sz w:val="24"/>
              </w:rPr>
              <w:t>人，年工作</w:t>
            </w:r>
            <w:r>
              <w:rPr>
                <w:rFonts w:hint="eastAsia" w:ascii="Times New Roman" w:hAnsi="Times New Roman" w:eastAsia="宋体" w:cs="Times New Roman"/>
                <w:color w:val="000000"/>
                <w:sz w:val="24"/>
                <w:lang w:val="en-US" w:eastAsia="zh-CN"/>
              </w:rPr>
              <w:t>2</w:t>
            </w:r>
            <w:r>
              <w:rPr>
                <w:rFonts w:hint="eastAsia" w:cs="Times New Roman"/>
                <w:color w:val="000000"/>
                <w:sz w:val="24"/>
                <w:lang w:val="en-US" w:eastAsia="zh-CN"/>
              </w:rPr>
              <w:t>60</w:t>
            </w:r>
            <w:r>
              <w:rPr>
                <w:rFonts w:hint="eastAsia" w:ascii="Times New Roman" w:hAnsi="Times New Roman" w:eastAsia="宋体" w:cs="Times New Roman"/>
                <w:color w:val="000000"/>
                <w:sz w:val="24"/>
              </w:rPr>
              <w:t>天，</w:t>
            </w:r>
            <w:r>
              <w:rPr>
                <w:rFonts w:hint="eastAsia" w:ascii="Times New Roman" w:hAnsi="Times New Roman" w:eastAsia="宋体" w:cs="Times New Roman"/>
                <w:color w:val="000000"/>
                <w:sz w:val="24"/>
                <w:lang w:val="en-US" w:eastAsia="zh-CN"/>
              </w:rPr>
              <w:t>不</w:t>
            </w:r>
            <w:r>
              <w:rPr>
                <w:rFonts w:hint="eastAsia" w:ascii="Times New Roman" w:hAnsi="Times New Roman" w:eastAsia="宋体" w:cs="Times New Roman"/>
                <w:color w:val="000000"/>
                <w:sz w:val="24"/>
              </w:rPr>
              <w:t>在厂内食宿，生活用水量按</w:t>
            </w:r>
            <w:r>
              <w:rPr>
                <w:rFonts w:hint="eastAsia" w:ascii="Times New Roman" w:hAnsi="Times New Roman" w:eastAsia="宋体" w:cs="Times New Roman"/>
                <w:color w:val="000000"/>
                <w:sz w:val="24"/>
                <w:lang w:val="en-US" w:eastAsia="zh-CN"/>
              </w:rPr>
              <w:t>3</w:t>
            </w:r>
            <w:r>
              <w:rPr>
                <w:rFonts w:hint="eastAsia" w:ascii="Times New Roman" w:hAnsi="Times New Roman" w:eastAsia="宋体" w:cs="Times New Roman"/>
                <w:color w:val="000000"/>
                <w:sz w:val="24"/>
              </w:rPr>
              <w:t>0L/人·d计，则生活用水量为</w:t>
            </w:r>
            <w:r>
              <w:rPr>
                <w:rFonts w:hint="eastAsia" w:cs="Times New Roman"/>
                <w:color w:val="000000"/>
                <w:sz w:val="24"/>
                <w:lang w:val="en-US" w:eastAsia="zh-CN"/>
              </w:rPr>
              <w:t>1.2</w:t>
            </w:r>
            <w:r>
              <w:rPr>
                <w:rFonts w:hint="eastAsia" w:ascii="Times New Roman" w:hAnsi="Times New Roman" w:eastAsia="宋体" w:cs="Times New Roman"/>
                <w:color w:val="000000"/>
                <w:sz w:val="24"/>
                <w:lang w:eastAsia="zh-CN"/>
              </w:rPr>
              <w:t>m</w:t>
            </w:r>
            <w:r>
              <w:rPr>
                <w:rFonts w:hint="eastAsia" w:ascii="Times New Roman" w:hAnsi="Times New Roman" w:eastAsia="宋体" w:cs="Times New Roman"/>
                <w:color w:val="000000"/>
                <w:sz w:val="24"/>
                <w:vertAlign w:val="superscript"/>
                <w:lang w:eastAsia="zh-CN"/>
              </w:rPr>
              <w:t>3</w:t>
            </w:r>
            <w:r>
              <w:rPr>
                <w:rFonts w:hint="eastAsia" w:ascii="Times New Roman" w:hAnsi="Times New Roman" w:eastAsia="宋体" w:cs="Times New Roman"/>
                <w:color w:val="000000"/>
                <w:sz w:val="24"/>
              </w:rPr>
              <w:t>/d（</w:t>
            </w:r>
            <w:r>
              <w:rPr>
                <w:rFonts w:hint="eastAsia" w:cs="Times New Roman"/>
                <w:color w:val="000000"/>
                <w:sz w:val="24"/>
                <w:lang w:val="en-US" w:eastAsia="zh-CN"/>
              </w:rPr>
              <w:t>312</w:t>
            </w:r>
            <w:r>
              <w:rPr>
                <w:rFonts w:hint="eastAsia" w:ascii="Times New Roman" w:hAnsi="Times New Roman" w:eastAsia="宋体" w:cs="Times New Roman"/>
                <w:color w:val="000000"/>
                <w:sz w:val="24"/>
                <w:lang w:eastAsia="zh-CN"/>
              </w:rPr>
              <w:t>m</w:t>
            </w:r>
            <w:r>
              <w:rPr>
                <w:rFonts w:hint="eastAsia" w:ascii="Times New Roman" w:hAnsi="Times New Roman" w:eastAsia="宋体" w:cs="Times New Roman"/>
                <w:color w:val="000000"/>
                <w:sz w:val="24"/>
                <w:vertAlign w:val="superscript"/>
                <w:lang w:eastAsia="zh-CN"/>
              </w:rPr>
              <w:t>3</w:t>
            </w:r>
            <w:r>
              <w:rPr>
                <w:rFonts w:hint="eastAsia" w:ascii="Times New Roman" w:hAnsi="Times New Roman" w:eastAsia="宋体" w:cs="Times New Roman"/>
                <w:color w:val="000000"/>
                <w:sz w:val="24"/>
              </w:rPr>
              <w:t>/a），排放系数以0.8计，则生活污水排放量为</w:t>
            </w:r>
            <w:r>
              <w:rPr>
                <w:rFonts w:hint="eastAsia" w:cs="Times New Roman"/>
                <w:color w:val="000000"/>
                <w:sz w:val="24"/>
                <w:lang w:val="en-US" w:eastAsia="zh-CN"/>
              </w:rPr>
              <w:t>0.96</w:t>
            </w:r>
            <w:r>
              <w:rPr>
                <w:rFonts w:hint="eastAsia" w:ascii="Times New Roman" w:hAnsi="Times New Roman" w:eastAsia="宋体" w:cs="Times New Roman"/>
                <w:color w:val="000000"/>
                <w:sz w:val="24"/>
                <w:lang w:eastAsia="zh-CN"/>
              </w:rPr>
              <w:t>m</w:t>
            </w:r>
            <w:r>
              <w:rPr>
                <w:rFonts w:hint="eastAsia" w:ascii="Times New Roman" w:hAnsi="Times New Roman" w:eastAsia="宋体" w:cs="Times New Roman"/>
                <w:color w:val="000000"/>
                <w:sz w:val="24"/>
                <w:vertAlign w:val="superscript"/>
                <w:lang w:eastAsia="zh-CN"/>
              </w:rPr>
              <w:t>3</w:t>
            </w:r>
            <w:r>
              <w:rPr>
                <w:rFonts w:hint="eastAsia" w:ascii="Times New Roman" w:hAnsi="Times New Roman" w:eastAsia="宋体" w:cs="Times New Roman"/>
                <w:color w:val="000000"/>
                <w:sz w:val="24"/>
              </w:rPr>
              <w:t>/d（</w:t>
            </w:r>
            <w:r>
              <w:rPr>
                <w:rFonts w:hint="eastAsia" w:cs="Times New Roman"/>
                <w:color w:val="000000"/>
                <w:sz w:val="24"/>
                <w:lang w:val="en-US" w:eastAsia="zh-CN"/>
              </w:rPr>
              <w:t>249.6</w:t>
            </w:r>
            <w:r>
              <w:rPr>
                <w:rFonts w:hint="eastAsia" w:ascii="Times New Roman" w:hAnsi="Times New Roman" w:eastAsia="宋体" w:cs="Times New Roman"/>
                <w:color w:val="000000"/>
                <w:sz w:val="24"/>
                <w:lang w:eastAsia="zh-CN"/>
              </w:rPr>
              <w:t>m</w:t>
            </w:r>
            <w:r>
              <w:rPr>
                <w:rFonts w:hint="eastAsia" w:ascii="Times New Roman" w:hAnsi="Times New Roman" w:eastAsia="宋体" w:cs="Times New Roman"/>
                <w:color w:val="000000"/>
                <w:sz w:val="24"/>
                <w:vertAlign w:val="superscript"/>
                <w:lang w:eastAsia="zh-CN"/>
              </w:rPr>
              <w:t>3</w:t>
            </w:r>
            <w:r>
              <w:rPr>
                <w:rFonts w:hint="eastAsia" w:ascii="Times New Roman" w:hAnsi="Times New Roman" w:eastAsia="宋体" w:cs="Times New Roman"/>
                <w:color w:val="000000"/>
                <w:sz w:val="24"/>
              </w:rPr>
              <w:t>/a）。类比确定生活污水水质为：</w:t>
            </w:r>
            <w:r>
              <w:rPr>
                <w:rFonts w:hint="eastAsia"/>
                <w:bCs/>
                <w:color w:val="000000"/>
                <w:sz w:val="24"/>
              </w:rPr>
              <w:t>COD 350mg/L、</w:t>
            </w:r>
            <w:r>
              <w:rPr>
                <w:rFonts w:hint="eastAsia"/>
                <w:bCs/>
                <w:color w:val="000000"/>
                <w:sz w:val="24"/>
                <w:lang w:val="en-US" w:eastAsia="zh-CN"/>
              </w:rPr>
              <w:t>B</w:t>
            </w:r>
            <w:r>
              <w:rPr>
                <w:rFonts w:hint="eastAsia"/>
                <w:bCs/>
                <w:color w:val="000000"/>
                <w:sz w:val="24"/>
              </w:rPr>
              <w:t>OD</w:t>
            </w:r>
            <w:r>
              <w:rPr>
                <w:rFonts w:hint="eastAsia"/>
                <w:bCs/>
                <w:color w:val="000000"/>
                <w:sz w:val="24"/>
                <w:vertAlign w:val="subscript"/>
                <w:lang w:val="en-US" w:eastAsia="zh-CN"/>
              </w:rPr>
              <w:t>5</w:t>
            </w:r>
            <w:r>
              <w:rPr>
                <w:rFonts w:hint="eastAsia"/>
                <w:bCs/>
                <w:color w:val="000000"/>
                <w:sz w:val="24"/>
              </w:rPr>
              <w:t xml:space="preserve"> </w:t>
            </w:r>
            <w:r>
              <w:rPr>
                <w:rFonts w:hint="eastAsia"/>
                <w:bCs/>
                <w:color w:val="000000"/>
                <w:sz w:val="24"/>
                <w:lang w:val="en-US" w:eastAsia="zh-CN"/>
              </w:rPr>
              <w:t>28</w:t>
            </w:r>
            <w:r>
              <w:rPr>
                <w:rFonts w:hint="eastAsia"/>
                <w:bCs/>
                <w:color w:val="000000"/>
                <w:sz w:val="24"/>
              </w:rPr>
              <w:t>0mg/L、SS 250mg/L、NH</w:t>
            </w:r>
            <w:r>
              <w:rPr>
                <w:rFonts w:hint="eastAsia"/>
                <w:bCs/>
                <w:color w:val="000000"/>
                <w:sz w:val="24"/>
                <w:vertAlign w:val="subscript"/>
              </w:rPr>
              <w:t>3</w:t>
            </w:r>
            <w:r>
              <w:rPr>
                <w:rFonts w:hint="eastAsia"/>
                <w:bCs/>
                <w:color w:val="000000"/>
                <w:sz w:val="24"/>
              </w:rPr>
              <w:t xml:space="preserve">-N 25mg/L、TP </w:t>
            </w:r>
            <w:r>
              <w:rPr>
                <w:rFonts w:hint="eastAsia"/>
                <w:bCs/>
                <w:color w:val="000000"/>
                <w:sz w:val="24"/>
                <w:lang w:val="en-US" w:eastAsia="zh-CN"/>
              </w:rPr>
              <w:t>2</w:t>
            </w:r>
            <w:r>
              <w:rPr>
                <w:rFonts w:hint="eastAsia"/>
                <w:bCs/>
                <w:color w:val="000000"/>
                <w:sz w:val="24"/>
              </w:rPr>
              <w:t>mg/L、TN 30mg/L，经化粪池处理后的水质：COD 250mg/L、</w:t>
            </w:r>
            <w:r>
              <w:rPr>
                <w:rFonts w:hint="eastAsia"/>
                <w:bCs/>
                <w:color w:val="000000"/>
                <w:sz w:val="24"/>
                <w:lang w:val="en-US" w:eastAsia="zh-CN"/>
              </w:rPr>
              <w:t>B</w:t>
            </w:r>
            <w:r>
              <w:rPr>
                <w:rFonts w:hint="eastAsia"/>
                <w:bCs/>
                <w:color w:val="000000"/>
                <w:sz w:val="24"/>
              </w:rPr>
              <w:t>OD</w:t>
            </w:r>
            <w:r>
              <w:rPr>
                <w:rFonts w:hint="eastAsia"/>
                <w:bCs/>
                <w:color w:val="000000"/>
                <w:sz w:val="24"/>
                <w:vertAlign w:val="subscript"/>
                <w:lang w:val="en-US" w:eastAsia="zh-CN"/>
              </w:rPr>
              <w:t>5</w:t>
            </w:r>
            <w:r>
              <w:rPr>
                <w:rFonts w:hint="eastAsia"/>
                <w:bCs/>
                <w:color w:val="000000"/>
                <w:sz w:val="24"/>
              </w:rPr>
              <w:t xml:space="preserve"> </w:t>
            </w:r>
            <w:r>
              <w:rPr>
                <w:rFonts w:hint="eastAsia"/>
                <w:bCs/>
                <w:color w:val="000000"/>
                <w:sz w:val="24"/>
                <w:lang w:val="en-US" w:eastAsia="zh-CN"/>
              </w:rPr>
              <w:t>11</w:t>
            </w:r>
            <w:r>
              <w:rPr>
                <w:rFonts w:hint="eastAsia"/>
                <w:bCs/>
                <w:color w:val="000000"/>
                <w:sz w:val="24"/>
              </w:rPr>
              <w:t>0mg/L、SS 1</w:t>
            </w:r>
            <w:r>
              <w:rPr>
                <w:rFonts w:hint="eastAsia"/>
                <w:bCs/>
                <w:color w:val="000000"/>
                <w:sz w:val="24"/>
                <w:lang w:val="en-US" w:eastAsia="zh-CN"/>
              </w:rPr>
              <w:t>5</w:t>
            </w:r>
            <w:r>
              <w:rPr>
                <w:rFonts w:hint="eastAsia"/>
                <w:bCs/>
                <w:color w:val="000000"/>
                <w:sz w:val="24"/>
              </w:rPr>
              <w:t>0mg/L、NH</w:t>
            </w:r>
            <w:r>
              <w:rPr>
                <w:rFonts w:hint="eastAsia"/>
                <w:bCs/>
                <w:color w:val="000000"/>
                <w:sz w:val="24"/>
                <w:vertAlign w:val="subscript"/>
              </w:rPr>
              <w:t>3</w:t>
            </w:r>
            <w:r>
              <w:rPr>
                <w:rFonts w:hint="eastAsia"/>
                <w:bCs/>
                <w:color w:val="000000"/>
                <w:sz w:val="24"/>
              </w:rPr>
              <w:t>-N 25mg/L、TP</w:t>
            </w:r>
            <w:r>
              <w:rPr>
                <w:bCs/>
                <w:color w:val="000000"/>
                <w:sz w:val="24"/>
              </w:rPr>
              <w:t xml:space="preserve"> </w:t>
            </w:r>
            <w:r>
              <w:rPr>
                <w:rFonts w:hint="eastAsia"/>
                <w:bCs/>
                <w:color w:val="000000"/>
                <w:sz w:val="24"/>
                <w:lang w:val="en-US" w:eastAsia="zh-CN"/>
              </w:rPr>
              <w:t>2</w:t>
            </w:r>
            <w:r>
              <w:rPr>
                <w:rFonts w:hint="eastAsia"/>
                <w:bCs/>
                <w:color w:val="000000"/>
                <w:sz w:val="24"/>
              </w:rPr>
              <w:t>mg/L、TN 30mg/L。</w:t>
            </w:r>
          </w:p>
          <w:p w14:paraId="0AEFEADC">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jc w:val="left"/>
              <w:textAlignment w:val="auto"/>
              <w:outlineLvl w:val="9"/>
              <w:rPr>
                <w:rFonts w:hint="default" w:ascii="Times New Roman" w:hAnsi="Times New Roman" w:eastAsia="宋体" w:cs="Times New Roman"/>
                <w:b/>
                <w:bCs w:val="0"/>
                <w:lang w:eastAsia="zh-CN"/>
              </w:rPr>
            </w:pPr>
            <w:r>
              <w:rPr>
                <w:rFonts w:hint="default" w:ascii="Times New Roman" w:hAnsi="Times New Roman" w:cs="Times New Roman"/>
                <w:b/>
                <w:bCs w:val="0"/>
                <w:lang w:val="en-US" w:eastAsia="zh-CN"/>
              </w:rPr>
              <w:t>2.</w:t>
            </w:r>
            <w:r>
              <w:rPr>
                <w:rFonts w:hint="eastAsia" w:ascii="Times New Roman" w:hAnsi="Times New Roman" w:cs="Times New Roman"/>
                <w:b/>
                <w:bCs w:val="0"/>
                <w:lang w:val="en-US" w:eastAsia="zh-CN"/>
              </w:rPr>
              <w:t>2</w:t>
            </w:r>
            <w:r>
              <w:rPr>
                <w:rFonts w:hint="default" w:ascii="Times New Roman" w:hAnsi="Times New Roman" w:cs="Times New Roman"/>
                <w:b/>
                <w:bCs w:val="0"/>
                <w:lang w:eastAsia="zh-CN"/>
              </w:rPr>
              <w:t>排水可行性分析</w:t>
            </w:r>
          </w:p>
          <w:p w14:paraId="10DD725A">
            <w:pPr>
              <w:keepNext w:val="0"/>
              <w:keepLines w:val="0"/>
              <w:pageBreakBefore w:val="0"/>
              <w:widowControl w:val="0"/>
              <w:kinsoku/>
              <w:wordWrap/>
              <w:overflowPunct/>
              <w:topLinePunct w:val="0"/>
              <w:bidi w:val="0"/>
              <w:adjustRightInd w:val="0"/>
              <w:snapToGrid w:val="0"/>
              <w:spacing w:line="520" w:lineRule="exact"/>
              <w:ind w:firstLine="480" w:firstLineChars="200"/>
              <w:textAlignment w:val="auto"/>
              <w:rPr>
                <w:sz w:val="24"/>
              </w:rPr>
            </w:pPr>
            <w:r>
              <w:rPr>
                <w:rFonts w:hint="eastAsia" w:ascii="Times New Roman" w:hAnsi="Times New Roman" w:cs="Times New Roman"/>
                <w:sz w:val="24"/>
                <w:lang w:eastAsia="zh-CN"/>
              </w:rPr>
              <w:t>新乡县综合污水处理厂</w:t>
            </w:r>
            <w:r>
              <w:rPr>
                <w:rFonts w:hint="default" w:ascii="Times New Roman" w:hAnsi="Times New Roman" w:cs="Times New Roman"/>
                <w:sz w:val="24"/>
              </w:rPr>
              <w:t>位于</w:t>
            </w:r>
            <w:r>
              <w:rPr>
                <w:rFonts w:ascii="Times New Roman" w:hAnsi="Times New Roman" w:cs="Times New Roman"/>
                <w:sz w:val="24"/>
              </w:rPr>
              <w:t>河南省新乡市新乡县朗公庙镇片区</w:t>
            </w:r>
            <w:r>
              <w:rPr>
                <w:rFonts w:hint="default" w:ascii="Times New Roman" w:hAnsi="Times New Roman" w:cs="Times New Roman"/>
                <w:sz w:val="24"/>
              </w:rPr>
              <w:t>（</w:t>
            </w:r>
            <w:r>
              <w:rPr>
                <w:rFonts w:ascii="Times New Roman" w:hAnsi="Times New Roman" w:cs="Times New Roman"/>
                <w:sz w:val="24"/>
              </w:rPr>
              <w:t>新乡县胜利路以东、青龙路以北、文化路以西、东孟姜女河以南</w:t>
            </w:r>
            <w:r>
              <w:rPr>
                <w:rFonts w:hint="default" w:ascii="Times New Roman" w:hAnsi="Times New Roman" w:cs="Times New Roman"/>
                <w:sz w:val="24"/>
              </w:rPr>
              <w:t>），设计处理规模为</w:t>
            </w:r>
            <w:r>
              <w:rPr>
                <w:rFonts w:hint="eastAsia" w:ascii="Times New Roman" w:hAnsi="Times New Roman" w:cs="Times New Roman"/>
                <w:sz w:val="24"/>
                <w:lang w:val="en-US" w:eastAsia="zh-CN"/>
              </w:rPr>
              <w:t>15</w:t>
            </w:r>
            <w:r>
              <w:rPr>
                <w:rFonts w:hint="default" w:ascii="Times New Roman" w:hAnsi="Times New Roman" w:cs="Times New Roman"/>
                <w:sz w:val="24"/>
              </w:rPr>
              <w:t>万m</w:t>
            </w:r>
            <w:r>
              <w:rPr>
                <w:rFonts w:hint="default" w:ascii="Times New Roman" w:hAnsi="Times New Roman" w:cs="Times New Roman"/>
                <w:sz w:val="24"/>
                <w:vertAlign w:val="superscript"/>
                <w:lang w:val="en-US" w:eastAsia="zh-CN"/>
              </w:rPr>
              <w:t>3</w:t>
            </w:r>
            <w:r>
              <w:rPr>
                <w:rFonts w:hint="default" w:ascii="Times New Roman" w:hAnsi="Times New Roman" w:cs="Times New Roman"/>
                <w:sz w:val="24"/>
              </w:rPr>
              <w:t>/d。本</w:t>
            </w:r>
            <w:r>
              <w:rPr>
                <w:rFonts w:hint="eastAsia" w:ascii="Times New Roman" w:hAnsi="Times New Roman" w:cs="Times New Roman"/>
                <w:sz w:val="24"/>
              </w:rPr>
              <w:t>项目位于</w:t>
            </w:r>
            <w:r>
              <w:rPr>
                <w:rFonts w:hint="eastAsia" w:ascii="Times New Roman" w:hAnsi="Times New Roman" w:cs="Times New Roman"/>
                <w:sz w:val="24"/>
                <w:lang w:val="en-US" w:eastAsia="zh-CN"/>
              </w:rPr>
              <w:t>新乡市新乡县翟坡镇东大阳堤村村西中央大道东侧</w:t>
            </w:r>
            <w:r>
              <w:rPr>
                <w:rFonts w:hint="eastAsia" w:ascii="Times New Roman" w:hAnsi="Times New Roman" w:cs="Times New Roman"/>
                <w:sz w:val="24"/>
              </w:rPr>
              <w:t>，属于</w:t>
            </w:r>
            <w:r>
              <w:rPr>
                <w:rFonts w:hint="eastAsia" w:ascii="Times New Roman" w:hAnsi="Times New Roman" w:cs="Times New Roman"/>
                <w:sz w:val="24"/>
                <w:lang w:eastAsia="zh-CN"/>
              </w:rPr>
              <w:t>新乡县综合污水处理厂</w:t>
            </w:r>
            <w:r>
              <w:rPr>
                <w:rFonts w:hint="eastAsia" w:ascii="Times New Roman" w:hAnsi="Times New Roman" w:cs="Times New Roman"/>
                <w:sz w:val="24"/>
              </w:rPr>
              <w:t>的收水范围。</w:t>
            </w:r>
            <w:r>
              <w:rPr>
                <w:rFonts w:hint="eastAsia" w:ascii="Times New Roman" w:hAnsi="Times New Roman" w:cs="Times New Roman"/>
                <w:sz w:val="24"/>
                <w:lang w:eastAsia="zh-CN"/>
              </w:rPr>
              <w:t>新乡县综合污水处理厂</w:t>
            </w:r>
            <w:r>
              <w:rPr>
                <w:rFonts w:hint="eastAsia" w:ascii="Times New Roman" w:hAnsi="Times New Roman" w:cs="Times New Roman"/>
                <w:sz w:val="24"/>
              </w:rPr>
              <w:t>采用</w:t>
            </w:r>
            <w:r>
              <w:rPr>
                <w:rFonts w:hint="eastAsia" w:cs="Times New Roman"/>
                <w:sz w:val="24"/>
                <w:lang w:eastAsia="zh-CN"/>
              </w:rPr>
              <w:t>“</w:t>
            </w:r>
            <w:r>
              <w:rPr>
                <w:rFonts w:ascii="Times New Roman" w:hAnsi="Times New Roman" w:cs="Times New Roman"/>
                <w:sz w:val="24"/>
              </w:rPr>
              <w:t>格栅+</w:t>
            </w:r>
            <w:r>
              <w:rPr>
                <w:rFonts w:hint="eastAsia" w:cs="Times New Roman"/>
                <w:sz w:val="24"/>
                <w:lang w:eastAsia="zh-CN"/>
              </w:rPr>
              <w:t>水解酸化</w:t>
            </w:r>
            <w:r>
              <w:rPr>
                <w:rFonts w:ascii="Times New Roman" w:hAnsi="Times New Roman" w:cs="Times New Roman"/>
                <w:sz w:val="24"/>
              </w:rPr>
              <w:t>+两级AO+沉淀+</w:t>
            </w:r>
            <w:r>
              <w:rPr>
                <w:rFonts w:hint="eastAsia" w:cs="Times New Roman"/>
                <w:sz w:val="24"/>
                <w:lang w:eastAsia="zh-CN"/>
              </w:rPr>
              <w:t>过滤</w:t>
            </w:r>
            <w:r>
              <w:rPr>
                <w:rFonts w:ascii="Times New Roman" w:hAnsi="Times New Roman" w:cs="Times New Roman"/>
                <w:sz w:val="24"/>
              </w:rPr>
              <w:t>+臭氧接触+活性炭过滤</w:t>
            </w:r>
            <w:r>
              <w:rPr>
                <w:rFonts w:hint="eastAsia" w:cs="Times New Roman"/>
                <w:sz w:val="24"/>
                <w:lang w:eastAsia="zh-CN"/>
              </w:rPr>
              <w:t>”</w:t>
            </w:r>
            <w:r>
              <w:rPr>
                <w:rFonts w:hint="default" w:ascii="Times New Roman" w:hAnsi="Times New Roman" w:cs="Times New Roman"/>
                <w:sz w:val="24"/>
              </w:rPr>
              <w:t>处理工艺</w:t>
            </w:r>
            <w:r>
              <w:rPr>
                <w:rFonts w:hint="eastAsia" w:ascii="Times New Roman" w:hAnsi="Times New Roman" w:cs="Times New Roman"/>
                <w:sz w:val="24"/>
              </w:rPr>
              <w:t>，设计收水水质为：</w:t>
            </w:r>
            <w:r>
              <w:rPr>
                <w:rFonts w:ascii="Times New Roman" w:hAnsi="Times New Roman" w:cs="Times New Roman"/>
                <w:sz w:val="24"/>
              </w:rPr>
              <w:t xml:space="preserve">COD </w:t>
            </w:r>
            <w:r>
              <w:rPr>
                <w:rFonts w:hint="eastAsia" w:ascii="Times New Roman" w:hAnsi="Times New Roman" w:cs="Times New Roman"/>
                <w:sz w:val="24"/>
              </w:rPr>
              <w:t>4</w:t>
            </w:r>
            <w:r>
              <w:rPr>
                <w:rFonts w:hint="eastAsia" w:ascii="Times New Roman" w:hAnsi="Times New Roman" w:cs="Times New Roman"/>
                <w:sz w:val="24"/>
                <w:lang w:val="en-US" w:eastAsia="zh-CN"/>
              </w:rPr>
              <w:t>00</w:t>
            </w:r>
            <w:r>
              <w:rPr>
                <w:rFonts w:ascii="Times New Roman" w:hAnsi="Times New Roman" w:cs="Times New Roman"/>
                <w:sz w:val="24"/>
              </w:rPr>
              <w:t>mg/L</w:t>
            </w:r>
            <w:r>
              <w:rPr>
                <w:rFonts w:hint="eastAsia" w:ascii="Times New Roman" w:hAnsi="Times New Roman" w:cs="Times New Roman"/>
                <w:sz w:val="24"/>
              </w:rPr>
              <w:t>、B</w:t>
            </w:r>
            <w:r>
              <w:rPr>
                <w:rFonts w:ascii="Times New Roman" w:hAnsi="Times New Roman" w:cs="Times New Roman"/>
                <w:sz w:val="24"/>
              </w:rPr>
              <w:t>OD</w:t>
            </w:r>
            <w:r>
              <w:rPr>
                <w:rFonts w:hint="eastAsia" w:ascii="Times New Roman" w:hAnsi="Times New Roman" w:cs="Times New Roman"/>
                <w:sz w:val="24"/>
                <w:vertAlign w:val="subscript"/>
              </w:rPr>
              <w:t>5</w:t>
            </w:r>
            <w:r>
              <w:rPr>
                <w:rFonts w:ascii="Times New Roman" w:hAnsi="Times New Roman" w:cs="Times New Roman"/>
                <w:sz w:val="24"/>
              </w:rPr>
              <w:t xml:space="preserve"> </w:t>
            </w:r>
            <w:r>
              <w:rPr>
                <w:rFonts w:hint="eastAsia" w:ascii="Times New Roman" w:hAnsi="Times New Roman" w:cs="Times New Roman"/>
                <w:sz w:val="24"/>
              </w:rPr>
              <w:t>1</w:t>
            </w:r>
            <w:r>
              <w:rPr>
                <w:rFonts w:hint="eastAsia" w:ascii="Times New Roman" w:hAnsi="Times New Roman" w:cs="Times New Roman"/>
                <w:sz w:val="24"/>
                <w:lang w:val="en-US" w:eastAsia="zh-CN"/>
              </w:rPr>
              <w:t>2</w:t>
            </w:r>
            <w:r>
              <w:rPr>
                <w:rFonts w:hint="eastAsia" w:ascii="Times New Roman" w:hAnsi="Times New Roman" w:cs="Times New Roman"/>
                <w:sz w:val="24"/>
              </w:rPr>
              <w:t>0mg/L、</w:t>
            </w:r>
            <w:r>
              <w:rPr>
                <w:rFonts w:ascii="Times New Roman" w:hAnsi="Times New Roman" w:cs="Times New Roman"/>
                <w:sz w:val="24"/>
              </w:rPr>
              <w:t xml:space="preserve">SS </w:t>
            </w:r>
            <w:r>
              <w:rPr>
                <w:rFonts w:hint="eastAsia" w:ascii="Times New Roman" w:hAnsi="Times New Roman" w:cs="Times New Roman"/>
                <w:sz w:val="24"/>
                <w:lang w:val="en-US" w:eastAsia="zh-CN"/>
              </w:rPr>
              <w:t>180</w:t>
            </w:r>
            <w:r>
              <w:rPr>
                <w:rFonts w:ascii="Times New Roman" w:hAnsi="Times New Roman" w:cs="Times New Roman"/>
                <w:sz w:val="24"/>
              </w:rPr>
              <w:t>mg/L、NH</w:t>
            </w:r>
            <w:r>
              <w:rPr>
                <w:rFonts w:ascii="Times New Roman" w:hAnsi="Times New Roman" w:cs="Times New Roman"/>
                <w:sz w:val="24"/>
                <w:vertAlign w:val="subscript"/>
              </w:rPr>
              <w:t>3</w:t>
            </w:r>
            <w:r>
              <w:rPr>
                <w:rFonts w:ascii="Times New Roman" w:hAnsi="Times New Roman" w:cs="Times New Roman"/>
                <w:sz w:val="24"/>
              </w:rPr>
              <w:t xml:space="preserve">-N </w:t>
            </w:r>
            <w:r>
              <w:rPr>
                <w:rFonts w:hint="eastAsia" w:ascii="Times New Roman" w:hAnsi="Times New Roman" w:cs="Times New Roman"/>
                <w:sz w:val="24"/>
                <w:lang w:val="en-US" w:eastAsia="zh-CN"/>
              </w:rPr>
              <w:t>59</w:t>
            </w:r>
            <w:r>
              <w:rPr>
                <w:rFonts w:ascii="Times New Roman" w:hAnsi="Times New Roman" w:cs="Times New Roman"/>
                <w:sz w:val="24"/>
              </w:rPr>
              <w:t xml:space="preserve">mg/L、TP </w:t>
            </w:r>
            <w:r>
              <w:rPr>
                <w:rFonts w:hint="eastAsia" w:ascii="Times New Roman" w:hAnsi="Times New Roman" w:cs="Times New Roman"/>
                <w:sz w:val="24"/>
                <w:lang w:val="en-US" w:eastAsia="zh-CN"/>
              </w:rPr>
              <w:t>4</w:t>
            </w:r>
            <w:r>
              <w:rPr>
                <w:rFonts w:ascii="Times New Roman" w:hAnsi="Times New Roman" w:cs="Times New Roman"/>
                <w:sz w:val="24"/>
              </w:rPr>
              <w:t xml:space="preserve">mg/L、TN </w:t>
            </w:r>
            <w:r>
              <w:rPr>
                <w:rFonts w:hint="eastAsia" w:ascii="Times New Roman" w:hAnsi="Times New Roman" w:cs="Times New Roman"/>
                <w:sz w:val="24"/>
                <w:lang w:val="en-US" w:eastAsia="zh-CN"/>
              </w:rPr>
              <w:t>70</w:t>
            </w:r>
            <w:r>
              <w:rPr>
                <w:rFonts w:ascii="Times New Roman" w:hAnsi="Times New Roman" w:cs="Times New Roman"/>
                <w:sz w:val="24"/>
              </w:rPr>
              <w:t>mg/L</w:t>
            </w:r>
            <w:r>
              <w:rPr>
                <w:rFonts w:hint="eastAsia" w:ascii="Times New Roman" w:hAnsi="Times New Roman" w:cs="Times New Roman"/>
                <w:sz w:val="24"/>
              </w:rPr>
              <w:t>，</w:t>
            </w:r>
            <w:r>
              <w:rPr>
                <w:rFonts w:ascii="Times New Roman" w:hAnsi="Times New Roman" w:cs="Times New Roman"/>
                <w:sz w:val="24"/>
              </w:rPr>
              <w:t>出水</w:t>
            </w:r>
            <w:r>
              <w:rPr>
                <w:rFonts w:hint="eastAsia" w:ascii="Times New Roman" w:hAnsi="Times New Roman" w:cs="Times New Roman"/>
                <w:sz w:val="24"/>
              </w:rPr>
              <w:t>水质为：</w:t>
            </w:r>
            <w:r>
              <w:rPr>
                <w:rFonts w:ascii="Times New Roman" w:hAnsi="Times New Roman" w:cs="Times New Roman"/>
                <w:sz w:val="24"/>
              </w:rPr>
              <w:t xml:space="preserve">COD </w:t>
            </w:r>
            <w:r>
              <w:rPr>
                <w:rFonts w:hint="eastAsia" w:ascii="Times New Roman" w:hAnsi="Times New Roman" w:cs="Times New Roman"/>
                <w:sz w:val="24"/>
              </w:rPr>
              <w:t>40</w:t>
            </w:r>
            <w:r>
              <w:rPr>
                <w:rFonts w:ascii="Times New Roman" w:hAnsi="Times New Roman" w:cs="Times New Roman"/>
                <w:sz w:val="24"/>
              </w:rPr>
              <w:t>mg/L</w:t>
            </w:r>
            <w:r>
              <w:rPr>
                <w:rFonts w:hint="eastAsia" w:ascii="Times New Roman" w:hAnsi="Times New Roman" w:cs="Times New Roman"/>
                <w:sz w:val="24"/>
              </w:rPr>
              <w:t>、B</w:t>
            </w:r>
            <w:r>
              <w:rPr>
                <w:rFonts w:ascii="Times New Roman" w:hAnsi="Times New Roman" w:cs="Times New Roman"/>
                <w:sz w:val="24"/>
              </w:rPr>
              <w:t>OD</w:t>
            </w:r>
            <w:r>
              <w:rPr>
                <w:rFonts w:hint="eastAsia" w:ascii="Times New Roman" w:hAnsi="Times New Roman" w:cs="Times New Roman"/>
                <w:sz w:val="24"/>
                <w:vertAlign w:val="subscript"/>
              </w:rPr>
              <w:t>5</w:t>
            </w:r>
            <w:r>
              <w:rPr>
                <w:rFonts w:ascii="Times New Roman" w:hAnsi="Times New Roman" w:cs="Times New Roman"/>
                <w:sz w:val="24"/>
              </w:rPr>
              <w:t xml:space="preserve"> </w:t>
            </w:r>
            <w:r>
              <w:rPr>
                <w:rFonts w:hint="eastAsia" w:ascii="Times New Roman" w:hAnsi="Times New Roman" w:cs="Times New Roman"/>
                <w:sz w:val="24"/>
              </w:rPr>
              <w:t>10mg/L、</w:t>
            </w:r>
            <w:r>
              <w:rPr>
                <w:rFonts w:ascii="Times New Roman" w:hAnsi="Times New Roman" w:cs="Times New Roman"/>
                <w:sz w:val="24"/>
              </w:rPr>
              <w:t xml:space="preserve">SS </w:t>
            </w:r>
            <w:r>
              <w:rPr>
                <w:rFonts w:hint="eastAsia" w:ascii="Times New Roman" w:hAnsi="Times New Roman" w:cs="Times New Roman"/>
                <w:sz w:val="24"/>
              </w:rPr>
              <w:t>10</w:t>
            </w:r>
            <w:r>
              <w:rPr>
                <w:rFonts w:ascii="Times New Roman" w:hAnsi="Times New Roman" w:cs="Times New Roman"/>
                <w:sz w:val="24"/>
              </w:rPr>
              <w:t>mg/L、NH</w:t>
            </w:r>
            <w:r>
              <w:rPr>
                <w:rFonts w:ascii="Times New Roman" w:hAnsi="Times New Roman" w:cs="Times New Roman"/>
                <w:sz w:val="24"/>
                <w:vertAlign w:val="subscript"/>
              </w:rPr>
              <w:t>3</w:t>
            </w:r>
            <w:r>
              <w:rPr>
                <w:rFonts w:ascii="Times New Roman" w:hAnsi="Times New Roman" w:cs="Times New Roman"/>
                <w:sz w:val="24"/>
              </w:rPr>
              <w:t xml:space="preserve">-N </w:t>
            </w:r>
            <w:r>
              <w:rPr>
                <w:rFonts w:hint="eastAsia" w:ascii="Times New Roman" w:hAnsi="Times New Roman" w:cs="Times New Roman"/>
                <w:sz w:val="24"/>
              </w:rPr>
              <w:t>2</w:t>
            </w:r>
            <w:r>
              <w:rPr>
                <w:rFonts w:ascii="Times New Roman" w:hAnsi="Times New Roman" w:cs="Times New Roman"/>
                <w:sz w:val="24"/>
              </w:rPr>
              <w:t xml:space="preserve">mg/L、TP </w:t>
            </w:r>
            <w:r>
              <w:rPr>
                <w:rFonts w:hint="eastAsia" w:ascii="Times New Roman" w:hAnsi="Times New Roman" w:cs="Times New Roman"/>
                <w:sz w:val="24"/>
              </w:rPr>
              <w:t>0.4</w:t>
            </w:r>
            <w:r>
              <w:rPr>
                <w:rFonts w:ascii="Times New Roman" w:hAnsi="Times New Roman" w:cs="Times New Roman"/>
                <w:sz w:val="24"/>
              </w:rPr>
              <w:t xml:space="preserve">mg/L、TN </w:t>
            </w:r>
            <w:r>
              <w:rPr>
                <w:rFonts w:hint="eastAsia" w:ascii="Times New Roman" w:hAnsi="Times New Roman" w:cs="Times New Roman"/>
                <w:sz w:val="24"/>
              </w:rPr>
              <w:t>15</w:t>
            </w:r>
            <w:r>
              <w:rPr>
                <w:rFonts w:ascii="Times New Roman" w:hAnsi="Times New Roman" w:cs="Times New Roman"/>
                <w:sz w:val="24"/>
              </w:rPr>
              <w:t>mg/L</w:t>
            </w:r>
            <w:r>
              <w:rPr>
                <w:rFonts w:hint="eastAsia" w:ascii="Times New Roman" w:hAnsi="Times New Roman" w:cs="Times New Roman"/>
                <w:sz w:val="24"/>
              </w:rPr>
              <w:t>。</w:t>
            </w:r>
            <w:r>
              <w:rPr>
                <w:rFonts w:ascii="Times New Roman" w:hAnsi="Times New Roman" w:cs="Times New Roman"/>
                <w:sz w:val="24"/>
              </w:rPr>
              <w:t>COD、</w:t>
            </w:r>
            <w:r>
              <w:rPr>
                <w:rFonts w:hint="eastAsia" w:ascii="Times New Roman" w:hAnsi="Times New Roman" w:cs="Times New Roman"/>
                <w:sz w:val="24"/>
              </w:rPr>
              <w:t>B</w:t>
            </w:r>
            <w:r>
              <w:rPr>
                <w:rFonts w:ascii="Times New Roman" w:hAnsi="Times New Roman" w:cs="Times New Roman"/>
                <w:sz w:val="24"/>
              </w:rPr>
              <w:t>OD</w:t>
            </w:r>
            <w:r>
              <w:rPr>
                <w:rFonts w:hint="eastAsia" w:ascii="Times New Roman" w:hAnsi="Times New Roman" w:cs="Times New Roman"/>
                <w:sz w:val="24"/>
                <w:vertAlign w:val="subscript"/>
              </w:rPr>
              <w:t>5</w:t>
            </w:r>
            <w:r>
              <w:rPr>
                <w:rFonts w:hint="eastAsia" w:ascii="Times New Roman" w:hAnsi="Times New Roman" w:cs="Times New Roman"/>
                <w:sz w:val="24"/>
              </w:rPr>
              <w:t>、</w:t>
            </w:r>
            <w:r>
              <w:rPr>
                <w:rFonts w:ascii="Times New Roman" w:hAnsi="Times New Roman" w:cs="Times New Roman"/>
                <w:sz w:val="24"/>
              </w:rPr>
              <w:t>NH</w:t>
            </w:r>
            <w:r>
              <w:rPr>
                <w:rFonts w:ascii="Times New Roman" w:hAnsi="Times New Roman" w:cs="Times New Roman"/>
                <w:sz w:val="24"/>
                <w:vertAlign w:val="subscript"/>
              </w:rPr>
              <w:t>3</w:t>
            </w:r>
            <w:r>
              <w:rPr>
                <w:rFonts w:ascii="Times New Roman" w:hAnsi="Times New Roman" w:cs="Times New Roman"/>
                <w:sz w:val="24"/>
              </w:rPr>
              <w:t>-N、TP指标执行《地表水环境质量标准》（GB3838-2002）Ⅴ类标准，</w:t>
            </w:r>
            <w:r>
              <w:rPr>
                <w:rFonts w:hint="eastAsia" w:ascii="Times New Roman" w:hAnsi="Times New Roman" w:cs="Times New Roman"/>
                <w:sz w:val="24"/>
              </w:rPr>
              <w:t>S</w:t>
            </w:r>
            <w:r>
              <w:rPr>
                <w:rFonts w:ascii="Times New Roman" w:hAnsi="Times New Roman" w:cs="Times New Roman"/>
                <w:sz w:val="24"/>
              </w:rPr>
              <w:t>S</w:t>
            </w:r>
            <w:r>
              <w:rPr>
                <w:rFonts w:hint="eastAsia" w:ascii="Times New Roman" w:hAnsi="Times New Roman" w:cs="Times New Roman"/>
                <w:sz w:val="24"/>
              </w:rPr>
              <w:t>、</w:t>
            </w:r>
            <w:r>
              <w:rPr>
                <w:rFonts w:ascii="Times New Roman" w:hAnsi="Times New Roman" w:cs="Times New Roman"/>
                <w:sz w:val="24"/>
              </w:rPr>
              <w:t>TN指标执行《城</w:t>
            </w:r>
            <w:r>
              <w:rPr>
                <w:sz w:val="24"/>
              </w:rPr>
              <w:t>镇污水处理厂污染物排放标准》（GB18918-2002）一级A标准。</w:t>
            </w:r>
          </w:p>
          <w:p w14:paraId="37D315FE">
            <w:pPr>
              <w:keepNext w:val="0"/>
              <w:keepLines w:val="0"/>
              <w:pageBreakBefore w:val="0"/>
              <w:widowControl w:val="0"/>
              <w:numPr>
                <w:ilvl w:val="0"/>
                <w:numId w:val="0"/>
              </w:numPr>
              <w:kinsoku/>
              <w:wordWrap/>
              <w:overflowPunct/>
              <w:topLinePunct w:val="0"/>
              <w:bidi w:val="0"/>
              <w:adjustRightInd w:val="0"/>
              <w:snapToGrid w:val="0"/>
              <w:spacing w:line="520" w:lineRule="exact"/>
              <w:ind w:firstLine="480" w:firstLineChars="200"/>
              <w:textAlignment w:val="auto"/>
              <w:rPr>
                <w:rFonts w:hint="eastAsia"/>
                <w:lang w:val="en-US" w:eastAsia="zh-CN"/>
              </w:rPr>
            </w:pPr>
            <w:r>
              <w:rPr>
                <w:rFonts w:hint="eastAsia"/>
                <w:sz w:val="24"/>
                <w:highlight w:val="none"/>
              </w:rPr>
              <w:t>经查阅</w:t>
            </w:r>
            <w:r>
              <w:rPr>
                <w:rFonts w:hint="eastAsia"/>
                <w:sz w:val="24"/>
                <w:highlight w:val="none"/>
                <w:lang w:eastAsia="zh-CN"/>
              </w:rPr>
              <w:t>新乡县综合污水处理厂</w:t>
            </w:r>
            <w:r>
              <w:rPr>
                <w:rFonts w:hint="eastAsia"/>
                <w:sz w:val="24"/>
                <w:highlight w:val="none"/>
                <w:lang w:val="en-US" w:eastAsia="zh-CN"/>
              </w:rPr>
              <w:t>2026年第二季度</w:t>
            </w:r>
            <w:r>
              <w:rPr>
                <w:rFonts w:hint="eastAsia"/>
                <w:sz w:val="24"/>
                <w:highlight w:val="none"/>
              </w:rPr>
              <w:t>在线数据可知，该污水处理厂</w:t>
            </w:r>
            <w:r>
              <w:rPr>
                <w:rFonts w:hint="eastAsia"/>
                <w:sz w:val="24"/>
                <w:highlight w:val="none"/>
                <w:lang w:eastAsia="zh-CN"/>
              </w:rPr>
              <w:t>平均实际</w:t>
            </w:r>
            <w:r>
              <w:rPr>
                <w:rFonts w:hint="eastAsia"/>
                <w:sz w:val="24"/>
                <w:highlight w:val="none"/>
              </w:rPr>
              <w:t>收水量为</w:t>
            </w:r>
            <w:r>
              <w:rPr>
                <w:rFonts w:hint="eastAsia"/>
                <w:sz w:val="24"/>
                <w:highlight w:val="none"/>
                <w:lang w:val="en-US" w:eastAsia="zh-CN"/>
              </w:rPr>
              <w:t>14.157</w:t>
            </w:r>
            <w:r>
              <w:rPr>
                <w:rFonts w:hint="eastAsia"/>
                <w:sz w:val="24"/>
                <w:highlight w:val="none"/>
              </w:rPr>
              <w:t>万m</w:t>
            </w:r>
            <w:r>
              <w:rPr>
                <w:rFonts w:hint="eastAsia"/>
                <w:sz w:val="24"/>
                <w:highlight w:val="none"/>
                <w:vertAlign w:val="superscript"/>
              </w:rPr>
              <w:t>3</w:t>
            </w:r>
            <w:r>
              <w:rPr>
                <w:rFonts w:hint="eastAsia"/>
                <w:sz w:val="24"/>
                <w:highlight w:val="none"/>
              </w:rPr>
              <w:t>/d。本项目新增废水排放量为</w:t>
            </w:r>
            <w:r>
              <w:rPr>
                <w:rFonts w:hint="eastAsia"/>
                <w:sz w:val="24"/>
                <w:highlight w:val="none"/>
                <w:lang w:val="en-US" w:eastAsia="zh-CN"/>
              </w:rPr>
              <w:t>0.96</w:t>
            </w:r>
            <w:r>
              <w:rPr>
                <w:rFonts w:hint="eastAsia"/>
                <w:sz w:val="24"/>
                <w:highlight w:val="none"/>
              </w:rPr>
              <w:t>m</w:t>
            </w:r>
            <w:r>
              <w:rPr>
                <w:rFonts w:hint="eastAsia"/>
                <w:sz w:val="24"/>
                <w:highlight w:val="none"/>
                <w:vertAlign w:val="superscript"/>
              </w:rPr>
              <w:t>3</w:t>
            </w:r>
            <w:r>
              <w:rPr>
                <w:rFonts w:hint="eastAsia"/>
                <w:sz w:val="24"/>
                <w:highlight w:val="none"/>
              </w:rPr>
              <w:t>/d，仅占</w:t>
            </w:r>
            <w:r>
              <w:rPr>
                <w:rFonts w:hint="eastAsia"/>
                <w:sz w:val="24"/>
                <w:highlight w:val="none"/>
                <w:lang w:eastAsia="zh-CN"/>
              </w:rPr>
              <w:t>剩余</w:t>
            </w:r>
            <w:r>
              <w:rPr>
                <w:rFonts w:hint="eastAsia"/>
                <w:sz w:val="24"/>
                <w:highlight w:val="none"/>
              </w:rPr>
              <w:t>处理能力的</w:t>
            </w:r>
            <w:r>
              <w:rPr>
                <w:rFonts w:hint="eastAsia"/>
                <w:sz w:val="24"/>
                <w:highlight w:val="none"/>
                <w:lang w:val="en-US" w:eastAsia="zh-CN"/>
              </w:rPr>
              <w:t>0.011</w:t>
            </w:r>
            <w:r>
              <w:rPr>
                <w:rFonts w:hint="eastAsia"/>
                <w:sz w:val="24"/>
                <w:highlight w:val="none"/>
              </w:rPr>
              <w:t>%，</w:t>
            </w:r>
            <w:r>
              <w:rPr>
                <w:rFonts w:hint="eastAsia"/>
                <w:sz w:val="24"/>
              </w:rPr>
              <w:t>能够</w:t>
            </w:r>
            <w:r>
              <w:rPr>
                <w:sz w:val="24"/>
              </w:rPr>
              <w:t>满足</w:t>
            </w:r>
            <w:r>
              <w:rPr>
                <w:rFonts w:hint="eastAsia"/>
                <w:sz w:val="24"/>
              </w:rPr>
              <w:t>本</w:t>
            </w:r>
            <w:r>
              <w:rPr>
                <w:sz w:val="24"/>
              </w:rPr>
              <w:t>项目处理的需要，不会对污水处理厂产生冲击</w:t>
            </w:r>
            <w:r>
              <w:rPr>
                <w:rFonts w:hint="eastAsia"/>
                <w:sz w:val="24"/>
              </w:rPr>
              <w:t>；</w:t>
            </w:r>
            <w:r>
              <w:rPr>
                <w:sz w:val="24"/>
              </w:rPr>
              <w:t>本项目</w:t>
            </w:r>
            <w:r>
              <w:rPr>
                <w:rFonts w:hint="eastAsia"/>
                <w:sz w:val="24"/>
                <w:lang w:eastAsia="zh-CN"/>
              </w:rPr>
              <w:t>废水经</w:t>
            </w:r>
            <w:r>
              <w:rPr>
                <w:rFonts w:hint="eastAsia"/>
                <w:sz w:val="24"/>
                <w:lang w:val="en-US" w:eastAsia="zh-CN"/>
              </w:rPr>
              <w:t>园区化粪池</w:t>
            </w:r>
            <w:r>
              <w:rPr>
                <w:rFonts w:hint="eastAsia"/>
                <w:sz w:val="24"/>
                <w:lang w:eastAsia="zh-CN"/>
              </w:rPr>
              <w:t>处理后总排口</w:t>
            </w:r>
            <w:r>
              <w:rPr>
                <w:rFonts w:hint="eastAsia"/>
                <w:bCs/>
                <w:color w:val="000000"/>
                <w:sz w:val="24"/>
              </w:rPr>
              <w:t>水质</w:t>
            </w:r>
            <w:r>
              <w:rPr>
                <w:rFonts w:hint="eastAsia"/>
                <w:bCs/>
                <w:color w:val="000000"/>
                <w:sz w:val="24"/>
                <w:lang w:eastAsia="zh-CN"/>
              </w:rPr>
              <w:t>为</w:t>
            </w:r>
            <w:r>
              <w:rPr>
                <w:rFonts w:hint="eastAsia"/>
                <w:bCs/>
                <w:color w:val="000000"/>
                <w:sz w:val="24"/>
              </w:rPr>
              <w:t>COD 250mg/L、</w:t>
            </w:r>
            <w:r>
              <w:rPr>
                <w:rFonts w:hint="eastAsia"/>
                <w:bCs/>
                <w:color w:val="000000"/>
                <w:sz w:val="24"/>
                <w:lang w:val="en-US" w:eastAsia="zh-CN"/>
              </w:rPr>
              <w:t>B</w:t>
            </w:r>
            <w:r>
              <w:rPr>
                <w:rFonts w:hint="eastAsia"/>
                <w:bCs/>
                <w:color w:val="000000"/>
                <w:sz w:val="24"/>
              </w:rPr>
              <w:t>OD</w:t>
            </w:r>
            <w:r>
              <w:rPr>
                <w:rFonts w:hint="eastAsia"/>
                <w:bCs/>
                <w:color w:val="000000"/>
                <w:sz w:val="24"/>
                <w:vertAlign w:val="subscript"/>
                <w:lang w:val="en-US" w:eastAsia="zh-CN"/>
              </w:rPr>
              <w:t>5</w:t>
            </w:r>
            <w:r>
              <w:rPr>
                <w:rFonts w:hint="eastAsia"/>
                <w:bCs/>
                <w:color w:val="000000"/>
                <w:sz w:val="24"/>
              </w:rPr>
              <w:t xml:space="preserve"> </w:t>
            </w:r>
            <w:r>
              <w:rPr>
                <w:rFonts w:hint="eastAsia"/>
                <w:bCs/>
                <w:color w:val="000000"/>
                <w:sz w:val="24"/>
                <w:lang w:val="en-US" w:eastAsia="zh-CN"/>
              </w:rPr>
              <w:t>11</w:t>
            </w:r>
            <w:r>
              <w:rPr>
                <w:rFonts w:hint="eastAsia"/>
                <w:bCs/>
                <w:color w:val="000000"/>
                <w:sz w:val="24"/>
              </w:rPr>
              <w:t>0mg/L、SS 1</w:t>
            </w:r>
            <w:r>
              <w:rPr>
                <w:rFonts w:hint="eastAsia"/>
                <w:bCs/>
                <w:color w:val="000000"/>
                <w:sz w:val="24"/>
                <w:lang w:val="en-US" w:eastAsia="zh-CN"/>
              </w:rPr>
              <w:t>5</w:t>
            </w:r>
            <w:r>
              <w:rPr>
                <w:rFonts w:hint="eastAsia"/>
                <w:bCs/>
                <w:color w:val="000000"/>
                <w:sz w:val="24"/>
              </w:rPr>
              <w:t>0mg/L、NH</w:t>
            </w:r>
            <w:r>
              <w:rPr>
                <w:rFonts w:hint="eastAsia"/>
                <w:bCs/>
                <w:color w:val="000000"/>
                <w:sz w:val="24"/>
                <w:vertAlign w:val="subscript"/>
              </w:rPr>
              <w:t>3</w:t>
            </w:r>
            <w:r>
              <w:rPr>
                <w:rFonts w:hint="eastAsia"/>
                <w:bCs/>
                <w:color w:val="000000"/>
                <w:sz w:val="24"/>
              </w:rPr>
              <w:t>-N 25mg/L、TP</w:t>
            </w:r>
            <w:r>
              <w:rPr>
                <w:bCs/>
                <w:color w:val="000000"/>
                <w:sz w:val="24"/>
              </w:rPr>
              <w:t xml:space="preserve"> </w:t>
            </w:r>
            <w:r>
              <w:rPr>
                <w:rFonts w:hint="eastAsia"/>
                <w:bCs/>
                <w:color w:val="000000"/>
                <w:sz w:val="24"/>
              </w:rPr>
              <w:t>3mg/L、TN 30mg/L</w:t>
            </w:r>
            <w:r>
              <w:rPr>
                <w:sz w:val="24"/>
              </w:rPr>
              <w:t>，能够满足</w:t>
            </w:r>
            <w:r>
              <w:rPr>
                <w:rFonts w:hint="eastAsia"/>
                <w:sz w:val="24"/>
                <w:lang w:eastAsia="zh-CN"/>
              </w:rPr>
              <w:t>新乡县综合污水处理厂</w:t>
            </w:r>
            <w:r>
              <w:rPr>
                <w:sz w:val="24"/>
              </w:rPr>
              <w:t xml:space="preserve">收水标准COD </w:t>
            </w:r>
            <w:r>
              <w:rPr>
                <w:rFonts w:hint="eastAsia"/>
                <w:sz w:val="24"/>
              </w:rPr>
              <w:t>4</w:t>
            </w:r>
            <w:r>
              <w:rPr>
                <w:rFonts w:hint="eastAsia"/>
                <w:sz w:val="24"/>
                <w:lang w:val="en-US" w:eastAsia="zh-CN"/>
              </w:rPr>
              <w:t>00</w:t>
            </w:r>
            <w:r>
              <w:rPr>
                <w:sz w:val="24"/>
              </w:rPr>
              <w:t>mg/L</w:t>
            </w:r>
            <w:r>
              <w:rPr>
                <w:rFonts w:hint="eastAsia"/>
                <w:sz w:val="24"/>
              </w:rPr>
              <w:t>、</w:t>
            </w:r>
            <w:r>
              <w:rPr>
                <w:rFonts w:hint="eastAsia"/>
                <w:bCs/>
                <w:sz w:val="24"/>
              </w:rPr>
              <w:t>B</w:t>
            </w:r>
            <w:r>
              <w:rPr>
                <w:bCs/>
                <w:sz w:val="24"/>
              </w:rPr>
              <w:t>OD</w:t>
            </w:r>
            <w:r>
              <w:rPr>
                <w:rFonts w:hint="eastAsia"/>
                <w:bCs/>
                <w:sz w:val="24"/>
                <w:vertAlign w:val="subscript"/>
              </w:rPr>
              <w:t>5</w:t>
            </w:r>
            <w:r>
              <w:rPr>
                <w:bCs/>
                <w:sz w:val="24"/>
              </w:rPr>
              <w:t xml:space="preserve"> </w:t>
            </w:r>
            <w:r>
              <w:rPr>
                <w:rFonts w:hint="eastAsia"/>
                <w:bCs/>
                <w:sz w:val="24"/>
              </w:rPr>
              <w:t>1</w:t>
            </w:r>
            <w:r>
              <w:rPr>
                <w:rFonts w:hint="eastAsia"/>
                <w:bCs/>
                <w:sz w:val="24"/>
                <w:lang w:val="en-US" w:eastAsia="zh-CN"/>
              </w:rPr>
              <w:t>2</w:t>
            </w:r>
            <w:r>
              <w:rPr>
                <w:rFonts w:hint="eastAsia"/>
                <w:bCs/>
                <w:sz w:val="24"/>
              </w:rPr>
              <w:t>0mg/L、</w:t>
            </w:r>
            <w:r>
              <w:rPr>
                <w:sz w:val="24"/>
              </w:rPr>
              <w:t xml:space="preserve">SS </w:t>
            </w:r>
            <w:r>
              <w:rPr>
                <w:rFonts w:hint="eastAsia"/>
                <w:sz w:val="24"/>
                <w:lang w:val="en-US" w:eastAsia="zh-CN"/>
              </w:rPr>
              <w:t>180</w:t>
            </w:r>
            <w:r>
              <w:rPr>
                <w:sz w:val="24"/>
              </w:rPr>
              <w:t>mg/L、NH</w:t>
            </w:r>
            <w:r>
              <w:rPr>
                <w:sz w:val="24"/>
                <w:vertAlign w:val="subscript"/>
              </w:rPr>
              <w:t>3</w:t>
            </w:r>
            <w:r>
              <w:rPr>
                <w:sz w:val="24"/>
              </w:rPr>
              <w:t xml:space="preserve">-N </w:t>
            </w:r>
            <w:r>
              <w:rPr>
                <w:rFonts w:hint="eastAsia"/>
                <w:sz w:val="24"/>
                <w:lang w:val="en-US" w:eastAsia="zh-CN"/>
              </w:rPr>
              <w:t>59</w:t>
            </w:r>
            <w:r>
              <w:rPr>
                <w:sz w:val="24"/>
              </w:rPr>
              <w:t xml:space="preserve">mg/L、TP </w:t>
            </w:r>
            <w:r>
              <w:rPr>
                <w:rFonts w:hint="eastAsia"/>
                <w:sz w:val="24"/>
                <w:lang w:val="en-US" w:eastAsia="zh-CN"/>
              </w:rPr>
              <w:t>4</w:t>
            </w:r>
            <w:r>
              <w:rPr>
                <w:sz w:val="24"/>
              </w:rPr>
              <w:t xml:space="preserve">mg/L、TN </w:t>
            </w:r>
            <w:r>
              <w:rPr>
                <w:rFonts w:hint="eastAsia"/>
                <w:sz w:val="24"/>
                <w:lang w:val="en-US" w:eastAsia="zh-CN"/>
              </w:rPr>
              <w:t>70</w:t>
            </w:r>
            <w:r>
              <w:rPr>
                <w:sz w:val="24"/>
              </w:rPr>
              <w:t>mg/L的</w:t>
            </w:r>
            <w:r>
              <w:rPr>
                <w:rFonts w:hint="eastAsia"/>
                <w:sz w:val="24"/>
              </w:rPr>
              <w:t>标准</w:t>
            </w:r>
            <w:r>
              <w:rPr>
                <w:sz w:val="24"/>
              </w:rPr>
              <w:t>要求</w:t>
            </w:r>
            <w:r>
              <w:rPr>
                <w:rFonts w:hint="eastAsia"/>
                <w:sz w:val="24"/>
              </w:rPr>
              <w:t>，</w:t>
            </w:r>
            <w:r>
              <w:rPr>
                <w:sz w:val="24"/>
              </w:rPr>
              <w:t>因此</w:t>
            </w:r>
            <w:r>
              <w:rPr>
                <w:rFonts w:hint="eastAsia"/>
                <w:sz w:val="24"/>
              </w:rPr>
              <w:t>外排废水经</w:t>
            </w:r>
            <w:r>
              <w:rPr>
                <w:sz w:val="24"/>
              </w:rPr>
              <w:t>管网排入</w:t>
            </w:r>
            <w:r>
              <w:rPr>
                <w:rFonts w:hint="eastAsia"/>
                <w:sz w:val="24"/>
                <w:lang w:eastAsia="zh-CN"/>
              </w:rPr>
              <w:t>新乡县综合污水处理厂</w:t>
            </w:r>
            <w:r>
              <w:rPr>
                <w:sz w:val="24"/>
              </w:rPr>
              <w:t>进一步处理是可行的。</w:t>
            </w:r>
          </w:p>
          <w:p w14:paraId="5B7FA057">
            <w:pPr>
              <w:keepNext w:val="0"/>
              <w:keepLines w:val="0"/>
              <w:pageBreakBefore w:val="0"/>
              <w:widowControl w:val="0"/>
              <w:numPr>
                <w:ilvl w:val="0"/>
                <w:numId w:val="0"/>
              </w:numPr>
              <w:kinsoku/>
              <w:wordWrap/>
              <w:overflowPunct/>
              <w:topLinePunct w:val="0"/>
              <w:bidi w:val="0"/>
              <w:spacing w:line="520" w:lineRule="exact"/>
              <w:ind w:firstLine="482" w:firstLineChars="200"/>
              <w:textAlignment w:val="auto"/>
              <w:rPr>
                <w:rFonts w:hint="default" w:ascii="Times New Roman" w:hAnsi="Times New Roman" w:cs="Times New Roman"/>
                <w:b/>
                <w:color w:val="000000"/>
              </w:rPr>
            </w:pPr>
            <w:r>
              <w:rPr>
                <w:rFonts w:hint="default" w:ascii="Times New Roman" w:hAnsi="Times New Roman" w:cs="Times New Roman"/>
                <w:b/>
                <w:color w:val="000000"/>
                <w:lang w:val="en-US" w:eastAsia="zh-CN"/>
              </w:rPr>
              <w:t>2.</w:t>
            </w:r>
            <w:r>
              <w:rPr>
                <w:rFonts w:hint="eastAsia" w:ascii="Times New Roman" w:hAnsi="Times New Roman" w:cs="Times New Roman"/>
                <w:b/>
                <w:color w:val="000000"/>
                <w:lang w:val="en-US" w:eastAsia="zh-CN"/>
              </w:rPr>
              <w:t>4</w:t>
            </w:r>
            <w:r>
              <w:rPr>
                <w:rFonts w:hint="default" w:ascii="Times New Roman" w:hAnsi="Times New Roman" w:cs="Times New Roman"/>
                <w:b/>
                <w:color w:val="000000"/>
              </w:rPr>
              <w:t>污染物排放信息</w:t>
            </w:r>
          </w:p>
          <w:p w14:paraId="3E511C34">
            <w:pPr>
              <w:keepNext w:val="0"/>
              <w:keepLines w:val="0"/>
              <w:pageBreakBefore w:val="0"/>
              <w:widowControl w:val="0"/>
              <w:kinsoku/>
              <w:wordWrap/>
              <w:overflowPunct/>
              <w:topLinePunct w:val="0"/>
              <w:bidi w:val="0"/>
              <w:spacing w:line="520" w:lineRule="atLeast"/>
              <w:ind w:firstLine="480" w:firstLineChars="200"/>
              <w:rPr>
                <w:rFonts w:hint="default" w:ascii="Times New Roman" w:hAnsi="Times New Roman" w:eastAsia="黑体" w:cs="Times New Roman"/>
                <w:color w:val="000000"/>
                <w:szCs w:val="22"/>
                <w:lang w:val="pt-BR"/>
              </w:rPr>
            </w:pPr>
            <w:r>
              <w:rPr>
                <w:rFonts w:hint="default" w:ascii="Times New Roman" w:hAnsi="Times New Roman" w:cs="Times New Roman"/>
                <w:color w:val="000000"/>
              </w:rPr>
              <w:t>①废水类别、污染物及污染治理设施信息表</w:t>
            </w:r>
          </w:p>
          <w:p w14:paraId="0771C765">
            <w:pPr>
              <w:keepNext w:val="0"/>
              <w:keepLines w:val="0"/>
              <w:pageBreakBefore w:val="0"/>
              <w:widowControl w:val="0"/>
              <w:kinsoku/>
              <w:wordWrap/>
              <w:overflowPunct/>
              <w:topLinePunct w:val="0"/>
              <w:bidi w:val="0"/>
              <w:adjustRightInd w:val="0"/>
              <w:snapToGrid w:val="0"/>
              <w:spacing w:line="520" w:lineRule="atLeast"/>
              <w:ind w:firstLine="480" w:firstLineChars="200"/>
              <w:rPr>
                <w:rFonts w:hint="default" w:ascii="Times New Roman" w:hAnsi="Times New Roman" w:eastAsia="黑体" w:cs="Times New Roman"/>
                <w:color w:val="000000"/>
                <w:szCs w:val="22"/>
                <w:lang w:val="pt-BR"/>
              </w:rPr>
            </w:pPr>
            <w:r>
              <w:rPr>
                <w:rFonts w:hint="default" w:ascii="Times New Roman" w:hAnsi="Times New Roman" w:eastAsia="黑体" w:cs="Times New Roman"/>
                <w:color w:val="000000"/>
                <w:szCs w:val="22"/>
                <w:lang w:val="pt-BR"/>
              </w:rPr>
              <w:t>表</w:t>
            </w:r>
            <w:r>
              <w:rPr>
                <w:rFonts w:hint="default" w:ascii="Times New Roman" w:hAnsi="Times New Roman" w:eastAsia="黑体" w:cs="Times New Roman"/>
                <w:color w:val="000000"/>
                <w:szCs w:val="22"/>
                <w:lang w:val="en-US" w:eastAsia="zh-CN"/>
              </w:rPr>
              <w:t>4-</w:t>
            </w:r>
            <w:r>
              <w:rPr>
                <w:rFonts w:hint="eastAsia" w:eastAsia="黑体" w:cs="Times New Roman"/>
                <w:color w:val="000000"/>
                <w:szCs w:val="22"/>
                <w:lang w:val="en-US" w:eastAsia="zh-CN"/>
              </w:rPr>
              <w:t>1</w:t>
            </w:r>
            <w:r>
              <w:rPr>
                <w:rFonts w:hint="default" w:ascii="Times New Roman" w:hAnsi="Times New Roman" w:eastAsia="黑体" w:cs="Times New Roman"/>
                <w:color w:val="000000"/>
                <w:szCs w:val="22"/>
                <w:lang w:val="pt-BR"/>
              </w:rPr>
              <w:t xml:space="preserve">       废水类别、污染物及污染治理设施信息表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22"/>
              <w:gridCol w:w="447"/>
              <w:gridCol w:w="854"/>
              <w:gridCol w:w="594"/>
              <w:gridCol w:w="1055"/>
              <w:gridCol w:w="773"/>
              <w:gridCol w:w="606"/>
              <w:gridCol w:w="911"/>
              <w:gridCol w:w="516"/>
              <w:gridCol w:w="898"/>
              <w:gridCol w:w="1241"/>
            </w:tblGrid>
            <w:tr w14:paraId="57430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216" w:type="dxa"/>
                  <w:vMerge w:val="restart"/>
                  <w:tcBorders>
                    <w:bottom w:val="single" w:color="auto" w:sz="4" w:space="0"/>
                    <w:right w:val="single" w:color="auto" w:sz="4" w:space="0"/>
                  </w:tcBorders>
                  <w:noWrap w:val="0"/>
                  <w:tcMar>
                    <w:left w:w="0" w:type="dxa"/>
                    <w:right w:w="0" w:type="dxa"/>
                  </w:tcMar>
                  <w:vAlign w:val="center"/>
                </w:tcPr>
                <w:p w14:paraId="6AEE4AC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序号</w:t>
                  </w:r>
                </w:p>
              </w:tc>
              <w:tc>
                <w:tcPr>
                  <w:tcW w:w="434" w:type="dxa"/>
                  <w:vMerge w:val="restart"/>
                  <w:tcBorders>
                    <w:left w:val="single" w:color="auto" w:sz="4" w:space="0"/>
                    <w:bottom w:val="single" w:color="auto" w:sz="4" w:space="0"/>
                    <w:right w:val="single" w:color="auto" w:sz="4" w:space="0"/>
                  </w:tcBorders>
                  <w:noWrap w:val="0"/>
                  <w:vAlign w:val="center"/>
                </w:tcPr>
                <w:p w14:paraId="675FC9A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废水类别</w:t>
                  </w:r>
                </w:p>
              </w:tc>
              <w:tc>
                <w:tcPr>
                  <w:tcW w:w="830" w:type="dxa"/>
                  <w:vMerge w:val="restart"/>
                  <w:tcBorders>
                    <w:left w:val="single" w:color="auto" w:sz="4" w:space="0"/>
                    <w:bottom w:val="single" w:color="auto" w:sz="4" w:space="0"/>
                    <w:right w:val="single" w:color="auto" w:sz="4" w:space="0"/>
                  </w:tcBorders>
                  <w:noWrap w:val="0"/>
                  <w:vAlign w:val="center"/>
                </w:tcPr>
                <w:p w14:paraId="617F2B9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污染物种类</w:t>
                  </w:r>
                </w:p>
              </w:tc>
              <w:tc>
                <w:tcPr>
                  <w:tcW w:w="577" w:type="dxa"/>
                  <w:vMerge w:val="restart"/>
                  <w:tcBorders>
                    <w:left w:val="single" w:color="auto" w:sz="4" w:space="0"/>
                    <w:bottom w:val="single" w:color="auto" w:sz="4" w:space="0"/>
                    <w:right w:val="single" w:color="auto" w:sz="4" w:space="0"/>
                  </w:tcBorders>
                  <w:noWrap w:val="0"/>
                  <w:vAlign w:val="center"/>
                </w:tcPr>
                <w:p w14:paraId="144EC9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排放去向</w:t>
                  </w:r>
                </w:p>
              </w:tc>
              <w:tc>
                <w:tcPr>
                  <w:tcW w:w="1025" w:type="dxa"/>
                  <w:vMerge w:val="restart"/>
                  <w:tcBorders>
                    <w:left w:val="single" w:color="auto" w:sz="4" w:space="0"/>
                    <w:bottom w:val="single" w:color="auto" w:sz="4" w:space="0"/>
                    <w:right w:val="single" w:color="auto" w:sz="4" w:space="0"/>
                  </w:tcBorders>
                  <w:noWrap w:val="0"/>
                  <w:vAlign w:val="center"/>
                </w:tcPr>
                <w:p w14:paraId="2D2C5BE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排放规律</w:t>
                  </w:r>
                </w:p>
              </w:tc>
              <w:tc>
                <w:tcPr>
                  <w:tcW w:w="2225" w:type="dxa"/>
                  <w:gridSpan w:val="3"/>
                  <w:tcBorders>
                    <w:left w:val="single" w:color="auto" w:sz="4" w:space="0"/>
                    <w:bottom w:val="single" w:color="auto" w:sz="4" w:space="0"/>
                    <w:right w:val="single" w:color="auto" w:sz="4" w:space="0"/>
                  </w:tcBorders>
                  <w:noWrap w:val="0"/>
                  <w:vAlign w:val="center"/>
                </w:tcPr>
                <w:p w14:paraId="11727C4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污染治理措施</w:t>
                  </w:r>
                </w:p>
              </w:tc>
              <w:tc>
                <w:tcPr>
                  <w:tcW w:w="501" w:type="dxa"/>
                  <w:vMerge w:val="restart"/>
                  <w:tcBorders>
                    <w:left w:val="single" w:color="auto" w:sz="4" w:space="0"/>
                    <w:bottom w:val="single" w:color="auto" w:sz="4" w:space="0"/>
                    <w:right w:val="single" w:color="auto" w:sz="4" w:space="0"/>
                  </w:tcBorders>
                  <w:noWrap w:val="0"/>
                  <w:vAlign w:val="center"/>
                </w:tcPr>
                <w:p w14:paraId="14E038F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排放口编号</w:t>
                  </w:r>
                </w:p>
              </w:tc>
              <w:tc>
                <w:tcPr>
                  <w:tcW w:w="872" w:type="dxa"/>
                  <w:vMerge w:val="restart"/>
                  <w:tcBorders>
                    <w:left w:val="single" w:color="auto" w:sz="4" w:space="0"/>
                    <w:bottom w:val="single" w:color="auto" w:sz="4" w:space="0"/>
                    <w:right w:val="single" w:color="auto" w:sz="4" w:space="0"/>
                  </w:tcBorders>
                  <w:noWrap w:val="0"/>
                  <w:vAlign w:val="center"/>
                </w:tcPr>
                <w:p w14:paraId="1D28CF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排放口设置是否符合要求</w:t>
                  </w:r>
                </w:p>
              </w:tc>
              <w:tc>
                <w:tcPr>
                  <w:tcW w:w="1206" w:type="dxa"/>
                  <w:vMerge w:val="restart"/>
                  <w:tcBorders>
                    <w:left w:val="single" w:color="auto" w:sz="4" w:space="0"/>
                    <w:bottom w:val="single" w:color="auto" w:sz="4" w:space="0"/>
                  </w:tcBorders>
                  <w:noWrap w:val="0"/>
                  <w:vAlign w:val="center"/>
                </w:tcPr>
                <w:p w14:paraId="42CCF5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排放口类型</w:t>
                  </w:r>
                </w:p>
              </w:tc>
            </w:tr>
            <w:tr w14:paraId="09D30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216" w:type="dxa"/>
                  <w:vMerge w:val="continue"/>
                  <w:tcBorders>
                    <w:top w:val="single" w:color="auto" w:sz="4" w:space="0"/>
                    <w:bottom w:val="single" w:color="auto" w:sz="4" w:space="0"/>
                    <w:right w:val="single" w:color="auto" w:sz="4" w:space="0"/>
                  </w:tcBorders>
                  <w:noWrap w:val="0"/>
                  <w:tcMar>
                    <w:left w:w="0" w:type="dxa"/>
                    <w:right w:w="0" w:type="dxa"/>
                  </w:tcMar>
                  <w:vAlign w:val="center"/>
                </w:tcPr>
                <w:p w14:paraId="78EDDE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434" w:type="dxa"/>
                  <w:vMerge w:val="continue"/>
                  <w:tcBorders>
                    <w:top w:val="single" w:color="auto" w:sz="4" w:space="0"/>
                    <w:left w:val="single" w:color="auto" w:sz="4" w:space="0"/>
                    <w:bottom w:val="single" w:color="auto" w:sz="4" w:space="0"/>
                    <w:right w:val="single" w:color="auto" w:sz="4" w:space="0"/>
                  </w:tcBorders>
                  <w:noWrap w:val="0"/>
                  <w:vAlign w:val="center"/>
                </w:tcPr>
                <w:p w14:paraId="5503D8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830" w:type="dxa"/>
                  <w:vMerge w:val="continue"/>
                  <w:tcBorders>
                    <w:top w:val="single" w:color="auto" w:sz="4" w:space="0"/>
                    <w:left w:val="single" w:color="auto" w:sz="4" w:space="0"/>
                    <w:bottom w:val="single" w:color="auto" w:sz="4" w:space="0"/>
                    <w:right w:val="single" w:color="auto" w:sz="4" w:space="0"/>
                  </w:tcBorders>
                  <w:noWrap w:val="0"/>
                  <w:vAlign w:val="center"/>
                </w:tcPr>
                <w:p w14:paraId="4EC340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577" w:type="dxa"/>
                  <w:vMerge w:val="continue"/>
                  <w:tcBorders>
                    <w:top w:val="single" w:color="auto" w:sz="4" w:space="0"/>
                    <w:left w:val="single" w:color="auto" w:sz="4" w:space="0"/>
                    <w:bottom w:val="single" w:color="auto" w:sz="4" w:space="0"/>
                    <w:right w:val="single" w:color="auto" w:sz="4" w:space="0"/>
                  </w:tcBorders>
                  <w:noWrap w:val="0"/>
                  <w:vAlign w:val="center"/>
                </w:tcPr>
                <w:p w14:paraId="3AEB02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1025" w:type="dxa"/>
                  <w:vMerge w:val="continue"/>
                  <w:tcBorders>
                    <w:top w:val="single" w:color="auto" w:sz="4" w:space="0"/>
                    <w:left w:val="single" w:color="auto" w:sz="4" w:space="0"/>
                    <w:bottom w:val="single" w:color="auto" w:sz="4" w:space="0"/>
                    <w:right w:val="single" w:color="auto" w:sz="4" w:space="0"/>
                  </w:tcBorders>
                  <w:noWrap w:val="0"/>
                  <w:vAlign w:val="center"/>
                </w:tcPr>
                <w:p w14:paraId="142C537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863" w:type="dxa"/>
                  <w:tcBorders>
                    <w:top w:val="single" w:color="auto" w:sz="4" w:space="0"/>
                    <w:left w:val="single" w:color="auto" w:sz="4" w:space="0"/>
                    <w:bottom w:val="single" w:color="auto" w:sz="4" w:space="0"/>
                    <w:right w:val="single" w:color="auto" w:sz="4" w:space="0"/>
                  </w:tcBorders>
                  <w:noWrap w:val="0"/>
                  <w:vAlign w:val="center"/>
                </w:tcPr>
                <w:p w14:paraId="202E17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污染治理措施编号</w:t>
                  </w:r>
                </w:p>
              </w:tc>
              <w:tc>
                <w:tcPr>
                  <w:tcW w:w="606" w:type="dxa"/>
                  <w:tcBorders>
                    <w:top w:val="single" w:color="auto" w:sz="4" w:space="0"/>
                    <w:left w:val="single" w:color="auto" w:sz="4" w:space="0"/>
                    <w:bottom w:val="single" w:color="auto" w:sz="4" w:space="0"/>
                    <w:right w:val="single" w:color="auto" w:sz="4" w:space="0"/>
                  </w:tcBorders>
                  <w:noWrap w:val="0"/>
                  <w:vAlign w:val="center"/>
                </w:tcPr>
                <w:p w14:paraId="07BD6B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污染治理措施名称</w:t>
                  </w:r>
                </w:p>
              </w:tc>
              <w:tc>
                <w:tcPr>
                  <w:tcW w:w="756" w:type="dxa"/>
                  <w:tcBorders>
                    <w:top w:val="single" w:color="auto" w:sz="4" w:space="0"/>
                    <w:left w:val="single" w:color="auto" w:sz="4" w:space="0"/>
                    <w:bottom w:val="single" w:color="auto" w:sz="4" w:space="0"/>
                    <w:right w:val="single" w:color="auto" w:sz="4" w:space="0"/>
                  </w:tcBorders>
                  <w:noWrap w:val="0"/>
                  <w:vAlign w:val="center"/>
                </w:tcPr>
                <w:p w14:paraId="533348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污染治理措施工艺</w:t>
                  </w:r>
                </w:p>
              </w:tc>
              <w:tc>
                <w:tcPr>
                  <w:tcW w:w="501" w:type="dxa"/>
                  <w:vMerge w:val="continue"/>
                  <w:tcBorders>
                    <w:top w:val="single" w:color="auto" w:sz="4" w:space="0"/>
                    <w:left w:val="single" w:color="auto" w:sz="4" w:space="0"/>
                    <w:bottom w:val="single" w:color="auto" w:sz="4" w:space="0"/>
                    <w:right w:val="single" w:color="auto" w:sz="4" w:space="0"/>
                  </w:tcBorders>
                  <w:noWrap w:val="0"/>
                  <w:vAlign w:val="center"/>
                </w:tcPr>
                <w:p w14:paraId="7EC2DAC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872" w:type="dxa"/>
                  <w:vMerge w:val="continue"/>
                  <w:tcBorders>
                    <w:top w:val="single" w:color="auto" w:sz="4" w:space="0"/>
                    <w:left w:val="single" w:color="auto" w:sz="4" w:space="0"/>
                    <w:bottom w:val="single" w:color="auto" w:sz="4" w:space="0"/>
                    <w:right w:val="single" w:color="auto" w:sz="4" w:space="0"/>
                  </w:tcBorders>
                  <w:noWrap w:val="0"/>
                  <w:vAlign w:val="center"/>
                </w:tcPr>
                <w:p w14:paraId="3287C04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1206" w:type="dxa"/>
                  <w:vMerge w:val="continue"/>
                  <w:tcBorders>
                    <w:top w:val="single" w:color="auto" w:sz="4" w:space="0"/>
                    <w:left w:val="single" w:color="auto" w:sz="4" w:space="0"/>
                    <w:bottom w:val="single" w:color="auto" w:sz="4" w:space="0"/>
                  </w:tcBorders>
                  <w:noWrap w:val="0"/>
                  <w:vAlign w:val="center"/>
                </w:tcPr>
                <w:p w14:paraId="7AD2D6E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r>
            <w:tr w14:paraId="49A44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216" w:type="dxa"/>
                  <w:tcBorders>
                    <w:top w:val="single" w:color="auto" w:sz="4" w:space="0"/>
                    <w:right w:val="single" w:color="auto" w:sz="4" w:space="0"/>
                  </w:tcBorders>
                  <w:noWrap w:val="0"/>
                  <w:tcMar>
                    <w:left w:w="0" w:type="dxa"/>
                    <w:right w:w="0" w:type="dxa"/>
                  </w:tcMar>
                  <w:vAlign w:val="center"/>
                </w:tcPr>
                <w:p w14:paraId="2A0FB75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1</w:t>
                  </w:r>
                </w:p>
              </w:tc>
              <w:tc>
                <w:tcPr>
                  <w:tcW w:w="434" w:type="dxa"/>
                  <w:tcBorders>
                    <w:top w:val="single" w:color="auto" w:sz="4" w:space="0"/>
                    <w:left w:val="single" w:color="auto" w:sz="4" w:space="0"/>
                    <w:right w:val="single" w:color="auto" w:sz="4" w:space="0"/>
                  </w:tcBorders>
                  <w:noWrap w:val="0"/>
                  <w:vAlign w:val="center"/>
                </w:tcPr>
                <w:p w14:paraId="2FE636E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000000"/>
                      <w:sz w:val="21"/>
                      <w:szCs w:val="21"/>
                      <w:lang w:eastAsia="zh-CN"/>
                    </w:rPr>
                  </w:pPr>
                  <w:r>
                    <w:rPr>
                      <w:rFonts w:hint="default" w:ascii="Times New Roman" w:hAnsi="Times New Roman" w:cs="Times New Roman"/>
                      <w:b w:val="0"/>
                      <w:bCs/>
                      <w:color w:val="000000"/>
                      <w:sz w:val="21"/>
                      <w:szCs w:val="21"/>
                    </w:rPr>
                    <w:t>生活污水</w:t>
                  </w:r>
                </w:p>
              </w:tc>
              <w:tc>
                <w:tcPr>
                  <w:tcW w:w="830" w:type="dxa"/>
                  <w:tcBorders>
                    <w:top w:val="single" w:color="auto" w:sz="4" w:space="0"/>
                    <w:left w:val="single" w:color="auto" w:sz="4" w:space="0"/>
                    <w:right w:val="single" w:color="auto" w:sz="4" w:space="0"/>
                  </w:tcBorders>
                  <w:noWrap w:val="0"/>
                  <w:vAlign w:val="center"/>
                </w:tcPr>
                <w:p w14:paraId="27F70B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000000"/>
                      <w:sz w:val="21"/>
                      <w:szCs w:val="21"/>
                      <w:lang w:eastAsia="zh-CN"/>
                    </w:rPr>
                  </w:pPr>
                  <w:r>
                    <w:rPr>
                      <w:rFonts w:hint="default" w:ascii="Times New Roman" w:hAnsi="Times New Roman" w:cs="Times New Roman"/>
                      <w:b w:val="0"/>
                      <w:bCs/>
                      <w:color w:val="000000"/>
                      <w:spacing w:val="-4"/>
                      <w:sz w:val="21"/>
                      <w:szCs w:val="21"/>
                    </w:rPr>
                    <w:t>COD、</w:t>
                  </w:r>
                  <w:r>
                    <w:rPr>
                      <w:rFonts w:hint="eastAsia" w:ascii="Times New Roman" w:hAnsi="Times New Roman" w:cs="Times New Roman"/>
                      <w:b w:val="0"/>
                      <w:bCs/>
                      <w:color w:val="000000"/>
                      <w:spacing w:val="-4"/>
                      <w:sz w:val="21"/>
                      <w:szCs w:val="21"/>
                      <w:lang w:val="en-US" w:eastAsia="zh-CN"/>
                    </w:rPr>
                    <w:t>BOD</w:t>
                  </w:r>
                  <w:r>
                    <w:rPr>
                      <w:rFonts w:hint="eastAsia" w:ascii="Times New Roman" w:hAnsi="Times New Roman" w:cs="Times New Roman"/>
                      <w:b w:val="0"/>
                      <w:bCs/>
                      <w:color w:val="000000"/>
                      <w:spacing w:val="-4"/>
                      <w:sz w:val="21"/>
                      <w:szCs w:val="21"/>
                      <w:vertAlign w:val="subscript"/>
                      <w:lang w:val="en-US" w:eastAsia="zh-CN"/>
                    </w:rPr>
                    <w:t>5</w:t>
                  </w:r>
                  <w:r>
                    <w:rPr>
                      <w:rFonts w:hint="eastAsia" w:ascii="Times New Roman" w:hAnsi="Times New Roman" w:cs="Times New Roman"/>
                      <w:b w:val="0"/>
                      <w:bCs/>
                      <w:color w:val="000000"/>
                      <w:spacing w:val="-4"/>
                      <w:sz w:val="21"/>
                      <w:szCs w:val="21"/>
                      <w:vertAlign w:val="baseline"/>
                      <w:lang w:val="en-US" w:eastAsia="zh-CN"/>
                    </w:rPr>
                    <w:t>、</w:t>
                  </w:r>
                  <w:r>
                    <w:rPr>
                      <w:rFonts w:hint="default" w:ascii="Times New Roman" w:hAnsi="Times New Roman" w:cs="Times New Roman"/>
                      <w:b w:val="0"/>
                      <w:bCs/>
                      <w:color w:val="000000"/>
                      <w:spacing w:val="-4"/>
                      <w:sz w:val="21"/>
                      <w:szCs w:val="21"/>
                    </w:rPr>
                    <w:t>NH</w:t>
                  </w:r>
                  <w:r>
                    <w:rPr>
                      <w:rFonts w:hint="default" w:ascii="Times New Roman" w:hAnsi="Times New Roman" w:cs="Times New Roman"/>
                      <w:b w:val="0"/>
                      <w:bCs/>
                      <w:color w:val="000000"/>
                      <w:spacing w:val="-4"/>
                      <w:sz w:val="21"/>
                      <w:szCs w:val="21"/>
                      <w:vertAlign w:val="subscript"/>
                    </w:rPr>
                    <w:t>3</w:t>
                  </w:r>
                  <w:r>
                    <w:rPr>
                      <w:rFonts w:hint="default" w:ascii="Times New Roman" w:hAnsi="Times New Roman" w:cs="Times New Roman"/>
                      <w:b w:val="0"/>
                      <w:bCs/>
                      <w:color w:val="000000"/>
                      <w:spacing w:val="-4"/>
                      <w:sz w:val="21"/>
                      <w:szCs w:val="21"/>
                    </w:rPr>
                    <w:t>-N、SS、TP、TN</w:t>
                  </w:r>
                </w:p>
              </w:tc>
              <w:tc>
                <w:tcPr>
                  <w:tcW w:w="577" w:type="dxa"/>
                  <w:tcBorders>
                    <w:top w:val="single" w:color="auto" w:sz="4" w:space="0"/>
                    <w:left w:val="single" w:color="auto" w:sz="4" w:space="0"/>
                    <w:right w:val="single" w:color="auto" w:sz="4" w:space="0"/>
                  </w:tcBorders>
                  <w:noWrap w:val="0"/>
                  <w:vAlign w:val="center"/>
                </w:tcPr>
                <w:p w14:paraId="103C09D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城市污水处理厂</w:t>
                  </w:r>
                </w:p>
              </w:tc>
              <w:tc>
                <w:tcPr>
                  <w:tcW w:w="1025" w:type="dxa"/>
                  <w:tcBorders>
                    <w:top w:val="single" w:color="auto" w:sz="4" w:space="0"/>
                    <w:left w:val="single" w:color="auto" w:sz="4" w:space="0"/>
                    <w:right w:val="single" w:color="auto" w:sz="4" w:space="0"/>
                  </w:tcBorders>
                  <w:noWrap w:val="0"/>
                  <w:vAlign w:val="center"/>
                </w:tcPr>
                <w:p w14:paraId="2E68FE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间断排放，排放期间流量不稳定且无规律，但不属于冲击型排放</w:t>
                  </w:r>
                </w:p>
              </w:tc>
              <w:tc>
                <w:tcPr>
                  <w:tcW w:w="863" w:type="dxa"/>
                  <w:tcBorders>
                    <w:top w:val="single" w:color="auto" w:sz="4" w:space="0"/>
                    <w:left w:val="single" w:color="auto" w:sz="4" w:space="0"/>
                    <w:right w:val="single" w:color="auto" w:sz="4" w:space="0"/>
                  </w:tcBorders>
                  <w:noWrap w:val="0"/>
                  <w:vAlign w:val="center"/>
                </w:tcPr>
                <w:p w14:paraId="4B9788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000000"/>
                      <w:sz w:val="21"/>
                      <w:szCs w:val="21"/>
                      <w:lang w:val="en-US" w:eastAsia="zh-CN"/>
                    </w:rPr>
                  </w:pPr>
                  <w:r>
                    <w:rPr>
                      <w:rFonts w:hint="default" w:ascii="Times New Roman" w:hAnsi="Times New Roman" w:cs="Times New Roman"/>
                      <w:b w:val="0"/>
                      <w:bCs/>
                      <w:color w:val="000000"/>
                      <w:sz w:val="21"/>
                      <w:szCs w:val="21"/>
                    </w:rPr>
                    <w:t>TW001</w:t>
                  </w:r>
                </w:p>
              </w:tc>
              <w:tc>
                <w:tcPr>
                  <w:tcW w:w="606" w:type="dxa"/>
                  <w:tcBorders>
                    <w:top w:val="single" w:color="auto" w:sz="4" w:space="0"/>
                    <w:left w:val="single" w:color="auto" w:sz="4" w:space="0"/>
                    <w:right w:val="single" w:color="auto" w:sz="4" w:space="0"/>
                  </w:tcBorders>
                  <w:noWrap w:val="0"/>
                  <w:vAlign w:val="center"/>
                </w:tcPr>
                <w:p w14:paraId="63B384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000000"/>
                      <w:sz w:val="21"/>
                      <w:szCs w:val="21"/>
                      <w:lang w:eastAsia="zh-CN"/>
                    </w:rPr>
                  </w:pPr>
                  <w:r>
                    <w:rPr>
                      <w:rFonts w:hint="default" w:ascii="Times New Roman" w:hAnsi="Times New Roman" w:cs="Times New Roman"/>
                      <w:b w:val="0"/>
                      <w:bCs/>
                      <w:color w:val="000000"/>
                      <w:sz w:val="21"/>
                      <w:szCs w:val="21"/>
                    </w:rPr>
                    <w:t>生活污水处理系统</w:t>
                  </w:r>
                </w:p>
              </w:tc>
              <w:tc>
                <w:tcPr>
                  <w:tcW w:w="756" w:type="dxa"/>
                  <w:tcBorders>
                    <w:top w:val="single" w:color="auto" w:sz="4" w:space="0"/>
                    <w:left w:val="single" w:color="auto" w:sz="4" w:space="0"/>
                    <w:right w:val="single" w:color="auto" w:sz="4" w:space="0"/>
                  </w:tcBorders>
                  <w:noWrap w:val="0"/>
                  <w:vAlign w:val="center"/>
                </w:tcPr>
                <w:p w14:paraId="1711A5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b w:val="0"/>
                      <w:bCs/>
                      <w:color w:val="000000"/>
                      <w:sz w:val="21"/>
                      <w:szCs w:val="21"/>
                      <w:lang w:eastAsia="zh-CN"/>
                    </w:rPr>
                  </w:pPr>
                  <w:r>
                    <w:rPr>
                      <w:rFonts w:hint="default" w:ascii="Times New Roman" w:hAnsi="Times New Roman" w:cs="Times New Roman"/>
                      <w:b w:val="0"/>
                      <w:bCs/>
                      <w:color w:val="000000"/>
                      <w:sz w:val="21"/>
                      <w:szCs w:val="21"/>
                    </w:rPr>
                    <w:t>化粪池</w:t>
                  </w:r>
                </w:p>
              </w:tc>
              <w:tc>
                <w:tcPr>
                  <w:tcW w:w="501" w:type="dxa"/>
                  <w:tcBorders>
                    <w:top w:val="single" w:color="auto" w:sz="4" w:space="0"/>
                    <w:left w:val="single" w:color="auto" w:sz="4" w:space="0"/>
                    <w:right w:val="single" w:color="auto" w:sz="4" w:space="0"/>
                  </w:tcBorders>
                  <w:noWrap w:val="0"/>
                  <w:vAlign w:val="center"/>
                </w:tcPr>
                <w:p w14:paraId="058993E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DW001</w:t>
                  </w:r>
                </w:p>
              </w:tc>
              <w:tc>
                <w:tcPr>
                  <w:tcW w:w="872" w:type="dxa"/>
                  <w:tcBorders>
                    <w:top w:val="single" w:color="auto" w:sz="4" w:space="0"/>
                    <w:left w:val="single" w:color="auto" w:sz="4" w:space="0"/>
                    <w:right w:val="single" w:color="auto" w:sz="4" w:space="0"/>
                  </w:tcBorders>
                  <w:noWrap w:val="0"/>
                  <w:vAlign w:val="center"/>
                </w:tcPr>
                <w:p w14:paraId="2B525F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eastAsia="MS Mincho" w:cs="Times New Roman"/>
                      <w:b w:val="0"/>
                      <w:bCs/>
                      <w:color w:val="000000"/>
                      <w:sz w:val="21"/>
                      <w:szCs w:val="21"/>
                    </w:rPr>
                    <w:sym w:font="Wingdings" w:char="00FE"/>
                  </w:r>
                  <w:r>
                    <w:rPr>
                      <w:rFonts w:hint="default" w:ascii="Times New Roman" w:hAnsi="Times New Roman" w:cs="Times New Roman"/>
                      <w:b w:val="0"/>
                      <w:bCs/>
                      <w:color w:val="000000"/>
                      <w:sz w:val="21"/>
                      <w:szCs w:val="21"/>
                    </w:rPr>
                    <w:t>是</w:t>
                  </w:r>
                </w:p>
                <w:p w14:paraId="70747F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pacing w:val="-1"/>
                      <w:sz w:val="21"/>
                      <w:szCs w:val="21"/>
                    </w:rPr>
                    <w:sym w:font="Wingdings 2" w:char="00A3"/>
                  </w:r>
                  <w:r>
                    <w:rPr>
                      <w:rFonts w:hint="default" w:ascii="Times New Roman" w:hAnsi="Times New Roman" w:cs="Times New Roman"/>
                      <w:b w:val="0"/>
                      <w:bCs/>
                      <w:color w:val="000000"/>
                      <w:sz w:val="21"/>
                      <w:szCs w:val="21"/>
                    </w:rPr>
                    <w:t>否</w:t>
                  </w:r>
                </w:p>
              </w:tc>
              <w:tc>
                <w:tcPr>
                  <w:tcW w:w="1206" w:type="dxa"/>
                  <w:tcBorders>
                    <w:top w:val="single" w:color="auto" w:sz="4" w:space="0"/>
                    <w:left w:val="single" w:color="auto" w:sz="4" w:space="0"/>
                  </w:tcBorders>
                  <w:noWrap w:val="0"/>
                  <w:vAlign w:val="center"/>
                </w:tcPr>
                <w:p w14:paraId="7CA9B3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eastAsia="MS Mincho" w:cs="Times New Roman"/>
                      <w:b w:val="0"/>
                      <w:bCs/>
                      <w:color w:val="000000"/>
                      <w:sz w:val="21"/>
                      <w:szCs w:val="21"/>
                    </w:rPr>
                    <w:sym w:font="Wingdings" w:char="00FE"/>
                  </w:r>
                  <w:r>
                    <w:rPr>
                      <w:rFonts w:hint="default" w:ascii="Times New Roman" w:hAnsi="Times New Roman" w:cs="Times New Roman"/>
                      <w:b w:val="0"/>
                      <w:bCs/>
                      <w:color w:val="000000"/>
                      <w:sz w:val="21"/>
                      <w:szCs w:val="21"/>
                    </w:rPr>
                    <w:t>企业总排</w:t>
                  </w:r>
                </w:p>
                <w:p w14:paraId="03A795F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pacing w:val="-1"/>
                      <w:sz w:val="21"/>
                      <w:szCs w:val="21"/>
                    </w:rPr>
                    <w:sym w:font="Wingdings 2" w:char="00A3"/>
                  </w:r>
                  <w:r>
                    <w:rPr>
                      <w:rFonts w:hint="default" w:ascii="Times New Roman" w:hAnsi="Times New Roman" w:cs="Times New Roman"/>
                      <w:b w:val="0"/>
                      <w:bCs/>
                      <w:color w:val="000000"/>
                      <w:sz w:val="21"/>
                      <w:szCs w:val="21"/>
                    </w:rPr>
                    <w:t>雨水排放</w:t>
                  </w:r>
                </w:p>
                <w:p w14:paraId="5D493CE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pacing w:val="-1"/>
                      <w:sz w:val="21"/>
                      <w:szCs w:val="21"/>
                    </w:rPr>
                    <w:sym w:font="Wingdings 2" w:char="00A3"/>
                  </w:r>
                  <w:r>
                    <w:rPr>
                      <w:rFonts w:hint="default" w:ascii="Times New Roman" w:hAnsi="Times New Roman" w:cs="Times New Roman"/>
                      <w:b w:val="0"/>
                      <w:bCs/>
                      <w:color w:val="000000"/>
                      <w:sz w:val="21"/>
                      <w:szCs w:val="21"/>
                    </w:rPr>
                    <w:t>清净下水排放</w:t>
                  </w:r>
                </w:p>
                <w:p w14:paraId="3144DFA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pacing w:val="-1"/>
                      <w:sz w:val="21"/>
                      <w:szCs w:val="21"/>
                    </w:rPr>
                    <w:sym w:font="Wingdings 2" w:char="00A3"/>
                  </w:r>
                  <w:r>
                    <w:rPr>
                      <w:rFonts w:hint="default" w:ascii="Times New Roman" w:hAnsi="Times New Roman" w:cs="Times New Roman"/>
                      <w:b w:val="0"/>
                      <w:bCs/>
                      <w:color w:val="000000"/>
                      <w:sz w:val="21"/>
                      <w:szCs w:val="21"/>
                    </w:rPr>
                    <w:t>温排水排放</w:t>
                  </w:r>
                </w:p>
                <w:p w14:paraId="1BCFCAF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pacing w:val="-1"/>
                      <w:sz w:val="21"/>
                      <w:szCs w:val="21"/>
                    </w:rPr>
                    <w:sym w:font="Wingdings 2" w:char="00A3"/>
                  </w:r>
                  <w:r>
                    <w:rPr>
                      <w:rFonts w:hint="default" w:ascii="Times New Roman" w:hAnsi="Times New Roman" w:cs="Times New Roman"/>
                      <w:b w:val="0"/>
                      <w:bCs/>
                      <w:color w:val="000000"/>
                      <w:sz w:val="21"/>
                      <w:szCs w:val="21"/>
                    </w:rPr>
                    <w:t>车间或车间处理设施排放口排放</w:t>
                  </w:r>
                </w:p>
              </w:tc>
            </w:tr>
          </w:tbl>
          <w:p w14:paraId="42A96B24">
            <w:pPr>
              <w:keepNext w:val="0"/>
              <w:keepLines w:val="0"/>
              <w:pageBreakBefore w:val="0"/>
              <w:widowControl w:val="0"/>
              <w:kinsoku/>
              <w:wordWrap/>
              <w:overflowPunct/>
              <w:topLinePunct w:val="0"/>
              <w:autoSpaceDE/>
              <w:autoSpaceDN/>
              <w:bidi w:val="0"/>
              <w:spacing w:line="520" w:lineRule="exact"/>
              <w:ind w:left="0" w:leftChars="0" w:firstLine="480" w:firstLineChars="200"/>
              <w:textAlignment w:val="auto"/>
              <w:rPr>
                <w:rFonts w:hint="default" w:ascii="Times New Roman" w:hAnsi="Times New Roman" w:eastAsia="黑体" w:cs="Times New Roman"/>
                <w:color w:val="000000"/>
                <w:szCs w:val="22"/>
                <w:lang w:val="pt-BR"/>
              </w:rPr>
            </w:pPr>
            <w:r>
              <w:rPr>
                <w:rFonts w:hint="default" w:ascii="Times New Roman" w:hAnsi="Times New Roman" w:cs="Times New Roman"/>
                <w:color w:val="000000"/>
              </w:rPr>
              <w:t>②废水间接排放口基本情况</w:t>
            </w:r>
          </w:p>
          <w:p w14:paraId="2408415B">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eastAsia="黑体" w:cs="Times New Roman"/>
                <w:color w:val="000000"/>
                <w:szCs w:val="22"/>
                <w:lang w:val="pt-BR"/>
              </w:rPr>
            </w:pPr>
            <w:r>
              <w:rPr>
                <w:rFonts w:hint="default" w:ascii="Times New Roman" w:hAnsi="Times New Roman" w:eastAsia="黑体" w:cs="Times New Roman"/>
                <w:color w:val="000000"/>
                <w:szCs w:val="22"/>
                <w:lang w:val="pt-BR"/>
              </w:rPr>
              <w:t>表</w:t>
            </w:r>
            <w:r>
              <w:rPr>
                <w:rFonts w:hint="default" w:ascii="Times New Roman" w:hAnsi="Times New Roman" w:eastAsia="黑体" w:cs="Times New Roman"/>
                <w:color w:val="000000"/>
                <w:szCs w:val="22"/>
                <w:lang w:val="en-US" w:eastAsia="zh-CN"/>
              </w:rPr>
              <w:t>4-</w:t>
            </w:r>
            <w:r>
              <w:rPr>
                <w:rFonts w:hint="eastAsia" w:eastAsia="黑体" w:cs="Times New Roman"/>
                <w:color w:val="000000"/>
                <w:szCs w:val="22"/>
                <w:lang w:val="en-US" w:eastAsia="zh-CN"/>
              </w:rPr>
              <w:t>2</w:t>
            </w:r>
            <w:r>
              <w:rPr>
                <w:rFonts w:hint="default" w:ascii="Times New Roman" w:hAnsi="Times New Roman" w:eastAsia="黑体" w:cs="Times New Roman"/>
                <w:color w:val="000000"/>
                <w:szCs w:val="22"/>
                <w:lang w:val="pt-BR"/>
              </w:rPr>
              <w:t xml:space="preserve">           废水间接排放口基本情况表</w:t>
            </w:r>
          </w:p>
          <w:tbl>
            <w:tblPr>
              <w:tblStyle w:val="25"/>
              <w:tblW w:w="81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18"/>
              <w:gridCol w:w="702"/>
              <w:gridCol w:w="876"/>
              <w:gridCol w:w="875"/>
              <w:gridCol w:w="733"/>
              <w:gridCol w:w="581"/>
              <w:gridCol w:w="584"/>
              <w:gridCol w:w="730"/>
              <w:gridCol w:w="777"/>
              <w:gridCol w:w="750"/>
              <w:gridCol w:w="1193"/>
            </w:tblGrid>
            <w:tr w14:paraId="08AE3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18" w:type="dxa"/>
                  <w:vMerge w:val="restart"/>
                  <w:tcBorders>
                    <w:bottom w:val="single" w:color="auto" w:sz="4" w:space="0"/>
                    <w:right w:val="single" w:color="auto" w:sz="4" w:space="0"/>
                  </w:tcBorders>
                  <w:noWrap w:val="0"/>
                  <w:tcMar>
                    <w:left w:w="0" w:type="dxa"/>
                    <w:right w:w="0" w:type="dxa"/>
                  </w:tcMar>
                  <w:vAlign w:val="center"/>
                </w:tcPr>
                <w:p w14:paraId="3D31888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序号</w:t>
                  </w:r>
                </w:p>
              </w:tc>
              <w:tc>
                <w:tcPr>
                  <w:tcW w:w="702" w:type="dxa"/>
                  <w:vMerge w:val="restart"/>
                  <w:tcBorders>
                    <w:left w:val="single" w:color="auto" w:sz="4" w:space="0"/>
                    <w:bottom w:val="single" w:color="auto" w:sz="4" w:space="0"/>
                    <w:right w:val="single" w:color="auto" w:sz="4" w:space="0"/>
                  </w:tcBorders>
                  <w:noWrap w:val="0"/>
                  <w:vAlign w:val="center"/>
                </w:tcPr>
                <w:p w14:paraId="01FD685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排放口编号</w:t>
                  </w:r>
                </w:p>
              </w:tc>
              <w:tc>
                <w:tcPr>
                  <w:tcW w:w="1751" w:type="dxa"/>
                  <w:gridSpan w:val="2"/>
                  <w:tcBorders>
                    <w:left w:val="single" w:color="auto" w:sz="4" w:space="0"/>
                    <w:bottom w:val="single" w:color="auto" w:sz="4" w:space="0"/>
                    <w:right w:val="single" w:color="auto" w:sz="4" w:space="0"/>
                  </w:tcBorders>
                  <w:noWrap w:val="0"/>
                  <w:vAlign w:val="center"/>
                </w:tcPr>
                <w:p w14:paraId="429C490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排放口地理坐标</w:t>
                  </w:r>
                </w:p>
              </w:tc>
              <w:tc>
                <w:tcPr>
                  <w:tcW w:w="733" w:type="dxa"/>
                  <w:vMerge w:val="restart"/>
                  <w:tcBorders>
                    <w:left w:val="single" w:color="auto" w:sz="4" w:space="0"/>
                    <w:bottom w:val="single" w:color="auto" w:sz="4" w:space="0"/>
                    <w:right w:val="single" w:color="auto" w:sz="4" w:space="0"/>
                  </w:tcBorders>
                  <w:noWrap w:val="0"/>
                  <w:vAlign w:val="center"/>
                </w:tcPr>
                <w:p w14:paraId="698A8E1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废水排放量/（</w:t>
                  </w:r>
                  <w:r>
                    <w:rPr>
                      <w:rFonts w:hint="eastAsia" w:ascii="Times New Roman" w:hAnsi="Times New Roman" w:cs="Times New Roman"/>
                      <w:b w:val="0"/>
                      <w:bCs/>
                      <w:color w:val="000000"/>
                      <w:sz w:val="21"/>
                      <w:szCs w:val="21"/>
                      <w:lang w:val="en-US" w:eastAsia="zh-CN"/>
                    </w:rPr>
                    <w:t>m</w:t>
                  </w:r>
                  <w:r>
                    <w:rPr>
                      <w:rFonts w:hint="eastAsia" w:ascii="Times New Roman" w:hAnsi="Times New Roman" w:cs="Times New Roman"/>
                      <w:b w:val="0"/>
                      <w:bCs/>
                      <w:color w:val="000000"/>
                      <w:sz w:val="21"/>
                      <w:szCs w:val="21"/>
                      <w:vertAlign w:val="superscript"/>
                      <w:lang w:val="en-US" w:eastAsia="zh-CN"/>
                    </w:rPr>
                    <w:t>3</w:t>
                  </w:r>
                  <w:r>
                    <w:rPr>
                      <w:rFonts w:hint="default" w:ascii="Times New Roman" w:hAnsi="Times New Roman" w:cs="Times New Roman"/>
                      <w:b w:val="0"/>
                      <w:bCs/>
                      <w:color w:val="000000"/>
                      <w:sz w:val="21"/>
                      <w:szCs w:val="21"/>
                    </w:rPr>
                    <w:t>/a）</w:t>
                  </w:r>
                </w:p>
              </w:tc>
              <w:tc>
                <w:tcPr>
                  <w:tcW w:w="581" w:type="dxa"/>
                  <w:vMerge w:val="restart"/>
                  <w:tcBorders>
                    <w:left w:val="single" w:color="auto" w:sz="4" w:space="0"/>
                    <w:bottom w:val="single" w:color="auto" w:sz="4" w:space="0"/>
                    <w:right w:val="single" w:color="auto" w:sz="4" w:space="0"/>
                  </w:tcBorders>
                  <w:noWrap w:val="0"/>
                  <w:vAlign w:val="center"/>
                </w:tcPr>
                <w:p w14:paraId="1890BDB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排放去向</w:t>
                  </w:r>
                </w:p>
              </w:tc>
              <w:tc>
                <w:tcPr>
                  <w:tcW w:w="584" w:type="dxa"/>
                  <w:vMerge w:val="restart"/>
                  <w:tcBorders>
                    <w:left w:val="single" w:color="auto" w:sz="4" w:space="0"/>
                    <w:bottom w:val="single" w:color="auto" w:sz="4" w:space="0"/>
                    <w:right w:val="single" w:color="auto" w:sz="4" w:space="0"/>
                  </w:tcBorders>
                  <w:noWrap w:val="0"/>
                  <w:vAlign w:val="center"/>
                </w:tcPr>
                <w:p w14:paraId="16CF5AA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排放规律</w:t>
                  </w:r>
                </w:p>
              </w:tc>
              <w:tc>
                <w:tcPr>
                  <w:tcW w:w="730" w:type="dxa"/>
                  <w:vMerge w:val="restart"/>
                  <w:tcBorders>
                    <w:left w:val="single" w:color="auto" w:sz="4" w:space="0"/>
                    <w:bottom w:val="single" w:color="auto" w:sz="4" w:space="0"/>
                    <w:right w:val="single" w:color="auto" w:sz="4" w:space="0"/>
                  </w:tcBorders>
                  <w:noWrap w:val="0"/>
                  <w:vAlign w:val="center"/>
                </w:tcPr>
                <w:p w14:paraId="6A0E352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间歇排放时段</w:t>
                  </w:r>
                </w:p>
              </w:tc>
              <w:tc>
                <w:tcPr>
                  <w:tcW w:w="2720" w:type="dxa"/>
                  <w:gridSpan w:val="3"/>
                  <w:tcBorders>
                    <w:left w:val="single" w:color="auto" w:sz="4" w:space="0"/>
                    <w:bottom w:val="single" w:color="auto" w:sz="4" w:space="0"/>
                  </w:tcBorders>
                  <w:noWrap w:val="0"/>
                  <w:vAlign w:val="center"/>
                </w:tcPr>
                <w:p w14:paraId="46C5F7F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受纳污水处理厂信息</w:t>
                  </w:r>
                </w:p>
              </w:tc>
            </w:tr>
            <w:tr w14:paraId="39921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18" w:type="dxa"/>
                  <w:vMerge w:val="continue"/>
                  <w:tcBorders>
                    <w:top w:val="single" w:color="auto" w:sz="4" w:space="0"/>
                    <w:bottom w:val="single" w:color="auto" w:sz="4" w:space="0"/>
                    <w:right w:val="single" w:color="auto" w:sz="4" w:space="0"/>
                  </w:tcBorders>
                  <w:noWrap w:val="0"/>
                  <w:tcMar>
                    <w:left w:w="0" w:type="dxa"/>
                    <w:right w:w="0" w:type="dxa"/>
                  </w:tcMar>
                  <w:vAlign w:val="center"/>
                </w:tcPr>
                <w:p w14:paraId="113228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02" w:type="dxa"/>
                  <w:vMerge w:val="continue"/>
                  <w:tcBorders>
                    <w:top w:val="single" w:color="auto" w:sz="4" w:space="0"/>
                    <w:left w:val="single" w:color="auto" w:sz="4" w:space="0"/>
                    <w:bottom w:val="single" w:color="auto" w:sz="4" w:space="0"/>
                    <w:right w:val="single" w:color="auto" w:sz="4" w:space="0"/>
                  </w:tcBorders>
                  <w:noWrap w:val="0"/>
                  <w:vAlign w:val="center"/>
                </w:tcPr>
                <w:p w14:paraId="2BE299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876" w:type="dxa"/>
                  <w:tcBorders>
                    <w:top w:val="single" w:color="auto" w:sz="4" w:space="0"/>
                    <w:left w:val="single" w:color="auto" w:sz="4" w:space="0"/>
                    <w:bottom w:val="single" w:color="auto" w:sz="4" w:space="0"/>
                    <w:right w:val="single" w:color="auto" w:sz="4" w:space="0"/>
                  </w:tcBorders>
                  <w:noWrap w:val="0"/>
                  <w:vAlign w:val="center"/>
                </w:tcPr>
                <w:p w14:paraId="4902CBB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经度</w:t>
                  </w:r>
                </w:p>
              </w:tc>
              <w:tc>
                <w:tcPr>
                  <w:tcW w:w="875" w:type="dxa"/>
                  <w:tcBorders>
                    <w:top w:val="single" w:color="auto" w:sz="4" w:space="0"/>
                    <w:left w:val="single" w:color="auto" w:sz="4" w:space="0"/>
                    <w:bottom w:val="single" w:color="auto" w:sz="4" w:space="0"/>
                    <w:right w:val="single" w:color="auto" w:sz="4" w:space="0"/>
                  </w:tcBorders>
                  <w:noWrap w:val="0"/>
                  <w:vAlign w:val="center"/>
                </w:tcPr>
                <w:p w14:paraId="474EFEA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纬度</w:t>
                  </w:r>
                </w:p>
              </w:tc>
              <w:tc>
                <w:tcPr>
                  <w:tcW w:w="733" w:type="dxa"/>
                  <w:vMerge w:val="continue"/>
                  <w:tcBorders>
                    <w:top w:val="single" w:color="auto" w:sz="4" w:space="0"/>
                    <w:left w:val="single" w:color="auto" w:sz="4" w:space="0"/>
                    <w:bottom w:val="single" w:color="auto" w:sz="4" w:space="0"/>
                    <w:right w:val="single" w:color="auto" w:sz="4" w:space="0"/>
                  </w:tcBorders>
                  <w:noWrap w:val="0"/>
                  <w:vAlign w:val="center"/>
                </w:tcPr>
                <w:p w14:paraId="789BA4F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581" w:type="dxa"/>
                  <w:vMerge w:val="continue"/>
                  <w:tcBorders>
                    <w:top w:val="single" w:color="auto" w:sz="4" w:space="0"/>
                    <w:left w:val="single" w:color="auto" w:sz="4" w:space="0"/>
                    <w:bottom w:val="single" w:color="auto" w:sz="4" w:space="0"/>
                    <w:right w:val="single" w:color="auto" w:sz="4" w:space="0"/>
                  </w:tcBorders>
                  <w:noWrap w:val="0"/>
                  <w:vAlign w:val="center"/>
                </w:tcPr>
                <w:p w14:paraId="1FB6965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584" w:type="dxa"/>
                  <w:vMerge w:val="continue"/>
                  <w:tcBorders>
                    <w:top w:val="single" w:color="auto" w:sz="4" w:space="0"/>
                    <w:left w:val="single" w:color="auto" w:sz="4" w:space="0"/>
                    <w:bottom w:val="single" w:color="auto" w:sz="4" w:space="0"/>
                    <w:right w:val="single" w:color="auto" w:sz="4" w:space="0"/>
                  </w:tcBorders>
                  <w:noWrap w:val="0"/>
                  <w:vAlign w:val="center"/>
                </w:tcPr>
                <w:p w14:paraId="4A9BD6C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30" w:type="dxa"/>
                  <w:vMerge w:val="continue"/>
                  <w:tcBorders>
                    <w:top w:val="single" w:color="auto" w:sz="4" w:space="0"/>
                    <w:left w:val="single" w:color="auto" w:sz="4" w:space="0"/>
                    <w:bottom w:val="single" w:color="auto" w:sz="4" w:space="0"/>
                    <w:right w:val="single" w:color="auto" w:sz="4" w:space="0"/>
                  </w:tcBorders>
                  <w:noWrap w:val="0"/>
                  <w:vAlign w:val="center"/>
                </w:tcPr>
                <w:p w14:paraId="100A18C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77" w:type="dxa"/>
                  <w:tcBorders>
                    <w:top w:val="single" w:color="auto" w:sz="4" w:space="0"/>
                    <w:left w:val="single" w:color="auto" w:sz="4" w:space="0"/>
                    <w:bottom w:val="single" w:color="auto" w:sz="4" w:space="0"/>
                    <w:right w:val="single" w:color="auto" w:sz="4" w:space="0"/>
                  </w:tcBorders>
                  <w:noWrap w:val="0"/>
                  <w:vAlign w:val="center"/>
                </w:tcPr>
                <w:p w14:paraId="357201F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名称</w:t>
                  </w:r>
                </w:p>
              </w:tc>
              <w:tc>
                <w:tcPr>
                  <w:tcW w:w="750" w:type="dxa"/>
                  <w:tcBorders>
                    <w:top w:val="single" w:color="auto" w:sz="4" w:space="0"/>
                    <w:left w:val="single" w:color="auto" w:sz="4" w:space="0"/>
                    <w:bottom w:val="single" w:color="auto" w:sz="4" w:space="0"/>
                    <w:right w:val="single" w:color="auto" w:sz="4" w:space="0"/>
                  </w:tcBorders>
                  <w:noWrap w:val="0"/>
                  <w:vAlign w:val="center"/>
                </w:tcPr>
                <w:p w14:paraId="522544D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污染物种类</w:t>
                  </w:r>
                </w:p>
              </w:tc>
              <w:tc>
                <w:tcPr>
                  <w:tcW w:w="1193" w:type="dxa"/>
                  <w:tcBorders>
                    <w:top w:val="single" w:color="auto" w:sz="4" w:space="0"/>
                    <w:left w:val="single" w:color="auto" w:sz="4" w:space="0"/>
                    <w:bottom w:val="single" w:color="auto" w:sz="4" w:space="0"/>
                  </w:tcBorders>
                  <w:noWrap w:val="0"/>
                  <w:vAlign w:val="center"/>
                </w:tcPr>
                <w:p w14:paraId="7CCA53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国家或地方污染物排放标准浓度限值/（mg/L）</w:t>
                  </w:r>
                </w:p>
              </w:tc>
            </w:tr>
            <w:tr w14:paraId="6AEA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18" w:type="dxa"/>
                  <w:vMerge w:val="restart"/>
                  <w:tcBorders>
                    <w:top w:val="single" w:color="auto" w:sz="4" w:space="0"/>
                    <w:right w:val="single" w:color="auto" w:sz="4" w:space="0"/>
                  </w:tcBorders>
                  <w:noWrap w:val="0"/>
                  <w:tcMar>
                    <w:left w:w="0" w:type="dxa"/>
                    <w:right w:w="0" w:type="dxa"/>
                  </w:tcMar>
                  <w:vAlign w:val="center"/>
                </w:tcPr>
                <w:p w14:paraId="2F8158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1</w:t>
                  </w:r>
                </w:p>
              </w:tc>
              <w:tc>
                <w:tcPr>
                  <w:tcW w:w="702" w:type="dxa"/>
                  <w:vMerge w:val="restart"/>
                  <w:tcBorders>
                    <w:top w:val="single" w:color="auto" w:sz="4" w:space="0"/>
                    <w:left w:val="single" w:color="auto" w:sz="4" w:space="0"/>
                    <w:right w:val="single" w:color="auto" w:sz="4" w:space="0"/>
                  </w:tcBorders>
                  <w:noWrap w:val="0"/>
                  <w:vAlign w:val="center"/>
                </w:tcPr>
                <w:p w14:paraId="3D0817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DW001</w:t>
                  </w:r>
                </w:p>
              </w:tc>
              <w:tc>
                <w:tcPr>
                  <w:tcW w:w="876" w:type="dxa"/>
                  <w:vMerge w:val="restart"/>
                  <w:tcBorders>
                    <w:top w:val="single" w:color="auto" w:sz="4" w:space="0"/>
                    <w:left w:val="single" w:color="auto" w:sz="4" w:space="0"/>
                    <w:right w:val="single" w:color="auto" w:sz="4" w:space="0"/>
                  </w:tcBorders>
                  <w:noWrap w:val="0"/>
                  <w:vAlign w:val="center"/>
                </w:tcPr>
                <w:p w14:paraId="2458435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113.473642</w:t>
                  </w:r>
                </w:p>
              </w:tc>
              <w:tc>
                <w:tcPr>
                  <w:tcW w:w="875" w:type="dxa"/>
                  <w:vMerge w:val="restart"/>
                  <w:tcBorders>
                    <w:top w:val="single" w:color="auto" w:sz="4" w:space="0"/>
                    <w:left w:val="single" w:color="auto" w:sz="4" w:space="0"/>
                    <w:right w:val="single" w:color="auto" w:sz="4" w:space="0"/>
                  </w:tcBorders>
                  <w:noWrap w:val="0"/>
                  <w:vAlign w:val="center"/>
                </w:tcPr>
                <w:p w14:paraId="3050C91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35.125943</w:t>
                  </w:r>
                </w:p>
              </w:tc>
              <w:tc>
                <w:tcPr>
                  <w:tcW w:w="733" w:type="dxa"/>
                  <w:vMerge w:val="restart"/>
                  <w:tcBorders>
                    <w:top w:val="single" w:color="auto" w:sz="4" w:space="0"/>
                    <w:left w:val="single" w:color="auto" w:sz="4" w:space="0"/>
                    <w:right w:val="single" w:color="auto" w:sz="4" w:space="0"/>
                  </w:tcBorders>
                  <w:noWrap w:val="0"/>
                  <w:vAlign w:val="center"/>
                </w:tcPr>
                <w:p w14:paraId="47FD0E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000000"/>
                      <w:sz w:val="21"/>
                      <w:szCs w:val="21"/>
                      <w:lang w:val="en-US" w:eastAsia="zh-CN"/>
                    </w:rPr>
                  </w:pPr>
                  <w:r>
                    <w:rPr>
                      <w:rFonts w:hint="eastAsia" w:ascii="Times New Roman" w:hAnsi="Times New Roman" w:cs="Times New Roman"/>
                      <w:b w:val="0"/>
                      <w:bCs/>
                      <w:color w:val="000000"/>
                      <w:sz w:val="21"/>
                      <w:szCs w:val="21"/>
                      <w:lang w:val="en-US" w:eastAsia="zh-CN"/>
                    </w:rPr>
                    <w:t>249.6</w:t>
                  </w:r>
                </w:p>
              </w:tc>
              <w:tc>
                <w:tcPr>
                  <w:tcW w:w="581" w:type="dxa"/>
                  <w:vMerge w:val="restart"/>
                  <w:tcBorders>
                    <w:top w:val="single" w:color="auto" w:sz="4" w:space="0"/>
                    <w:left w:val="single" w:color="auto" w:sz="4" w:space="0"/>
                    <w:right w:val="single" w:color="auto" w:sz="4" w:space="0"/>
                  </w:tcBorders>
                  <w:noWrap w:val="0"/>
                  <w:vAlign w:val="center"/>
                </w:tcPr>
                <w:p w14:paraId="2553D9D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城镇污水处理厂</w:t>
                  </w:r>
                </w:p>
              </w:tc>
              <w:tc>
                <w:tcPr>
                  <w:tcW w:w="584" w:type="dxa"/>
                  <w:vMerge w:val="restart"/>
                  <w:tcBorders>
                    <w:top w:val="single" w:color="auto" w:sz="4" w:space="0"/>
                    <w:left w:val="single" w:color="auto" w:sz="4" w:space="0"/>
                    <w:right w:val="single" w:color="auto" w:sz="4" w:space="0"/>
                  </w:tcBorders>
                  <w:noWrap w:val="0"/>
                  <w:vAlign w:val="center"/>
                </w:tcPr>
                <w:p w14:paraId="502AFA5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间断排放</w:t>
                  </w:r>
                </w:p>
              </w:tc>
              <w:tc>
                <w:tcPr>
                  <w:tcW w:w="730" w:type="dxa"/>
                  <w:vMerge w:val="restart"/>
                  <w:tcBorders>
                    <w:top w:val="single" w:color="auto" w:sz="4" w:space="0"/>
                    <w:left w:val="single" w:color="auto" w:sz="4" w:space="0"/>
                    <w:right w:val="single" w:color="auto" w:sz="4" w:space="0"/>
                  </w:tcBorders>
                  <w:noWrap w:val="0"/>
                  <w:vAlign w:val="center"/>
                </w:tcPr>
                <w:p w14:paraId="641F693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default" w:ascii="Times New Roman" w:hAnsi="Times New Roman" w:cs="Times New Roman"/>
                      <w:b w:val="0"/>
                      <w:bCs/>
                      <w:color w:val="000000"/>
                      <w:sz w:val="21"/>
                      <w:szCs w:val="21"/>
                    </w:rPr>
                    <w:t>08:00~</w:t>
                  </w:r>
                </w:p>
                <w:p w14:paraId="25AF452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000000"/>
                      <w:sz w:val="21"/>
                      <w:szCs w:val="21"/>
                      <w:lang w:val="en-US" w:eastAsia="zh-CN"/>
                    </w:rPr>
                  </w:pPr>
                  <w:r>
                    <w:rPr>
                      <w:rFonts w:hint="default" w:ascii="Times New Roman" w:hAnsi="Times New Roman" w:eastAsia="宋体" w:cs="Times New Roman"/>
                      <w:b w:val="0"/>
                      <w:bCs/>
                      <w:color w:val="000000"/>
                      <w:sz w:val="21"/>
                      <w:szCs w:val="21"/>
                      <w:lang w:val="en-US" w:eastAsia="zh-CN"/>
                    </w:rPr>
                    <w:t>18:00</w:t>
                  </w:r>
                </w:p>
              </w:tc>
              <w:tc>
                <w:tcPr>
                  <w:tcW w:w="777" w:type="dxa"/>
                  <w:vMerge w:val="restart"/>
                  <w:tcBorders>
                    <w:top w:val="single" w:color="auto" w:sz="4" w:space="0"/>
                    <w:left w:val="single" w:color="auto" w:sz="4" w:space="0"/>
                    <w:right w:val="single" w:color="auto" w:sz="4" w:space="0"/>
                  </w:tcBorders>
                  <w:noWrap w:val="0"/>
                  <w:vAlign w:val="center"/>
                </w:tcPr>
                <w:p w14:paraId="32E79BB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r>
                    <w:rPr>
                      <w:rFonts w:hint="eastAsia" w:ascii="Times New Roman" w:hAnsi="Times New Roman" w:cs="Times New Roman"/>
                      <w:b w:val="0"/>
                      <w:bCs/>
                      <w:color w:val="000000"/>
                      <w:sz w:val="21"/>
                      <w:szCs w:val="21"/>
                      <w:lang w:eastAsia="zh-CN"/>
                    </w:rPr>
                    <w:t>新乡</w:t>
                  </w:r>
                  <w:r>
                    <w:rPr>
                      <w:rFonts w:hint="eastAsia" w:cs="Times New Roman"/>
                      <w:b w:val="0"/>
                      <w:bCs/>
                      <w:color w:val="000000"/>
                      <w:sz w:val="21"/>
                      <w:szCs w:val="21"/>
                      <w:lang w:eastAsia="zh-CN"/>
                    </w:rPr>
                    <w:t>县</w:t>
                  </w:r>
                  <w:r>
                    <w:rPr>
                      <w:rFonts w:hint="eastAsia" w:ascii="Times New Roman" w:hAnsi="Times New Roman" w:cs="Times New Roman"/>
                      <w:b w:val="0"/>
                      <w:bCs/>
                      <w:color w:val="000000"/>
                      <w:sz w:val="21"/>
                      <w:szCs w:val="21"/>
                      <w:lang w:eastAsia="zh-CN"/>
                    </w:rPr>
                    <w:t>综合污水处理厂</w:t>
                  </w:r>
                </w:p>
              </w:tc>
              <w:tc>
                <w:tcPr>
                  <w:tcW w:w="750" w:type="dxa"/>
                  <w:tcBorders>
                    <w:top w:val="single" w:color="auto" w:sz="4" w:space="0"/>
                    <w:left w:val="single" w:color="auto" w:sz="4" w:space="0"/>
                    <w:bottom w:val="single" w:color="auto" w:sz="4" w:space="0"/>
                    <w:right w:val="single" w:color="auto" w:sz="4" w:space="0"/>
                  </w:tcBorders>
                  <w:noWrap w:val="0"/>
                  <w:vAlign w:val="center"/>
                </w:tcPr>
                <w:p w14:paraId="351ED98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kern w:val="2"/>
                      <w:sz w:val="21"/>
                      <w:szCs w:val="21"/>
                      <w:highlight w:val="none"/>
                      <w:lang w:val="en-US" w:eastAsia="zh-CN" w:bidi="ar-SA"/>
                    </w:rPr>
                  </w:pPr>
                  <w:r>
                    <w:rPr>
                      <w:bCs/>
                      <w:color w:val="000000"/>
                      <w:spacing w:val="-4"/>
                      <w:sz w:val="21"/>
                      <w:szCs w:val="21"/>
                      <w:highlight w:val="none"/>
                    </w:rPr>
                    <w:t>COD</w:t>
                  </w:r>
                </w:p>
              </w:tc>
              <w:tc>
                <w:tcPr>
                  <w:tcW w:w="1193" w:type="dxa"/>
                  <w:tcBorders>
                    <w:top w:val="single" w:color="auto" w:sz="4" w:space="0"/>
                    <w:left w:val="single" w:color="auto" w:sz="4" w:space="0"/>
                    <w:bottom w:val="single" w:color="auto" w:sz="4" w:space="0"/>
                  </w:tcBorders>
                  <w:noWrap w:val="0"/>
                  <w:vAlign w:val="center"/>
                </w:tcPr>
                <w:p w14:paraId="3A87F0E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000000"/>
                      <w:kern w:val="2"/>
                      <w:sz w:val="21"/>
                      <w:szCs w:val="21"/>
                      <w:highlight w:val="none"/>
                      <w:lang w:val="en-US" w:eastAsia="zh-CN" w:bidi="ar-SA"/>
                    </w:rPr>
                  </w:pPr>
                  <w:r>
                    <w:rPr>
                      <w:rFonts w:hint="eastAsia"/>
                      <w:color w:val="000000"/>
                      <w:sz w:val="21"/>
                      <w:szCs w:val="21"/>
                      <w:highlight w:val="none"/>
                      <w:lang w:val="en-US" w:eastAsia="zh-CN"/>
                    </w:rPr>
                    <w:t>40</w:t>
                  </w:r>
                </w:p>
              </w:tc>
            </w:tr>
            <w:tr w14:paraId="3C31F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18" w:type="dxa"/>
                  <w:vMerge w:val="continue"/>
                  <w:tcBorders>
                    <w:right w:val="single" w:color="auto" w:sz="4" w:space="0"/>
                  </w:tcBorders>
                  <w:noWrap w:val="0"/>
                  <w:tcMar>
                    <w:left w:w="0" w:type="dxa"/>
                    <w:right w:w="0" w:type="dxa"/>
                  </w:tcMar>
                  <w:vAlign w:val="center"/>
                </w:tcPr>
                <w:p w14:paraId="274C841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02" w:type="dxa"/>
                  <w:vMerge w:val="continue"/>
                  <w:tcBorders>
                    <w:left w:val="single" w:color="auto" w:sz="4" w:space="0"/>
                    <w:right w:val="single" w:color="auto" w:sz="4" w:space="0"/>
                  </w:tcBorders>
                  <w:noWrap w:val="0"/>
                  <w:vAlign w:val="center"/>
                </w:tcPr>
                <w:p w14:paraId="76EA7EB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876" w:type="dxa"/>
                  <w:vMerge w:val="continue"/>
                  <w:tcBorders>
                    <w:left w:val="single" w:color="auto" w:sz="4" w:space="0"/>
                    <w:right w:val="single" w:color="auto" w:sz="4" w:space="0"/>
                  </w:tcBorders>
                  <w:noWrap w:val="0"/>
                  <w:vAlign w:val="center"/>
                </w:tcPr>
                <w:p w14:paraId="572E63C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rPr>
                  </w:pPr>
                </w:p>
              </w:tc>
              <w:tc>
                <w:tcPr>
                  <w:tcW w:w="875" w:type="dxa"/>
                  <w:vMerge w:val="continue"/>
                  <w:tcBorders>
                    <w:left w:val="single" w:color="auto" w:sz="4" w:space="0"/>
                    <w:right w:val="single" w:color="auto" w:sz="4" w:space="0"/>
                  </w:tcBorders>
                  <w:noWrap w:val="0"/>
                  <w:vAlign w:val="center"/>
                </w:tcPr>
                <w:p w14:paraId="671DA49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auto"/>
                      <w:sz w:val="21"/>
                      <w:szCs w:val="21"/>
                    </w:rPr>
                  </w:pPr>
                </w:p>
              </w:tc>
              <w:tc>
                <w:tcPr>
                  <w:tcW w:w="733" w:type="dxa"/>
                  <w:vMerge w:val="continue"/>
                  <w:tcBorders>
                    <w:left w:val="single" w:color="auto" w:sz="4" w:space="0"/>
                    <w:right w:val="single" w:color="auto" w:sz="4" w:space="0"/>
                  </w:tcBorders>
                  <w:noWrap w:val="0"/>
                  <w:vAlign w:val="center"/>
                </w:tcPr>
                <w:p w14:paraId="1A22071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581" w:type="dxa"/>
                  <w:vMerge w:val="continue"/>
                  <w:tcBorders>
                    <w:left w:val="single" w:color="auto" w:sz="4" w:space="0"/>
                    <w:right w:val="single" w:color="auto" w:sz="4" w:space="0"/>
                  </w:tcBorders>
                  <w:noWrap w:val="0"/>
                  <w:vAlign w:val="center"/>
                </w:tcPr>
                <w:p w14:paraId="04670D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584" w:type="dxa"/>
                  <w:vMerge w:val="continue"/>
                  <w:tcBorders>
                    <w:left w:val="single" w:color="auto" w:sz="4" w:space="0"/>
                    <w:right w:val="single" w:color="auto" w:sz="4" w:space="0"/>
                  </w:tcBorders>
                  <w:noWrap w:val="0"/>
                  <w:vAlign w:val="center"/>
                </w:tcPr>
                <w:p w14:paraId="6CDE8C3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30" w:type="dxa"/>
                  <w:vMerge w:val="continue"/>
                  <w:tcBorders>
                    <w:left w:val="single" w:color="auto" w:sz="4" w:space="0"/>
                    <w:right w:val="single" w:color="auto" w:sz="4" w:space="0"/>
                  </w:tcBorders>
                  <w:noWrap w:val="0"/>
                  <w:vAlign w:val="center"/>
                </w:tcPr>
                <w:p w14:paraId="06B4657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color w:val="000000"/>
                      <w:sz w:val="21"/>
                      <w:szCs w:val="21"/>
                      <w:lang w:val="en-US" w:eastAsia="zh-CN"/>
                    </w:rPr>
                  </w:pPr>
                </w:p>
              </w:tc>
              <w:tc>
                <w:tcPr>
                  <w:tcW w:w="777" w:type="dxa"/>
                  <w:vMerge w:val="continue"/>
                  <w:tcBorders>
                    <w:left w:val="single" w:color="auto" w:sz="4" w:space="0"/>
                    <w:right w:val="single" w:color="auto" w:sz="4" w:space="0"/>
                  </w:tcBorders>
                  <w:noWrap w:val="0"/>
                  <w:vAlign w:val="center"/>
                </w:tcPr>
                <w:p w14:paraId="20B3293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lang w:eastAsia="zh-CN"/>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20EFED8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bCs/>
                      <w:color w:val="000000"/>
                      <w:spacing w:val="-4"/>
                      <w:kern w:val="2"/>
                      <w:sz w:val="21"/>
                      <w:szCs w:val="21"/>
                      <w:highlight w:val="none"/>
                      <w:lang w:val="en-US" w:eastAsia="zh-CN" w:bidi="ar-SA"/>
                    </w:rPr>
                  </w:pPr>
                  <w:r>
                    <w:rPr>
                      <w:rFonts w:hint="eastAsia"/>
                      <w:bCs/>
                      <w:color w:val="000000"/>
                      <w:spacing w:val="-4"/>
                      <w:sz w:val="21"/>
                      <w:szCs w:val="21"/>
                      <w:highlight w:val="none"/>
                      <w:lang w:val="en-US" w:eastAsia="zh-CN"/>
                    </w:rPr>
                    <w:t>SS</w:t>
                  </w:r>
                </w:p>
              </w:tc>
              <w:tc>
                <w:tcPr>
                  <w:tcW w:w="1193" w:type="dxa"/>
                  <w:tcBorders>
                    <w:top w:val="single" w:color="auto" w:sz="4" w:space="0"/>
                    <w:left w:val="single" w:color="auto" w:sz="4" w:space="0"/>
                    <w:bottom w:val="single" w:color="auto" w:sz="4" w:space="0"/>
                  </w:tcBorders>
                  <w:noWrap w:val="0"/>
                  <w:vAlign w:val="center"/>
                </w:tcPr>
                <w:p w14:paraId="433F3A9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kern w:val="2"/>
                      <w:sz w:val="21"/>
                      <w:szCs w:val="21"/>
                      <w:highlight w:val="none"/>
                      <w:lang w:val="en-US" w:eastAsia="zh-CN" w:bidi="ar-SA"/>
                    </w:rPr>
                  </w:pPr>
                  <w:r>
                    <w:rPr>
                      <w:rFonts w:hint="eastAsia"/>
                      <w:color w:val="000000"/>
                      <w:sz w:val="21"/>
                      <w:szCs w:val="21"/>
                      <w:highlight w:val="none"/>
                      <w:lang w:val="en-US" w:eastAsia="zh-CN"/>
                    </w:rPr>
                    <w:t>10</w:t>
                  </w:r>
                </w:p>
              </w:tc>
            </w:tr>
            <w:tr w14:paraId="6952C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18" w:type="dxa"/>
                  <w:vMerge w:val="continue"/>
                  <w:tcBorders>
                    <w:right w:val="single" w:color="auto" w:sz="4" w:space="0"/>
                  </w:tcBorders>
                  <w:noWrap w:val="0"/>
                  <w:tcMar>
                    <w:left w:w="0" w:type="dxa"/>
                    <w:right w:w="0" w:type="dxa"/>
                  </w:tcMar>
                  <w:vAlign w:val="center"/>
                </w:tcPr>
                <w:p w14:paraId="178BC45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02" w:type="dxa"/>
                  <w:vMerge w:val="continue"/>
                  <w:tcBorders>
                    <w:left w:val="single" w:color="auto" w:sz="4" w:space="0"/>
                    <w:right w:val="single" w:color="auto" w:sz="4" w:space="0"/>
                  </w:tcBorders>
                  <w:noWrap w:val="0"/>
                  <w:vAlign w:val="center"/>
                </w:tcPr>
                <w:p w14:paraId="45593A3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876" w:type="dxa"/>
                  <w:vMerge w:val="continue"/>
                  <w:tcBorders>
                    <w:left w:val="single" w:color="auto" w:sz="4" w:space="0"/>
                    <w:right w:val="single" w:color="auto" w:sz="4" w:space="0"/>
                  </w:tcBorders>
                  <w:noWrap w:val="0"/>
                  <w:vAlign w:val="center"/>
                </w:tcPr>
                <w:p w14:paraId="7013716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pacing w:val="-4"/>
                      <w:sz w:val="21"/>
                      <w:szCs w:val="21"/>
                    </w:rPr>
                  </w:pPr>
                </w:p>
              </w:tc>
              <w:tc>
                <w:tcPr>
                  <w:tcW w:w="875" w:type="dxa"/>
                  <w:vMerge w:val="continue"/>
                  <w:tcBorders>
                    <w:left w:val="single" w:color="auto" w:sz="4" w:space="0"/>
                    <w:right w:val="single" w:color="auto" w:sz="4" w:space="0"/>
                  </w:tcBorders>
                  <w:noWrap w:val="0"/>
                  <w:vAlign w:val="center"/>
                </w:tcPr>
                <w:p w14:paraId="646D7D0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33" w:type="dxa"/>
                  <w:vMerge w:val="continue"/>
                  <w:tcBorders>
                    <w:left w:val="single" w:color="auto" w:sz="4" w:space="0"/>
                    <w:right w:val="single" w:color="auto" w:sz="4" w:space="0"/>
                  </w:tcBorders>
                  <w:noWrap w:val="0"/>
                  <w:vAlign w:val="center"/>
                </w:tcPr>
                <w:p w14:paraId="7DB204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581" w:type="dxa"/>
                  <w:vMerge w:val="continue"/>
                  <w:tcBorders>
                    <w:left w:val="single" w:color="auto" w:sz="4" w:space="0"/>
                    <w:right w:val="single" w:color="auto" w:sz="4" w:space="0"/>
                  </w:tcBorders>
                  <w:noWrap w:val="0"/>
                  <w:vAlign w:val="center"/>
                </w:tcPr>
                <w:p w14:paraId="44083B2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584" w:type="dxa"/>
                  <w:vMerge w:val="continue"/>
                  <w:tcBorders>
                    <w:left w:val="single" w:color="auto" w:sz="4" w:space="0"/>
                    <w:right w:val="single" w:color="auto" w:sz="4" w:space="0"/>
                  </w:tcBorders>
                  <w:noWrap w:val="0"/>
                  <w:vAlign w:val="center"/>
                </w:tcPr>
                <w:p w14:paraId="20F2C51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30" w:type="dxa"/>
                  <w:vMerge w:val="continue"/>
                  <w:tcBorders>
                    <w:left w:val="single" w:color="auto" w:sz="4" w:space="0"/>
                    <w:right w:val="single" w:color="auto" w:sz="4" w:space="0"/>
                  </w:tcBorders>
                  <w:noWrap w:val="0"/>
                  <w:vAlign w:val="center"/>
                </w:tcPr>
                <w:p w14:paraId="6ED8C43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77" w:type="dxa"/>
                  <w:vMerge w:val="continue"/>
                  <w:tcBorders>
                    <w:left w:val="single" w:color="auto" w:sz="4" w:space="0"/>
                    <w:right w:val="single" w:color="auto" w:sz="4" w:space="0"/>
                  </w:tcBorders>
                  <w:noWrap w:val="0"/>
                  <w:vAlign w:val="center"/>
                </w:tcPr>
                <w:p w14:paraId="32E11E3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0C2353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kern w:val="2"/>
                      <w:sz w:val="21"/>
                      <w:szCs w:val="21"/>
                      <w:highlight w:val="none"/>
                      <w:lang w:val="en-US" w:eastAsia="zh-CN" w:bidi="ar-SA"/>
                    </w:rPr>
                  </w:pPr>
                  <w:r>
                    <w:rPr>
                      <w:bCs/>
                      <w:color w:val="000000"/>
                      <w:spacing w:val="-4"/>
                      <w:sz w:val="21"/>
                      <w:szCs w:val="21"/>
                      <w:highlight w:val="none"/>
                    </w:rPr>
                    <w:t>NH</w:t>
                  </w:r>
                  <w:r>
                    <w:rPr>
                      <w:bCs/>
                      <w:color w:val="000000"/>
                      <w:spacing w:val="-4"/>
                      <w:sz w:val="21"/>
                      <w:szCs w:val="21"/>
                      <w:highlight w:val="none"/>
                      <w:vertAlign w:val="subscript"/>
                    </w:rPr>
                    <w:t>3</w:t>
                  </w:r>
                  <w:r>
                    <w:rPr>
                      <w:bCs/>
                      <w:color w:val="000000"/>
                      <w:spacing w:val="-4"/>
                      <w:sz w:val="21"/>
                      <w:szCs w:val="21"/>
                      <w:highlight w:val="none"/>
                    </w:rPr>
                    <w:t>-N</w:t>
                  </w:r>
                </w:p>
              </w:tc>
              <w:tc>
                <w:tcPr>
                  <w:tcW w:w="1193" w:type="dxa"/>
                  <w:tcBorders>
                    <w:top w:val="single" w:color="auto" w:sz="4" w:space="0"/>
                    <w:left w:val="single" w:color="auto" w:sz="4" w:space="0"/>
                    <w:bottom w:val="single" w:color="auto" w:sz="4" w:space="0"/>
                  </w:tcBorders>
                  <w:noWrap w:val="0"/>
                  <w:vAlign w:val="center"/>
                </w:tcPr>
                <w:p w14:paraId="73158CF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000000"/>
                      <w:kern w:val="2"/>
                      <w:sz w:val="21"/>
                      <w:szCs w:val="21"/>
                      <w:highlight w:val="none"/>
                      <w:lang w:val="en-US" w:eastAsia="zh-CN" w:bidi="ar-SA"/>
                    </w:rPr>
                  </w:pPr>
                  <w:r>
                    <w:rPr>
                      <w:rFonts w:hint="eastAsia"/>
                      <w:color w:val="000000"/>
                      <w:sz w:val="21"/>
                      <w:szCs w:val="21"/>
                      <w:highlight w:val="none"/>
                      <w:lang w:val="en-US" w:eastAsia="zh-CN"/>
                    </w:rPr>
                    <w:t>2</w:t>
                  </w:r>
                </w:p>
              </w:tc>
            </w:tr>
            <w:tr w14:paraId="6D1B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18" w:type="dxa"/>
                  <w:vMerge w:val="continue"/>
                  <w:tcBorders>
                    <w:right w:val="single" w:color="auto" w:sz="4" w:space="0"/>
                  </w:tcBorders>
                  <w:noWrap w:val="0"/>
                  <w:tcMar>
                    <w:left w:w="0" w:type="dxa"/>
                    <w:right w:w="0" w:type="dxa"/>
                  </w:tcMar>
                  <w:vAlign w:val="center"/>
                </w:tcPr>
                <w:p w14:paraId="48D4F0C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02" w:type="dxa"/>
                  <w:vMerge w:val="continue"/>
                  <w:tcBorders>
                    <w:left w:val="single" w:color="auto" w:sz="4" w:space="0"/>
                    <w:right w:val="single" w:color="auto" w:sz="4" w:space="0"/>
                  </w:tcBorders>
                  <w:noWrap w:val="0"/>
                  <w:vAlign w:val="center"/>
                </w:tcPr>
                <w:p w14:paraId="027ACDD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876" w:type="dxa"/>
                  <w:vMerge w:val="continue"/>
                  <w:tcBorders>
                    <w:left w:val="single" w:color="auto" w:sz="4" w:space="0"/>
                    <w:right w:val="single" w:color="auto" w:sz="4" w:space="0"/>
                  </w:tcBorders>
                  <w:noWrap w:val="0"/>
                  <w:vAlign w:val="center"/>
                </w:tcPr>
                <w:p w14:paraId="14CA8B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pacing w:val="-4"/>
                      <w:sz w:val="21"/>
                      <w:szCs w:val="21"/>
                    </w:rPr>
                  </w:pPr>
                </w:p>
              </w:tc>
              <w:tc>
                <w:tcPr>
                  <w:tcW w:w="875" w:type="dxa"/>
                  <w:vMerge w:val="continue"/>
                  <w:tcBorders>
                    <w:left w:val="single" w:color="auto" w:sz="4" w:space="0"/>
                    <w:right w:val="single" w:color="auto" w:sz="4" w:space="0"/>
                  </w:tcBorders>
                  <w:noWrap w:val="0"/>
                  <w:vAlign w:val="center"/>
                </w:tcPr>
                <w:p w14:paraId="705BC7B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33" w:type="dxa"/>
                  <w:vMerge w:val="continue"/>
                  <w:tcBorders>
                    <w:left w:val="single" w:color="auto" w:sz="4" w:space="0"/>
                    <w:right w:val="single" w:color="auto" w:sz="4" w:space="0"/>
                  </w:tcBorders>
                  <w:noWrap w:val="0"/>
                  <w:vAlign w:val="center"/>
                </w:tcPr>
                <w:p w14:paraId="7A6F81D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581" w:type="dxa"/>
                  <w:vMerge w:val="continue"/>
                  <w:tcBorders>
                    <w:left w:val="single" w:color="auto" w:sz="4" w:space="0"/>
                    <w:right w:val="single" w:color="auto" w:sz="4" w:space="0"/>
                  </w:tcBorders>
                  <w:noWrap w:val="0"/>
                  <w:vAlign w:val="center"/>
                </w:tcPr>
                <w:p w14:paraId="3BD8B56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584" w:type="dxa"/>
                  <w:vMerge w:val="continue"/>
                  <w:tcBorders>
                    <w:left w:val="single" w:color="auto" w:sz="4" w:space="0"/>
                    <w:right w:val="single" w:color="auto" w:sz="4" w:space="0"/>
                  </w:tcBorders>
                  <w:noWrap w:val="0"/>
                  <w:vAlign w:val="center"/>
                </w:tcPr>
                <w:p w14:paraId="5A3FF9E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30" w:type="dxa"/>
                  <w:vMerge w:val="continue"/>
                  <w:tcBorders>
                    <w:left w:val="single" w:color="auto" w:sz="4" w:space="0"/>
                    <w:right w:val="single" w:color="auto" w:sz="4" w:space="0"/>
                  </w:tcBorders>
                  <w:noWrap w:val="0"/>
                  <w:vAlign w:val="center"/>
                </w:tcPr>
                <w:p w14:paraId="65D75B0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77" w:type="dxa"/>
                  <w:vMerge w:val="continue"/>
                  <w:tcBorders>
                    <w:left w:val="single" w:color="auto" w:sz="4" w:space="0"/>
                    <w:right w:val="single" w:color="auto" w:sz="4" w:space="0"/>
                  </w:tcBorders>
                  <w:noWrap w:val="0"/>
                  <w:vAlign w:val="center"/>
                </w:tcPr>
                <w:p w14:paraId="3EEF007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62239B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olor w:val="000000"/>
                      <w:kern w:val="2"/>
                      <w:sz w:val="21"/>
                      <w:szCs w:val="21"/>
                      <w:highlight w:val="none"/>
                      <w:lang w:val="en-US" w:eastAsia="zh-CN" w:bidi="ar-SA"/>
                    </w:rPr>
                  </w:pPr>
                  <w:r>
                    <w:rPr>
                      <w:bCs/>
                      <w:color w:val="000000"/>
                      <w:spacing w:val="-4"/>
                      <w:sz w:val="21"/>
                      <w:szCs w:val="21"/>
                      <w:highlight w:val="none"/>
                    </w:rPr>
                    <w:t>TP</w:t>
                  </w:r>
                </w:p>
              </w:tc>
              <w:tc>
                <w:tcPr>
                  <w:tcW w:w="1193" w:type="dxa"/>
                  <w:tcBorders>
                    <w:top w:val="single" w:color="auto" w:sz="4" w:space="0"/>
                    <w:left w:val="single" w:color="auto" w:sz="4" w:space="0"/>
                    <w:bottom w:val="single" w:color="auto" w:sz="4" w:space="0"/>
                  </w:tcBorders>
                  <w:noWrap w:val="0"/>
                  <w:vAlign w:val="center"/>
                </w:tcPr>
                <w:p w14:paraId="52074CB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000000"/>
                      <w:kern w:val="2"/>
                      <w:sz w:val="21"/>
                      <w:szCs w:val="21"/>
                      <w:highlight w:val="none"/>
                      <w:lang w:val="en-US" w:eastAsia="zh-CN" w:bidi="ar-SA"/>
                    </w:rPr>
                  </w:pPr>
                  <w:r>
                    <w:rPr>
                      <w:rFonts w:hint="eastAsia"/>
                      <w:color w:val="000000"/>
                      <w:sz w:val="21"/>
                      <w:szCs w:val="21"/>
                      <w:highlight w:val="none"/>
                      <w:lang w:val="en-US" w:eastAsia="zh-CN"/>
                    </w:rPr>
                    <w:t>0.4</w:t>
                  </w:r>
                </w:p>
              </w:tc>
            </w:tr>
            <w:tr w14:paraId="5647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18" w:type="dxa"/>
                  <w:vMerge w:val="continue"/>
                  <w:tcBorders>
                    <w:right w:val="single" w:color="auto" w:sz="4" w:space="0"/>
                  </w:tcBorders>
                  <w:noWrap w:val="0"/>
                  <w:tcMar>
                    <w:left w:w="0" w:type="dxa"/>
                    <w:right w:w="0" w:type="dxa"/>
                  </w:tcMar>
                  <w:vAlign w:val="center"/>
                </w:tcPr>
                <w:p w14:paraId="599F96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02" w:type="dxa"/>
                  <w:vMerge w:val="continue"/>
                  <w:tcBorders>
                    <w:left w:val="single" w:color="auto" w:sz="4" w:space="0"/>
                    <w:right w:val="single" w:color="auto" w:sz="4" w:space="0"/>
                  </w:tcBorders>
                  <w:noWrap w:val="0"/>
                  <w:vAlign w:val="center"/>
                </w:tcPr>
                <w:p w14:paraId="51B3AEC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876" w:type="dxa"/>
                  <w:vMerge w:val="continue"/>
                  <w:tcBorders>
                    <w:left w:val="single" w:color="auto" w:sz="4" w:space="0"/>
                    <w:right w:val="single" w:color="auto" w:sz="4" w:space="0"/>
                  </w:tcBorders>
                  <w:noWrap w:val="0"/>
                  <w:vAlign w:val="center"/>
                </w:tcPr>
                <w:p w14:paraId="086EAAC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pacing w:val="-4"/>
                      <w:sz w:val="21"/>
                      <w:szCs w:val="21"/>
                    </w:rPr>
                  </w:pPr>
                </w:p>
              </w:tc>
              <w:tc>
                <w:tcPr>
                  <w:tcW w:w="875" w:type="dxa"/>
                  <w:vMerge w:val="continue"/>
                  <w:tcBorders>
                    <w:left w:val="single" w:color="auto" w:sz="4" w:space="0"/>
                    <w:right w:val="single" w:color="auto" w:sz="4" w:space="0"/>
                  </w:tcBorders>
                  <w:noWrap w:val="0"/>
                  <w:vAlign w:val="center"/>
                </w:tcPr>
                <w:p w14:paraId="6847FB3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33" w:type="dxa"/>
                  <w:vMerge w:val="continue"/>
                  <w:tcBorders>
                    <w:left w:val="single" w:color="auto" w:sz="4" w:space="0"/>
                    <w:right w:val="single" w:color="auto" w:sz="4" w:space="0"/>
                  </w:tcBorders>
                  <w:noWrap w:val="0"/>
                  <w:vAlign w:val="center"/>
                </w:tcPr>
                <w:p w14:paraId="3EFBC77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581" w:type="dxa"/>
                  <w:vMerge w:val="continue"/>
                  <w:tcBorders>
                    <w:left w:val="single" w:color="auto" w:sz="4" w:space="0"/>
                    <w:right w:val="single" w:color="auto" w:sz="4" w:space="0"/>
                  </w:tcBorders>
                  <w:noWrap w:val="0"/>
                  <w:vAlign w:val="center"/>
                </w:tcPr>
                <w:p w14:paraId="0C08418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584" w:type="dxa"/>
                  <w:vMerge w:val="continue"/>
                  <w:tcBorders>
                    <w:left w:val="single" w:color="auto" w:sz="4" w:space="0"/>
                    <w:right w:val="single" w:color="auto" w:sz="4" w:space="0"/>
                  </w:tcBorders>
                  <w:noWrap w:val="0"/>
                  <w:vAlign w:val="center"/>
                </w:tcPr>
                <w:p w14:paraId="7365FB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30" w:type="dxa"/>
                  <w:vMerge w:val="continue"/>
                  <w:tcBorders>
                    <w:left w:val="single" w:color="auto" w:sz="4" w:space="0"/>
                    <w:right w:val="single" w:color="auto" w:sz="4" w:space="0"/>
                  </w:tcBorders>
                  <w:noWrap w:val="0"/>
                  <w:vAlign w:val="center"/>
                </w:tcPr>
                <w:p w14:paraId="4E0F806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77" w:type="dxa"/>
                  <w:vMerge w:val="continue"/>
                  <w:tcBorders>
                    <w:left w:val="single" w:color="auto" w:sz="4" w:space="0"/>
                    <w:right w:val="single" w:color="auto" w:sz="4" w:space="0"/>
                  </w:tcBorders>
                  <w:noWrap w:val="0"/>
                  <w:vAlign w:val="center"/>
                </w:tcPr>
                <w:p w14:paraId="72987C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14:paraId="1C8D429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bCs/>
                      <w:color w:val="000000"/>
                      <w:spacing w:val="-4"/>
                      <w:kern w:val="2"/>
                      <w:sz w:val="21"/>
                      <w:szCs w:val="21"/>
                      <w:highlight w:val="none"/>
                      <w:lang w:val="en-US" w:eastAsia="zh-CN" w:bidi="ar-SA"/>
                    </w:rPr>
                  </w:pPr>
                  <w:r>
                    <w:rPr>
                      <w:bCs/>
                      <w:color w:val="000000"/>
                      <w:spacing w:val="-4"/>
                      <w:sz w:val="21"/>
                      <w:szCs w:val="21"/>
                      <w:highlight w:val="none"/>
                    </w:rPr>
                    <w:t>TN</w:t>
                  </w:r>
                </w:p>
              </w:tc>
              <w:tc>
                <w:tcPr>
                  <w:tcW w:w="1193" w:type="dxa"/>
                  <w:tcBorders>
                    <w:top w:val="single" w:color="auto" w:sz="4" w:space="0"/>
                    <w:left w:val="single" w:color="auto" w:sz="4" w:space="0"/>
                    <w:bottom w:val="single" w:color="auto" w:sz="4" w:space="0"/>
                  </w:tcBorders>
                  <w:noWrap w:val="0"/>
                  <w:vAlign w:val="center"/>
                </w:tcPr>
                <w:p w14:paraId="2AD8835F">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000000"/>
                      <w:kern w:val="2"/>
                      <w:sz w:val="21"/>
                      <w:szCs w:val="21"/>
                      <w:highlight w:val="none"/>
                      <w:lang w:val="en-US" w:eastAsia="zh-CN" w:bidi="ar-SA"/>
                    </w:rPr>
                  </w:pPr>
                  <w:r>
                    <w:rPr>
                      <w:rFonts w:hint="eastAsia"/>
                      <w:color w:val="000000"/>
                      <w:sz w:val="21"/>
                      <w:szCs w:val="21"/>
                      <w:highlight w:val="none"/>
                      <w:lang w:val="en-US" w:eastAsia="zh-CN"/>
                    </w:rPr>
                    <w:t>15</w:t>
                  </w:r>
                </w:p>
              </w:tc>
            </w:tr>
            <w:tr w14:paraId="20BB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318" w:type="dxa"/>
                  <w:vMerge w:val="continue"/>
                  <w:tcBorders>
                    <w:right w:val="single" w:color="auto" w:sz="4" w:space="0"/>
                  </w:tcBorders>
                  <w:noWrap w:val="0"/>
                  <w:tcMar>
                    <w:left w:w="0" w:type="dxa"/>
                    <w:right w:w="0" w:type="dxa"/>
                  </w:tcMar>
                  <w:vAlign w:val="center"/>
                </w:tcPr>
                <w:p w14:paraId="09C957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02" w:type="dxa"/>
                  <w:vMerge w:val="continue"/>
                  <w:tcBorders>
                    <w:left w:val="single" w:color="auto" w:sz="4" w:space="0"/>
                    <w:right w:val="single" w:color="auto" w:sz="4" w:space="0"/>
                  </w:tcBorders>
                  <w:noWrap w:val="0"/>
                  <w:vAlign w:val="center"/>
                </w:tcPr>
                <w:p w14:paraId="5B425BE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876" w:type="dxa"/>
                  <w:vMerge w:val="continue"/>
                  <w:tcBorders>
                    <w:left w:val="single" w:color="auto" w:sz="4" w:space="0"/>
                    <w:right w:val="single" w:color="auto" w:sz="4" w:space="0"/>
                  </w:tcBorders>
                  <w:noWrap w:val="0"/>
                  <w:vAlign w:val="center"/>
                </w:tcPr>
                <w:p w14:paraId="6B03E73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pacing w:val="-4"/>
                      <w:sz w:val="21"/>
                      <w:szCs w:val="21"/>
                    </w:rPr>
                  </w:pPr>
                </w:p>
              </w:tc>
              <w:tc>
                <w:tcPr>
                  <w:tcW w:w="875" w:type="dxa"/>
                  <w:vMerge w:val="continue"/>
                  <w:tcBorders>
                    <w:left w:val="single" w:color="auto" w:sz="4" w:space="0"/>
                    <w:right w:val="single" w:color="auto" w:sz="4" w:space="0"/>
                  </w:tcBorders>
                  <w:noWrap w:val="0"/>
                  <w:vAlign w:val="center"/>
                </w:tcPr>
                <w:p w14:paraId="74F172C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33" w:type="dxa"/>
                  <w:vMerge w:val="continue"/>
                  <w:tcBorders>
                    <w:left w:val="single" w:color="auto" w:sz="4" w:space="0"/>
                    <w:right w:val="single" w:color="auto" w:sz="4" w:space="0"/>
                  </w:tcBorders>
                  <w:noWrap w:val="0"/>
                  <w:vAlign w:val="center"/>
                </w:tcPr>
                <w:p w14:paraId="0EE975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581" w:type="dxa"/>
                  <w:vMerge w:val="continue"/>
                  <w:tcBorders>
                    <w:left w:val="single" w:color="auto" w:sz="4" w:space="0"/>
                    <w:right w:val="single" w:color="auto" w:sz="4" w:space="0"/>
                  </w:tcBorders>
                  <w:noWrap w:val="0"/>
                  <w:vAlign w:val="center"/>
                </w:tcPr>
                <w:p w14:paraId="2B1F08F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584" w:type="dxa"/>
                  <w:vMerge w:val="continue"/>
                  <w:tcBorders>
                    <w:left w:val="single" w:color="auto" w:sz="4" w:space="0"/>
                    <w:right w:val="single" w:color="auto" w:sz="4" w:space="0"/>
                  </w:tcBorders>
                  <w:noWrap w:val="0"/>
                  <w:vAlign w:val="center"/>
                </w:tcPr>
                <w:p w14:paraId="76F68B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30" w:type="dxa"/>
                  <w:vMerge w:val="continue"/>
                  <w:tcBorders>
                    <w:left w:val="single" w:color="auto" w:sz="4" w:space="0"/>
                    <w:right w:val="single" w:color="auto" w:sz="4" w:space="0"/>
                  </w:tcBorders>
                  <w:noWrap w:val="0"/>
                  <w:vAlign w:val="center"/>
                </w:tcPr>
                <w:p w14:paraId="57220C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77" w:type="dxa"/>
                  <w:vMerge w:val="continue"/>
                  <w:tcBorders>
                    <w:left w:val="single" w:color="auto" w:sz="4" w:space="0"/>
                    <w:right w:val="single" w:color="auto" w:sz="4" w:space="0"/>
                  </w:tcBorders>
                  <w:noWrap w:val="0"/>
                  <w:vAlign w:val="center"/>
                </w:tcPr>
                <w:p w14:paraId="71E4441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b w:val="0"/>
                      <w:bCs/>
                      <w:color w:val="000000"/>
                      <w:sz w:val="21"/>
                      <w:szCs w:val="21"/>
                    </w:rPr>
                  </w:pPr>
                </w:p>
              </w:tc>
              <w:tc>
                <w:tcPr>
                  <w:tcW w:w="750" w:type="dxa"/>
                  <w:tcBorders>
                    <w:top w:val="single" w:color="auto" w:sz="4" w:space="0"/>
                    <w:left w:val="single" w:color="auto" w:sz="4" w:space="0"/>
                    <w:right w:val="single" w:color="auto" w:sz="4" w:space="0"/>
                  </w:tcBorders>
                  <w:shd w:val="clear" w:color="auto" w:fill="auto"/>
                  <w:noWrap w:val="0"/>
                  <w:vAlign w:val="center"/>
                </w:tcPr>
                <w:p w14:paraId="7AF8ABA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000000"/>
                      <w:spacing w:val="-4"/>
                      <w:kern w:val="2"/>
                      <w:sz w:val="21"/>
                      <w:szCs w:val="21"/>
                      <w:highlight w:val="none"/>
                      <w:lang w:val="en-US" w:eastAsia="zh-CN" w:bidi="ar-SA"/>
                    </w:rPr>
                  </w:pPr>
                  <w:r>
                    <w:rPr>
                      <w:rFonts w:hint="eastAsia"/>
                      <w:bCs/>
                      <w:color w:val="000000"/>
                      <w:spacing w:val="-4"/>
                      <w:sz w:val="21"/>
                      <w:szCs w:val="21"/>
                      <w:highlight w:val="none"/>
                      <w:lang w:val="en-US" w:eastAsia="zh-CN"/>
                    </w:rPr>
                    <w:t>BOD</w:t>
                  </w:r>
                  <w:r>
                    <w:rPr>
                      <w:rFonts w:hint="eastAsia"/>
                      <w:bCs/>
                      <w:color w:val="000000"/>
                      <w:spacing w:val="-4"/>
                      <w:sz w:val="21"/>
                      <w:szCs w:val="21"/>
                      <w:highlight w:val="none"/>
                      <w:vertAlign w:val="subscript"/>
                      <w:lang w:val="en-US" w:eastAsia="zh-CN"/>
                    </w:rPr>
                    <w:t>5</w:t>
                  </w:r>
                </w:p>
              </w:tc>
              <w:tc>
                <w:tcPr>
                  <w:tcW w:w="1193" w:type="dxa"/>
                  <w:tcBorders>
                    <w:top w:val="single" w:color="auto" w:sz="4" w:space="0"/>
                    <w:left w:val="single" w:color="auto" w:sz="4" w:space="0"/>
                  </w:tcBorders>
                  <w:shd w:val="clear" w:color="auto" w:fill="auto"/>
                  <w:noWrap w:val="0"/>
                  <w:vAlign w:val="center"/>
                </w:tcPr>
                <w:p w14:paraId="7784506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kern w:val="2"/>
                      <w:sz w:val="21"/>
                      <w:szCs w:val="21"/>
                      <w:highlight w:val="none"/>
                      <w:lang w:val="en-US" w:eastAsia="zh-CN" w:bidi="ar-SA"/>
                    </w:rPr>
                  </w:pPr>
                  <w:r>
                    <w:rPr>
                      <w:rFonts w:hint="eastAsia"/>
                      <w:color w:val="000000"/>
                      <w:sz w:val="21"/>
                      <w:szCs w:val="21"/>
                      <w:highlight w:val="none"/>
                      <w:lang w:val="en-US" w:eastAsia="zh-CN"/>
                    </w:rPr>
                    <w:t>10</w:t>
                  </w:r>
                </w:p>
              </w:tc>
            </w:tr>
          </w:tbl>
          <w:p w14:paraId="7191A56F">
            <w:pPr>
              <w:keepNext w:val="0"/>
              <w:keepLines w:val="0"/>
              <w:pageBreakBefore w:val="0"/>
              <w:widowControl w:val="0"/>
              <w:kinsoku/>
              <w:wordWrap/>
              <w:overflowPunct/>
              <w:topLinePunct w:val="0"/>
              <w:autoSpaceDE/>
              <w:autoSpaceDN/>
              <w:bidi w:val="0"/>
              <w:spacing w:line="520" w:lineRule="exact"/>
              <w:ind w:firstLine="480" w:firstLineChars="200"/>
              <w:textAlignment w:val="auto"/>
              <w:rPr>
                <w:rFonts w:hint="default" w:ascii="Times New Roman" w:hAnsi="Times New Roman" w:eastAsia="黑体" w:cs="Times New Roman"/>
                <w:color w:val="000000"/>
                <w:szCs w:val="22"/>
                <w:lang w:val="pt-BR"/>
              </w:rPr>
            </w:pPr>
            <w:r>
              <w:rPr>
                <w:rFonts w:hint="default" w:ascii="Times New Roman" w:hAnsi="Times New Roman" w:cs="Times New Roman"/>
                <w:color w:val="000000"/>
              </w:rPr>
              <w:t>③废水污染物排放执行标准表</w:t>
            </w:r>
          </w:p>
          <w:p w14:paraId="51882183">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textAlignment w:val="auto"/>
              <w:rPr>
                <w:rFonts w:hint="default" w:ascii="Times New Roman" w:hAnsi="Times New Roman" w:eastAsia="黑体" w:cs="Times New Roman"/>
                <w:color w:val="000000"/>
                <w:szCs w:val="22"/>
                <w:lang w:val="pt-BR"/>
              </w:rPr>
            </w:pPr>
            <w:r>
              <w:rPr>
                <w:rFonts w:hint="default" w:ascii="Times New Roman" w:hAnsi="Times New Roman" w:eastAsia="黑体" w:cs="Times New Roman"/>
                <w:color w:val="000000"/>
                <w:szCs w:val="22"/>
                <w:lang w:val="pt-BR"/>
              </w:rPr>
              <w:t>表</w:t>
            </w:r>
            <w:r>
              <w:rPr>
                <w:rFonts w:hint="default" w:ascii="Times New Roman" w:hAnsi="Times New Roman" w:eastAsia="黑体" w:cs="Times New Roman"/>
                <w:color w:val="000000"/>
                <w:szCs w:val="22"/>
                <w:lang w:val="en-US" w:eastAsia="zh-CN"/>
              </w:rPr>
              <w:t>4-</w:t>
            </w:r>
            <w:r>
              <w:rPr>
                <w:rFonts w:hint="eastAsia" w:eastAsia="黑体" w:cs="Times New Roman"/>
                <w:color w:val="000000"/>
                <w:szCs w:val="22"/>
                <w:lang w:val="en-US" w:eastAsia="zh-CN"/>
              </w:rPr>
              <w:t>3</w:t>
            </w:r>
            <w:r>
              <w:rPr>
                <w:rFonts w:hint="default" w:ascii="Times New Roman" w:hAnsi="Times New Roman" w:eastAsia="黑体" w:cs="Times New Roman"/>
                <w:color w:val="000000"/>
                <w:szCs w:val="22"/>
                <w:lang w:val="pt-BR"/>
              </w:rPr>
              <w:t xml:space="preserve">          废水污染物排放执行标准表</w:t>
            </w:r>
          </w:p>
          <w:tbl>
            <w:tblPr>
              <w:tblStyle w:val="2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29"/>
              <w:gridCol w:w="944"/>
              <w:gridCol w:w="919"/>
              <w:gridCol w:w="1303"/>
              <w:gridCol w:w="1593"/>
              <w:gridCol w:w="1158"/>
              <w:gridCol w:w="1470"/>
            </w:tblGrid>
            <w:tr w14:paraId="12B85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729" w:type="dxa"/>
                  <w:vMerge w:val="restart"/>
                  <w:noWrap w:val="0"/>
                  <w:vAlign w:val="center"/>
                </w:tcPr>
                <w:p w14:paraId="6E19D6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 w:val="0"/>
                      <w:bCs/>
                      <w:sz w:val="21"/>
                      <w:szCs w:val="21"/>
                    </w:rPr>
                  </w:pPr>
                  <w:r>
                    <w:rPr>
                      <w:b w:val="0"/>
                      <w:bCs/>
                      <w:sz w:val="21"/>
                      <w:szCs w:val="21"/>
                    </w:rPr>
                    <w:t>序号</w:t>
                  </w:r>
                </w:p>
              </w:tc>
              <w:tc>
                <w:tcPr>
                  <w:tcW w:w="944" w:type="dxa"/>
                  <w:vMerge w:val="restart"/>
                  <w:noWrap w:val="0"/>
                  <w:vAlign w:val="center"/>
                </w:tcPr>
                <w:p w14:paraId="58908EF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 w:val="0"/>
                      <w:bCs/>
                      <w:sz w:val="21"/>
                      <w:szCs w:val="21"/>
                    </w:rPr>
                  </w:pPr>
                  <w:r>
                    <w:rPr>
                      <w:b w:val="0"/>
                      <w:bCs/>
                      <w:sz w:val="21"/>
                      <w:szCs w:val="21"/>
                    </w:rPr>
                    <w:t>排放口编号</w:t>
                  </w:r>
                </w:p>
              </w:tc>
              <w:tc>
                <w:tcPr>
                  <w:tcW w:w="919" w:type="dxa"/>
                  <w:vMerge w:val="restart"/>
                  <w:noWrap w:val="0"/>
                  <w:vAlign w:val="center"/>
                </w:tcPr>
                <w:p w14:paraId="2281757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 w:val="0"/>
                      <w:bCs/>
                      <w:sz w:val="21"/>
                      <w:szCs w:val="21"/>
                    </w:rPr>
                  </w:pPr>
                  <w:r>
                    <w:rPr>
                      <w:b w:val="0"/>
                      <w:bCs/>
                      <w:sz w:val="21"/>
                      <w:szCs w:val="21"/>
                    </w:rPr>
                    <w:t>污染物种类</w:t>
                  </w:r>
                </w:p>
              </w:tc>
              <w:tc>
                <w:tcPr>
                  <w:tcW w:w="5524" w:type="dxa"/>
                  <w:gridSpan w:val="4"/>
                  <w:noWrap w:val="0"/>
                  <w:vAlign w:val="center"/>
                </w:tcPr>
                <w:p w14:paraId="5C516BEC">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 w:val="0"/>
                      <w:bCs/>
                      <w:sz w:val="21"/>
                      <w:szCs w:val="21"/>
                    </w:rPr>
                  </w:pPr>
                  <w:r>
                    <w:rPr>
                      <w:b w:val="0"/>
                      <w:bCs/>
                      <w:sz w:val="21"/>
                      <w:szCs w:val="21"/>
                    </w:rPr>
                    <w:t>国家或地方污染物排放标准及其他按规定商定的排放协议</w:t>
                  </w:r>
                </w:p>
              </w:tc>
            </w:tr>
            <w:tr w14:paraId="6F87F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atLeast"/>
                <w:jc w:val="center"/>
              </w:trPr>
              <w:tc>
                <w:tcPr>
                  <w:tcW w:w="729" w:type="dxa"/>
                  <w:vMerge w:val="continue"/>
                  <w:noWrap w:val="0"/>
                  <w:vAlign w:val="center"/>
                </w:tcPr>
                <w:p w14:paraId="7B85F27E">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 w:val="0"/>
                      <w:bCs/>
                      <w:sz w:val="21"/>
                      <w:szCs w:val="21"/>
                    </w:rPr>
                  </w:pPr>
                </w:p>
              </w:tc>
              <w:tc>
                <w:tcPr>
                  <w:tcW w:w="944" w:type="dxa"/>
                  <w:vMerge w:val="continue"/>
                  <w:noWrap w:val="0"/>
                  <w:vAlign w:val="center"/>
                </w:tcPr>
                <w:p w14:paraId="20D3476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 w:val="0"/>
                      <w:bCs/>
                      <w:sz w:val="21"/>
                      <w:szCs w:val="21"/>
                    </w:rPr>
                  </w:pPr>
                </w:p>
              </w:tc>
              <w:tc>
                <w:tcPr>
                  <w:tcW w:w="919" w:type="dxa"/>
                  <w:vMerge w:val="continue"/>
                  <w:noWrap w:val="0"/>
                  <w:vAlign w:val="center"/>
                </w:tcPr>
                <w:p w14:paraId="247D23AF">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 w:val="0"/>
                      <w:bCs/>
                      <w:sz w:val="21"/>
                      <w:szCs w:val="21"/>
                    </w:rPr>
                  </w:pPr>
                </w:p>
              </w:tc>
              <w:tc>
                <w:tcPr>
                  <w:tcW w:w="1303" w:type="dxa"/>
                  <w:noWrap w:val="0"/>
                  <w:vAlign w:val="center"/>
                </w:tcPr>
                <w:p w14:paraId="5745E66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 w:val="0"/>
                      <w:bCs/>
                      <w:sz w:val="21"/>
                      <w:szCs w:val="21"/>
                    </w:rPr>
                  </w:pPr>
                  <w:r>
                    <w:rPr>
                      <w:b w:val="0"/>
                      <w:bCs/>
                      <w:sz w:val="21"/>
                      <w:szCs w:val="21"/>
                    </w:rPr>
                    <w:t>名称</w:t>
                  </w:r>
                </w:p>
              </w:tc>
              <w:tc>
                <w:tcPr>
                  <w:tcW w:w="1593" w:type="dxa"/>
                  <w:noWrap w:val="0"/>
                  <w:vAlign w:val="center"/>
                </w:tcPr>
                <w:p w14:paraId="37F7FC0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 w:val="0"/>
                      <w:bCs/>
                      <w:sz w:val="21"/>
                      <w:szCs w:val="21"/>
                    </w:rPr>
                  </w:pPr>
                  <w:r>
                    <w:rPr>
                      <w:b w:val="0"/>
                      <w:bCs/>
                      <w:sz w:val="21"/>
                      <w:szCs w:val="21"/>
                    </w:rPr>
                    <w:t>浓度限值/(mg/L)</w:t>
                  </w:r>
                </w:p>
              </w:tc>
              <w:tc>
                <w:tcPr>
                  <w:tcW w:w="1158" w:type="dxa"/>
                  <w:noWrap w:val="0"/>
                  <w:vAlign w:val="center"/>
                </w:tcPr>
                <w:p w14:paraId="271488A2">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 w:val="0"/>
                      <w:bCs/>
                      <w:sz w:val="21"/>
                      <w:szCs w:val="21"/>
                    </w:rPr>
                  </w:pPr>
                  <w:r>
                    <w:rPr>
                      <w:b w:val="0"/>
                      <w:bCs/>
                      <w:sz w:val="21"/>
                      <w:szCs w:val="21"/>
                    </w:rPr>
                    <w:t>名称</w:t>
                  </w:r>
                </w:p>
              </w:tc>
              <w:tc>
                <w:tcPr>
                  <w:tcW w:w="1470" w:type="dxa"/>
                  <w:noWrap w:val="0"/>
                  <w:vAlign w:val="center"/>
                </w:tcPr>
                <w:p w14:paraId="440EB350">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b w:val="0"/>
                      <w:bCs/>
                      <w:sz w:val="21"/>
                      <w:szCs w:val="21"/>
                    </w:rPr>
                  </w:pPr>
                  <w:r>
                    <w:rPr>
                      <w:b w:val="0"/>
                      <w:bCs/>
                      <w:sz w:val="21"/>
                      <w:szCs w:val="21"/>
                    </w:rPr>
                    <w:t>浓度限值/(mg/L)</w:t>
                  </w:r>
                </w:p>
              </w:tc>
            </w:tr>
            <w:tr w14:paraId="6E651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729" w:type="dxa"/>
                  <w:noWrap w:val="0"/>
                  <w:vAlign w:val="center"/>
                </w:tcPr>
                <w:p w14:paraId="512E975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sz w:val="21"/>
                      <w:szCs w:val="21"/>
                    </w:rPr>
                    <w:t>1</w:t>
                  </w:r>
                </w:p>
              </w:tc>
              <w:tc>
                <w:tcPr>
                  <w:tcW w:w="944" w:type="dxa"/>
                  <w:vMerge w:val="restart"/>
                  <w:noWrap w:val="0"/>
                  <w:vAlign w:val="center"/>
                </w:tcPr>
                <w:p w14:paraId="7622672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sz w:val="21"/>
                      <w:szCs w:val="21"/>
                    </w:rPr>
                    <w:t>DW001</w:t>
                  </w:r>
                </w:p>
              </w:tc>
              <w:tc>
                <w:tcPr>
                  <w:tcW w:w="919" w:type="dxa"/>
                  <w:noWrap w:val="0"/>
                  <w:vAlign w:val="center"/>
                </w:tcPr>
                <w:p w14:paraId="2C1ED4F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bCs/>
                      <w:spacing w:val="-4"/>
                      <w:sz w:val="21"/>
                      <w:szCs w:val="21"/>
                    </w:rPr>
                    <w:t>COD</w:t>
                  </w:r>
                </w:p>
              </w:tc>
              <w:tc>
                <w:tcPr>
                  <w:tcW w:w="1303" w:type="dxa"/>
                  <w:vMerge w:val="restart"/>
                  <w:noWrap w:val="0"/>
                  <w:vAlign w:val="center"/>
                </w:tcPr>
                <w:p w14:paraId="47D9EB6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int="eastAsia"/>
                      <w:sz w:val="21"/>
                      <w:szCs w:val="21"/>
                    </w:rPr>
                    <w:t>《污水综合排放标准》（GB8978-1996）表4三级排放标准</w:t>
                  </w:r>
                </w:p>
              </w:tc>
              <w:tc>
                <w:tcPr>
                  <w:tcW w:w="1593" w:type="dxa"/>
                  <w:noWrap w:val="0"/>
                  <w:vAlign w:val="center"/>
                </w:tcPr>
                <w:p w14:paraId="3D8B09F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int="eastAsia"/>
                      <w:bCs/>
                      <w:sz w:val="21"/>
                      <w:szCs w:val="21"/>
                    </w:rPr>
                    <w:t>500</w:t>
                  </w:r>
                </w:p>
              </w:tc>
              <w:tc>
                <w:tcPr>
                  <w:tcW w:w="1158" w:type="dxa"/>
                  <w:vMerge w:val="restart"/>
                  <w:noWrap w:val="0"/>
                  <w:vAlign w:val="center"/>
                </w:tcPr>
                <w:p w14:paraId="4F897B28">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int="eastAsia"/>
                      <w:sz w:val="21"/>
                      <w:szCs w:val="21"/>
                      <w:lang w:eastAsia="zh-CN"/>
                    </w:rPr>
                    <w:t>新乡县综合污水处理厂</w:t>
                  </w:r>
                  <w:r>
                    <w:rPr>
                      <w:rFonts w:hint="eastAsia"/>
                      <w:sz w:val="21"/>
                      <w:szCs w:val="21"/>
                    </w:rPr>
                    <w:t>收水标准</w:t>
                  </w:r>
                </w:p>
              </w:tc>
              <w:tc>
                <w:tcPr>
                  <w:tcW w:w="1470" w:type="dxa"/>
                  <w:noWrap w:val="0"/>
                  <w:vAlign w:val="center"/>
                </w:tcPr>
                <w:p w14:paraId="30AF7B4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sz w:val="21"/>
                      <w:szCs w:val="21"/>
                      <w:lang w:val="en-US" w:eastAsia="zh-CN"/>
                    </w:rPr>
                  </w:pPr>
                  <w:r>
                    <w:rPr>
                      <w:rFonts w:hint="eastAsia"/>
                      <w:sz w:val="21"/>
                      <w:szCs w:val="21"/>
                    </w:rPr>
                    <w:t>4</w:t>
                  </w:r>
                  <w:r>
                    <w:rPr>
                      <w:rFonts w:hint="eastAsia"/>
                      <w:sz w:val="21"/>
                      <w:szCs w:val="21"/>
                      <w:lang w:val="en-US" w:eastAsia="zh-CN"/>
                    </w:rPr>
                    <w:t>00</w:t>
                  </w:r>
                </w:p>
              </w:tc>
            </w:tr>
            <w:tr w14:paraId="6366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729" w:type="dxa"/>
                  <w:noWrap w:val="0"/>
                  <w:vAlign w:val="center"/>
                </w:tcPr>
                <w:p w14:paraId="664F14D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int="eastAsia"/>
                      <w:sz w:val="21"/>
                      <w:szCs w:val="21"/>
                    </w:rPr>
                    <w:t>2</w:t>
                  </w:r>
                </w:p>
              </w:tc>
              <w:tc>
                <w:tcPr>
                  <w:tcW w:w="944" w:type="dxa"/>
                  <w:vMerge w:val="continue"/>
                  <w:noWrap w:val="0"/>
                  <w:vAlign w:val="center"/>
                </w:tcPr>
                <w:p w14:paraId="053D68F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p>
              </w:tc>
              <w:tc>
                <w:tcPr>
                  <w:tcW w:w="919" w:type="dxa"/>
                  <w:noWrap w:val="0"/>
                  <w:vAlign w:val="center"/>
                </w:tcPr>
                <w:p w14:paraId="540D196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int="eastAsia"/>
                      <w:bCs/>
                      <w:spacing w:val="-4"/>
                      <w:sz w:val="21"/>
                      <w:szCs w:val="21"/>
                    </w:rPr>
                    <w:t>B</w:t>
                  </w:r>
                  <w:r>
                    <w:rPr>
                      <w:bCs/>
                      <w:spacing w:val="-4"/>
                      <w:sz w:val="21"/>
                      <w:szCs w:val="21"/>
                    </w:rPr>
                    <w:t>OD</w:t>
                  </w:r>
                  <w:r>
                    <w:rPr>
                      <w:rFonts w:hint="eastAsia"/>
                      <w:bCs/>
                      <w:spacing w:val="-4"/>
                      <w:sz w:val="21"/>
                      <w:szCs w:val="21"/>
                      <w:vertAlign w:val="subscript"/>
                    </w:rPr>
                    <w:t>5</w:t>
                  </w:r>
                </w:p>
              </w:tc>
              <w:tc>
                <w:tcPr>
                  <w:tcW w:w="1303" w:type="dxa"/>
                  <w:vMerge w:val="continue"/>
                  <w:noWrap w:val="0"/>
                  <w:vAlign w:val="center"/>
                </w:tcPr>
                <w:p w14:paraId="73F8AC0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sz w:val="21"/>
                      <w:szCs w:val="21"/>
                    </w:rPr>
                  </w:pPr>
                </w:p>
              </w:tc>
              <w:tc>
                <w:tcPr>
                  <w:tcW w:w="1593" w:type="dxa"/>
                  <w:noWrap w:val="0"/>
                  <w:vAlign w:val="center"/>
                </w:tcPr>
                <w:p w14:paraId="54C54FB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sz w:val="21"/>
                      <w:szCs w:val="21"/>
                    </w:rPr>
                  </w:pPr>
                  <w:r>
                    <w:rPr>
                      <w:rFonts w:hint="eastAsia"/>
                      <w:bCs/>
                      <w:sz w:val="21"/>
                      <w:szCs w:val="21"/>
                    </w:rPr>
                    <w:t>300</w:t>
                  </w:r>
                </w:p>
              </w:tc>
              <w:tc>
                <w:tcPr>
                  <w:tcW w:w="1158" w:type="dxa"/>
                  <w:vMerge w:val="continue"/>
                  <w:noWrap w:val="0"/>
                  <w:vAlign w:val="center"/>
                </w:tcPr>
                <w:p w14:paraId="16ED3D5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p>
              </w:tc>
              <w:tc>
                <w:tcPr>
                  <w:tcW w:w="1470" w:type="dxa"/>
                  <w:noWrap w:val="0"/>
                  <w:vAlign w:val="center"/>
                </w:tcPr>
                <w:p w14:paraId="6AC730E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sz w:val="21"/>
                      <w:szCs w:val="21"/>
                      <w:lang w:val="en-US" w:eastAsia="zh-CN"/>
                    </w:rPr>
                  </w:pPr>
                  <w:r>
                    <w:rPr>
                      <w:rFonts w:hint="eastAsia"/>
                      <w:sz w:val="21"/>
                      <w:szCs w:val="21"/>
                      <w:lang w:val="en-US" w:eastAsia="zh-CN"/>
                    </w:rPr>
                    <w:t>120</w:t>
                  </w:r>
                </w:p>
              </w:tc>
            </w:tr>
            <w:tr w14:paraId="23BDA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729" w:type="dxa"/>
                  <w:noWrap w:val="0"/>
                  <w:vAlign w:val="center"/>
                </w:tcPr>
                <w:p w14:paraId="082BBC6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int="eastAsia"/>
                      <w:sz w:val="21"/>
                      <w:szCs w:val="21"/>
                    </w:rPr>
                    <w:t>3</w:t>
                  </w:r>
                </w:p>
              </w:tc>
              <w:tc>
                <w:tcPr>
                  <w:tcW w:w="944" w:type="dxa"/>
                  <w:vMerge w:val="continue"/>
                  <w:noWrap w:val="0"/>
                  <w:vAlign w:val="center"/>
                </w:tcPr>
                <w:p w14:paraId="106DC4F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p>
              </w:tc>
              <w:tc>
                <w:tcPr>
                  <w:tcW w:w="919" w:type="dxa"/>
                  <w:noWrap w:val="0"/>
                  <w:vAlign w:val="center"/>
                </w:tcPr>
                <w:p w14:paraId="6D3DF3E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int="eastAsia"/>
                      <w:bCs/>
                      <w:spacing w:val="-4"/>
                      <w:sz w:val="21"/>
                      <w:szCs w:val="21"/>
                    </w:rPr>
                    <w:t>SS</w:t>
                  </w:r>
                </w:p>
              </w:tc>
              <w:tc>
                <w:tcPr>
                  <w:tcW w:w="1303" w:type="dxa"/>
                  <w:vMerge w:val="continue"/>
                  <w:noWrap w:val="0"/>
                  <w:vAlign w:val="center"/>
                </w:tcPr>
                <w:p w14:paraId="662E781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sz w:val="21"/>
                      <w:szCs w:val="21"/>
                    </w:rPr>
                  </w:pPr>
                </w:p>
              </w:tc>
              <w:tc>
                <w:tcPr>
                  <w:tcW w:w="1593" w:type="dxa"/>
                  <w:noWrap w:val="0"/>
                  <w:vAlign w:val="center"/>
                </w:tcPr>
                <w:p w14:paraId="6CD4593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sz w:val="21"/>
                      <w:szCs w:val="21"/>
                    </w:rPr>
                  </w:pPr>
                  <w:r>
                    <w:rPr>
                      <w:rFonts w:hint="eastAsia"/>
                      <w:bCs/>
                      <w:sz w:val="21"/>
                      <w:szCs w:val="21"/>
                    </w:rPr>
                    <w:t>400</w:t>
                  </w:r>
                </w:p>
              </w:tc>
              <w:tc>
                <w:tcPr>
                  <w:tcW w:w="1158" w:type="dxa"/>
                  <w:vMerge w:val="continue"/>
                  <w:noWrap w:val="0"/>
                  <w:vAlign w:val="center"/>
                </w:tcPr>
                <w:p w14:paraId="5BFBCDA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p>
              </w:tc>
              <w:tc>
                <w:tcPr>
                  <w:tcW w:w="1470" w:type="dxa"/>
                  <w:noWrap w:val="0"/>
                  <w:vAlign w:val="center"/>
                </w:tcPr>
                <w:p w14:paraId="3275D22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sz w:val="21"/>
                      <w:szCs w:val="21"/>
                      <w:lang w:val="en-US" w:eastAsia="zh-CN"/>
                    </w:rPr>
                  </w:pPr>
                  <w:r>
                    <w:rPr>
                      <w:rFonts w:hint="eastAsia"/>
                      <w:sz w:val="21"/>
                      <w:szCs w:val="21"/>
                      <w:lang w:val="en-US" w:eastAsia="zh-CN"/>
                    </w:rPr>
                    <w:t>180</w:t>
                  </w:r>
                </w:p>
              </w:tc>
            </w:tr>
            <w:tr w14:paraId="1B8B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729" w:type="dxa"/>
                  <w:noWrap w:val="0"/>
                  <w:vAlign w:val="center"/>
                </w:tcPr>
                <w:p w14:paraId="0CF1804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int="eastAsia"/>
                      <w:sz w:val="21"/>
                      <w:szCs w:val="21"/>
                    </w:rPr>
                    <w:t>4</w:t>
                  </w:r>
                </w:p>
              </w:tc>
              <w:tc>
                <w:tcPr>
                  <w:tcW w:w="944" w:type="dxa"/>
                  <w:vMerge w:val="continue"/>
                  <w:noWrap w:val="0"/>
                  <w:vAlign w:val="center"/>
                </w:tcPr>
                <w:p w14:paraId="33C095B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p>
              </w:tc>
              <w:tc>
                <w:tcPr>
                  <w:tcW w:w="919" w:type="dxa"/>
                  <w:noWrap w:val="0"/>
                  <w:vAlign w:val="center"/>
                </w:tcPr>
                <w:p w14:paraId="6B0962EE">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bCs/>
                      <w:spacing w:val="-4"/>
                      <w:sz w:val="21"/>
                      <w:szCs w:val="21"/>
                    </w:rPr>
                    <w:t>NH</w:t>
                  </w:r>
                  <w:r>
                    <w:rPr>
                      <w:bCs/>
                      <w:spacing w:val="-4"/>
                      <w:sz w:val="21"/>
                      <w:szCs w:val="21"/>
                      <w:vertAlign w:val="subscript"/>
                    </w:rPr>
                    <w:t>3</w:t>
                  </w:r>
                  <w:r>
                    <w:rPr>
                      <w:bCs/>
                      <w:spacing w:val="-4"/>
                      <w:sz w:val="21"/>
                      <w:szCs w:val="21"/>
                    </w:rPr>
                    <w:t>-N</w:t>
                  </w:r>
                </w:p>
              </w:tc>
              <w:tc>
                <w:tcPr>
                  <w:tcW w:w="1303" w:type="dxa"/>
                  <w:vMerge w:val="continue"/>
                  <w:noWrap w:val="0"/>
                  <w:vAlign w:val="center"/>
                </w:tcPr>
                <w:p w14:paraId="25C2161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sz w:val="21"/>
                      <w:szCs w:val="21"/>
                    </w:rPr>
                  </w:pPr>
                </w:p>
              </w:tc>
              <w:tc>
                <w:tcPr>
                  <w:tcW w:w="1593" w:type="dxa"/>
                  <w:noWrap w:val="0"/>
                  <w:vAlign w:val="center"/>
                </w:tcPr>
                <w:p w14:paraId="0122647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sz w:val="21"/>
                      <w:szCs w:val="21"/>
                    </w:rPr>
                  </w:pPr>
                  <w:r>
                    <w:rPr>
                      <w:rFonts w:hint="eastAsia"/>
                      <w:bCs/>
                      <w:sz w:val="21"/>
                      <w:szCs w:val="21"/>
                    </w:rPr>
                    <w:t>/</w:t>
                  </w:r>
                </w:p>
              </w:tc>
              <w:tc>
                <w:tcPr>
                  <w:tcW w:w="1158" w:type="dxa"/>
                  <w:vMerge w:val="continue"/>
                  <w:noWrap w:val="0"/>
                  <w:vAlign w:val="center"/>
                </w:tcPr>
                <w:p w14:paraId="7C1BA441">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p>
              </w:tc>
              <w:tc>
                <w:tcPr>
                  <w:tcW w:w="1470" w:type="dxa"/>
                  <w:noWrap w:val="0"/>
                  <w:vAlign w:val="center"/>
                </w:tcPr>
                <w:p w14:paraId="07C4835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sz w:val="21"/>
                      <w:szCs w:val="21"/>
                      <w:lang w:val="en-US" w:eastAsia="zh-CN"/>
                    </w:rPr>
                  </w:pPr>
                  <w:r>
                    <w:rPr>
                      <w:rFonts w:hint="eastAsia"/>
                      <w:sz w:val="21"/>
                      <w:szCs w:val="21"/>
                      <w:lang w:val="en-US" w:eastAsia="zh-CN"/>
                    </w:rPr>
                    <w:t>59</w:t>
                  </w:r>
                </w:p>
              </w:tc>
            </w:tr>
            <w:tr w14:paraId="2B09F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729" w:type="dxa"/>
                  <w:noWrap w:val="0"/>
                  <w:vAlign w:val="center"/>
                </w:tcPr>
                <w:p w14:paraId="39DBAF5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int="eastAsia"/>
                      <w:sz w:val="21"/>
                      <w:szCs w:val="21"/>
                    </w:rPr>
                    <w:t>5</w:t>
                  </w:r>
                </w:p>
              </w:tc>
              <w:tc>
                <w:tcPr>
                  <w:tcW w:w="944" w:type="dxa"/>
                  <w:vMerge w:val="continue"/>
                  <w:noWrap w:val="0"/>
                  <w:vAlign w:val="center"/>
                </w:tcPr>
                <w:p w14:paraId="6B9A6E0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p>
              </w:tc>
              <w:tc>
                <w:tcPr>
                  <w:tcW w:w="919" w:type="dxa"/>
                  <w:noWrap w:val="0"/>
                  <w:vAlign w:val="center"/>
                </w:tcPr>
                <w:p w14:paraId="730C43B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spacing w:val="-4"/>
                      <w:sz w:val="21"/>
                      <w:szCs w:val="21"/>
                    </w:rPr>
                  </w:pPr>
                  <w:r>
                    <w:rPr>
                      <w:rFonts w:hint="eastAsia"/>
                      <w:bCs/>
                      <w:spacing w:val="-4"/>
                      <w:sz w:val="21"/>
                      <w:szCs w:val="21"/>
                    </w:rPr>
                    <w:t>TP</w:t>
                  </w:r>
                </w:p>
              </w:tc>
              <w:tc>
                <w:tcPr>
                  <w:tcW w:w="1303" w:type="dxa"/>
                  <w:vMerge w:val="continue"/>
                  <w:noWrap w:val="0"/>
                  <w:vAlign w:val="center"/>
                </w:tcPr>
                <w:p w14:paraId="6C90E93C">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sz w:val="21"/>
                      <w:szCs w:val="21"/>
                    </w:rPr>
                  </w:pPr>
                </w:p>
              </w:tc>
              <w:tc>
                <w:tcPr>
                  <w:tcW w:w="1593" w:type="dxa"/>
                  <w:noWrap w:val="0"/>
                  <w:vAlign w:val="center"/>
                </w:tcPr>
                <w:p w14:paraId="652FF9E5">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sz w:val="21"/>
                      <w:szCs w:val="21"/>
                    </w:rPr>
                  </w:pPr>
                  <w:r>
                    <w:rPr>
                      <w:rFonts w:hint="eastAsia"/>
                      <w:bCs/>
                      <w:sz w:val="21"/>
                      <w:szCs w:val="21"/>
                    </w:rPr>
                    <w:t>/</w:t>
                  </w:r>
                </w:p>
              </w:tc>
              <w:tc>
                <w:tcPr>
                  <w:tcW w:w="1158" w:type="dxa"/>
                  <w:vMerge w:val="continue"/>
                  <w:noWrap w:val="0"/>
                  <w:vAlign w:val="center"/>
                </w:tcPr>
                <w:p w14:paraId="753209E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p>
              </w:tc>
              <w:tc>
                <w:tcPr>
                  <w:tcW w:w="1470" w:type="dxa"/>
                  <w:noWrap w:val="0"/>
                  <w:vAlign w:val="center"/>
                </w:tcPr>
                <w:p w14:paraId="42253C49">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sz w:val="21"/>
                      <w:szCs w:val="21"/>
                      <w:lang w:eastAsia="zh-CN"/>
                    </w:rPr>
                  </w:pPr>
                  <w:r>
                    <w:rPr>
                      <w:rFonts w:hint="eastAsia"/>
                      <w:sz w:val="21"/>
                      <w:szCs w:val="21"/>
                      <w:lang w:val="en-US" w:eastAsia="zh-CN"/>
                    </w:rPr>
                    <w:t>4</w:t>
                  </w:r>
                </w:p>
              </w:tc>
            </w:tr>
            <w:tr w14:paraId="4E85D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97" w:hRule="exact"/>
                <w:jc w:val="center"/>
              </w:trPr>
              <w:tc>
                <w:tcPr>
                  <w:tcW w:w="729" w:type="dxa"/>
                  <w:noWrap w:val="0"/>
                  <w:vAlign w:val="center"/>
                </w:tcPr>
                <w:p w14:paraId="2C455483">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int="eastAsia"/>
                      <w:sz w:val="21"/>
                      <w:szCs w:val="21"/>
                    </w:rPr>
                    <w:t>6</w:t>
                  </w:r>
                </w:p>
              </w:tc>
              <w:tc>
                <w:tcPr>
                  <w:tcW w:w="944" w:type="dxa"/>
                  <w:vMerge w:val="continue"/>
                  <w:noWrap w:val="0"/>
                  <w:vAlign w:val="center"/>
                </w:tcPr>
                <w:p w14:paraId="78F6953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p>
              </w:tc>
              <w:tc>
                <w:tcPr>
                  <w:tcW w:w="919" w:type="dxa"/>
                  <w:noWrap w:val="0"/>
                  <w:vAlign w:val="center"/>
                </w:tcPr>
                <w:p w14:paraId="66630CC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spacing w:val="-4"/>
                      <w:sz w:val="21"/>
                      <w:szCs w:val="21"/>
                    </w:rPr>
                  </w:pPr>
                  <w:r>
                    <w:rPr>
                      <w:rFonts w:hint="eastAsia"/>
                      <w:bCs/>
                      <w:spacing w:val="-4"/>
                      <w:sz w:val="21"/>
                      <w:szCs w:val="21"/>
                    </w:rPr>
                    <w:t>TN</w:t>
                  </w:r>
                </w:p>
              </w:tc>
              <w:tc>
                <w:tcPr>
                  <w:tcW w:w="1303" w:type="dxa"/>
                  <w:vMerge w:val="continue"/>
                  <w:noWrap w:val="0"/>
                  <w:vAlign w:val="center"/>
                </w:tcPr>
                <w:p w14:paraId="635F981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sz w:val="21"/>
                      <w:szCs w:val="21"/>
                    </w:rPr>
                  </w:pPr>
                </w:p>
              </w:tc>
              <w:tc>
                <w:tcPr>
                  <w:tcW w:w="1593" w:type="dxa"/>
                  <w:noWrap w:val="0"/>
                  <w:vAlign w:val="center"/>
                </w:tcPr>
                <w:p w14:paraId="661F5186">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bCs/>
                      <w:sz w:val="21"/>
                      <w:szCs w:val="21"/>
                    </w:rPr>
                  </w:pPr>
                  <w:r>
                    <w:rPr>
                      <w:rFonts w:hint="eastAsia"/>
                      <w:sz w:val="21"/>
                      <w:szCs w:val="21"/>
                    </w:rPr>
                    <w:t>/</w:t>
                  </w:r>
                </w:p>
              </w:tc>
              <w:tc>
                <w:tcPr>
                  <w:tcW w:w="1158" w:type="dxa"/>
                  <w:vMerge w:val="continue"/>
                  <w:noWrap w:val="0"/>
                  <w:vAlign w:val="center"/>
                </w:tcPr>
                <w:p w14:paraId="2D573D3A">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p>
              </w:tc>
              <w:tc>
                <w:tcPr>
                  <w:tcW w:w="1470" w:type="dxa"/>
                  <w:noWrap w:val="0"/>
                  <w:vAlign w:val="center"/>
                </w:tcPr>
                <w:p w14:paraId="6EEA19B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sz w:val="21"/>
                      <w:szCs w:val="21"/>
                      <w:lang w:val="en-US" w:eastAsia="zh-CN"/>
                    </w:rPr>
                  </w:pPr>
                  <w:r>
                    <w:rPr>
                      <w:rFonts w:hint="eastAsia"/>
                      <w:sz w:val="21"/>
                      <w:szCs w:val="21"/>
                      <w:lang w:val="en-US" w:eastAsia="zh-CN"/>
                    </w:rPr>
                    <w:t>70</w:t>
                  </w:r>
                </w:p>
              </w:tc>
            </w:tr>
          </w:tbl>
          <w:p w14:paraId="4760FBE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Times New Roman" w:hAnsi="Times New Roman" w:eastAsia="宋体" w:cs="Times New Roman"/>
                <w:color w:val="000000"/>
                <w:lang w:eastAsia="zh-CN"/>
              </w:rPr>
            </w:pPr>
            <w:r>
              <w:rPr>
                <w:rFonts w:hint="default" w:ascii="Times New Roman" w:hAnsi="Times New Roman" w:cs="Times New Roman"/>
                <w:color w:val="000000"/>
              </w:rPr>
              <w:t>④</w:t>
            </w:r>
            <w:r>
              <w:rPr>
                <w:rFonts w:hint="eastAsia" w:ascii="Times New Roman" w:hAnsi="Times New Roman" w:cs="Times New Roman"/>
                <w:color w:val="000000"/>
                <w:lang w:eastAsia="zh-CN"/>
              </w:rPr>
              <w:t>总量控制指标</w:t>
            </w:r>
          </w:p>
          <w:p w14:paraId="04595CB3">
            <w:pPr>
              <w:pStyle w:val="7"/>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cs="Times New Roman"/>
                <w:b/>
                <w:bCs/>
                <w:color w:val="auto"/>
                <w:spacing w:val="0"/>
                <w:kern w:val="0"/>
                <w:sz w:val="24"/>
                <w:highlight w:val="none"/>
                <w:lang w:val="en-US" w:eastAsia="zh-CN"/>
              </w:rPr>
            </w:pPr>
            <w:r>
              <w:rPr>
                <w:rFonts w:hint="eastAsia"/>
                <w:color w:val="000000"/>
                <w:sz w:val="24"/>
                <w:lang w:eastAsia="zh-CN"/>
              </w:rPr>
              <w:t>新乡县综合污水处理厂</w:t>
            </w:r>
            <w:r>
              <w:rPr>
                <w:rFonts w:hint="eastAsia"/>
                <w:color w:val="000000"/>
                <w:sz w:val="24"/>
                <w:szCs w:val="24"/>
              </w:rPr>
              <w:t>出水浓度</w:t>
            </w:r>
            <w:r>
              <w:rPr>
                <w:sz w:val="24"/>
              </w:rPr>
              <w:t>COD、NH</w:t>
            </w:r>
            <w:r>
              <w:rPr>
                <w:sz w:val="24"/>
                <w:vertAlign w:val="subscript"/>
              </w:rPr>
              <w:t>3</w:t>
            </w:r>
            <w:r>
              <w:rPr>
                <w:sz w:val="24"/>
              </w:rPr>
              <w:t>-N、TP指标执行《地表水环境质量标准》（GB3838-2002）Ⅴ类标准，</w:t>
            </w:r>
            <w:r>
              <w:rPr>
                <w:rFonts w:hint="eastAsia"/>
                <w:sz w:val="24"/>
              </w:rPr>
              <w:t>S</w:t>
            </w:r>
            <w:r>
              <w:rPr>
                <w:sz w:val="24"/>
              </w:rPr>
              <w:t>S</w:t>
            </w:r>
            <w:r>
              <w:rPr>
                <w:rFonts w:hint="eastAsia"/>
                <w:sz w:val="24"/>
              </w:rPr>
              <w:t>、</w:t>
            </w:r>
            <w:r>
              <w:rPr>
                <w:sz w:val="24"/>
              </w:rPr>
              <w:t>TN指标执行《城镇污水处理厂污染物排放标准》（GB18918-2002）一级A标准</w:t>
            </w:r>
            <w:r>
              <w:rPr>
                <w:rFonts w:hint="eastAsia"/>
                <w:color w:val="000000"/>
                <w:sz w:val="24"/>
                <w:szCs w:val="24"/>
              </w:rPr>
              <w:t>。</w:t>
            </w:r>
            <w:r>
              <w:rPr>
                <w:rFonts w:hint="default" w:ascii="Times New Roman" w:hAnsi="Times New Roman" w:cs="Times New Roman"/>
                <w:color w:val="auto"/>
                <w:sz w:val="24"/>
                <w:szCs w:val="24"/>
              </w:rPr>
              <w:t>本项</w:t>
            </w:r>
            <w:r>
              <w:rPr>
                <w:rFonts w:hint="default" w:ascii="Times New Roman" w:hAnsi="Times New Roman" w:cs="Times New Roman"/>
                <w:color w:val="auto"/>
              </w:rPr>
              <w:t>目废水经</w:t>
            </w:r>
            <w:r>
              <w:rPr>
                <w:rFonts w:hint="eastAsia" w:cs="Times New Roman"/>
                <w:color w:val="auto"/>
                <w:lang w:eastAsia="zh-CN"/>
              </w:rPr>
              <w:t>新乡县综合污水处理厂</w:t>
            </w:r>
            <w:r>
              <w:rPr>
                <w:rFonts w:hint="default" w:ascii="Times New Roman" w:hAnsi="Times New Roman" w:cs="Times New Roman"/>
                <w:color w:val="auto"/>
              </w:rPr>
              <w:t>处理后废水污染物排放总量COD</w:t>
            </w:r>
            <w:r>
              <w:rPr>
                <w:rFonts w:hint="eastAsia" w:ascii="Times New Roman" w:hAnsi="Times New Roman" w:cs="Times New Roman"/>
                <w:color w:val="auto"/>
                <w:lang w:val="en-US" w:eastAsia="zh-CN"/>
              </w:rPr>
              <w:t xml:space="preserve"> 0.0</w:t>
            </w:r>
            <w:r>
              <w:rPr>
                <w:rFonts w:hint="eastAsia" w:cs="Times New Roman"/>
                <w:color w:val="auto"/>
                <w:lang w:val="en-US" w:eastAsia="zh-CN"/>
              </w:rPr>
              <w:t>1</w:t>
            </w:r>
            <w:r>
              <w:rPr>
                <w:rFonts w:hint="default" w:ascii="Times New Roman" w:hAnsi="Times New Roman" w:cs="Times New Roman"/>
                <w:color w:val="auto"/>
              </w:rPr>
              <w:t>t/a、NH</w:t>
            </w:r>
            <w:r>
              <w:rPr>
                <w:rFonts w:hint="default" w:ascii="Times New Roman" w:hAnsi="Times New Roman" w:cs="Times New Roman"/>
                <w:color w:val="auto"/>
                <w:vertAlign w:val="subscript"/>
              </w:rPr>
              <w:t>3</w:t>
            </w:r>
            <w:r>
              <w:rPr>
                <w:rFonts w:hint="default" w:ascii="Times New Roman" w:hAnsi="Times New Roman" w:cs="Times New Roman"/>
                <w:color w:val="auto"/>
              </w:rPr>
              <w:t xml:space="preserve">-N </w:t>
            </w:r>
            <w:r>
              <w:rPr>
                <w:rFonts w:hint="eastAsia" w:ascii="Times New Roman" w:hAnsi="Times New Roman" w:cs="Times New Roman"/>
                <w:color w:val="auto"/>
                <w:lang w:val="en-US" w:eastAsia="zh-CN"/>
              </w:rPr>
              <w:t>0.0005</w:t>
            </w:r>
            <w:r>
              <w:rPr>
                <w:rFonts w:hint="default" w:ascii="Times New Roman" w:hAnsi="Times New Roman" w:cs="Times New Roman"/>
                <w:color w:val="auto"/>
              </w:rPr>
              <w:t>t/a、TP 0.0</w:t>
            </w:r>
            <w:r>
              <w:rPr>
                <w:rFonts w:hint="eastAsia" w:ascii="Times New Roman" w:hAnsi="Times New Roman" w:cs="Times New Roman"/>
                <w:color w:val="auto"/>
                <w:lang w:val="en-US" w:eastAsia="zh-CN"/>
              </w:rPr>
              <w:t>001</w:t>
            </w:r>
            <w:r>
              <w:rPr>
                <w:rFonts w:hint="default" w:ascii="Times New Roman" w:hAnsi="Times New Roman" w:cs="Times New Roman"/>
                <w:color w:val="auto"/>
              </w:rPr>
              <w:t>t/a、TN 0.</w:t>
            </w:r>
            <w:r>
              <w:rPr>
                <w:rFonts w:hint="eastAsia" w:ascii="Times New Roman" w:hAnsi="Times New Roman" w:cs="Times New Roman"/>
                <w:color w:val="auto"/>
                <w:lang w:val="en-US" w:eastAsia="zh-CN"/>
              </w:rPr>
              <w:t>0037</w:t>
            </w:r>
            <w:r>
              <w:rPr>
                <w:rFonts w:hint="default" w:ascii="Times New Roman" w:hAnsi="Times New Roman" w:cs="Times New Roman"/>
                <w:color w:val="auto"/>
              </w:rPr>
              <w:t>t/a</w:t>
            </w:r>
            <w:r>
              <w:rPr>
                <w:rFonts w:hint="eastAsia" w:ascii="Times New Roman" w:hAnsi="Times New Roman" w:cs="Times New Roman"/>
                <w:color w:val="auto"/>
                <w:lang w:eastAsia="zh-CN"/>
              </w:rPr>
              <w:t>。</w:t>
            </w:r>
            <w:r>
              <w:rPr>
                <w:rFonts w:hint="eastAsia" w:ascii="Times New Roman" w:hAnsi="Times New Roman" w:eastAsia="宋体" w:cs="Times New Roman"/>
                <w:b w:val="0"/>
                <w:bCs w:val="0"/>
                <w:color w:val="000000"/>
                <w:sz w:val="24"/>
                <w:szCs w:val="24"/>
                <w:highlight w:val="none"/>
              </w:rPr>
              <w:t>根据《建设项目主要污染物排放总量指标审核及管理暂行办法》规定，建设项目废水排入城镇生活污水处理厂的，不纳入主要污染物排放总量指标管理范畴。</w:t>
            </w:r>
          </w:p>
          <w:p w14:paraId="529AC096">
            <w:pPr>
              <w:keepNext w:val="0"/>
              <w:keepLines w:val="0"/>
              <w:pageBreakBefore w:val="0"/>
              <w:widowControl w:val="0"/>
              <w:suppressLineNumbers w:val="0"/>
              <w:kinsoku/>
              <w:wordWrap/>
              <w:overflowPunct/>
              <w:topLinePunct w:val="0"/>
              <w:bidi w:val="0"/>
              <w:spacing w:before="0" w:beforeAutospacing="0" w:after="0" w:afterAutospacing="0" w:line="520" w:lineRule="exact"/>
              <w:ind w:left="0" w:right="0" w:firstLine="482" w:firstLineChars="200"/>
              <w:textAlignment w:val="auto"/>
              <w:rPr>
                <w:rFonts w:hint="default" w:ascii="Times New Roman" w:hAnsi="Times New Roman" w:eastAsia="宋体" w:cs="Times New Roman"/>
                <w:b/>
                <w:bCs/>
                <w:color w:val="auto"/>
                <w:spacing w:val="0"/>
                <w:kern w:val="0"/>
                <w:sz w:val="24"/>
                <w:highlight w:val="none"/>
                <w:lang w:eastAsia="zh-CN"/>
              </w:rPr>
            </w:pPr>
            <w:r>
              <w:rPr>
                <w:rFonts w:hint="eastAsia" w:cs="Times New Roman"/>
                <w:b/>
                <w:bCs/>
                <w:color w:val="auto"/>
                <w:spacing w:val="0"/>
                <w:kern w:val="0"/>
                <w:sz w:val="24"/>
                <w:highlight w:val="none"/>
                <w:lang w:val="en-US" w:eastAsia="zh-CN"/>
              </w:rPr>
              <w:t>2</w:t>
            </w:r>
            <w:r>
              <w:rPr>
                <w:rFonts w:hint="default" w:ascii="Times New Roman" w:hAnsi="Times New Roman" w:eastAsia="宋体" w:cs="Times New Roman"/>
                <w:b/>
                <w:bCs/>
                <w:color w:val="auto"/>
                <w:spacing w:val="0"/>
                <w:kern w:val="0"/>
                <w:sz w:val="24"/>
                <w:highlight w:val="none"/>
              </w:rPr>
              <w:t>、</w:t>
            </w:r>
            <w:r>
              <w:rPr>
                <w:rFonts w:hint="default" w:ascii="Times New Roman" w:hAnsi="Times New Roman" w:eastAsia="宋体" w:cs="Times New Roman"/>
                <w:b/>
                <w:color w:val="auto"/>
                <w:spacing w:val="0"/>
                <w:kern w:val="0"/>
                <w:sz w:val="24"/>
                <w:highlight w:val="none"/>
                <w:lang w:eastAsia="zh-CN"/>
              </w:rPr>
              <w:t>噪声</w:t>
            </w:r>
          </w:p>
          <w:p w14:paraId="00D11F14">
            <w:pPr>
              <w:keepNext w:val="0"/>
              <w:keepLines w:val="0"/>
              <w:pageBreakBefore w:val="0"/>
              <w:widowControl w:val="0"/>
              <w:kinsoku/>
              <w:wordWrap/>
              <w:overflowPunct/>
              <w:topLinePunct w:val="0"/>
              <w:autoSpaceDE/>
              <w:autoSpaceDN/>
              <w:bidi w:val="0"/>
              <w:adjustRightInd w:val="0"/>
              <w:snapToGrid w:val="0"/>
              <w:spacing w:line="520" w:lineRule="exact"/>
              <w:ind w:firstLine="480"/>
              <w:jc w:val="left"/>
              <w:textAlignment w:val="baseline"/>
              <w:rPr>
                <w:color w:val="auto"/>
                <w:sz w:val="24"/>
              </w:rPr>
            </w:pPr>
            <w:r>
              <w:rPr>
                <w:color w:val="auto"/>
                <w:sz w:val="24"/>
                <w:szCs w:val="24"/>
              </w:rPr>
              <w:t>项目高噪声源主要</w:t>
            </w:r>
            <w:r>
              <w:rPr>
                <w:rFonts w:hint="eastAsia"/>
                <w:color w:val="auto"/>
                <w:sz w:val="24"/>
                <w:szCs w:val="24"/>
              </w:rPr>
              <w:t>为</w:t>
            </w:r>
            <w:r>
              <w:rPr>
                <w:rFonts w:hint="eastAsia"/>
                <w:color w:val="auto"/>
                <w:sz w:val="24"/>
                <w:szCs w:val="24"/>
                <w:lang w:eastAsia="zh-CN"/>
              </w:rPr>
              <w:t>攻丝机、智能充磁机、双臂式力学实验机</w:t>
            </w:r>
            <w:r>
              <w:rPr>
                <w:color w:val="auto"/>
                <w:sz w:val="24"/>
                <w:szCs w:val="24"/>
              </w:rPr>
              <w:t>等</w:t>
            </w:r>
            <w:r>
              <w:rPr>
                <w:rFonts w:hint="eastAsia"/>
                <w:color w:val="auto"/>
                <w:sz w:val="24"/>
                <w:szCs w:val="24"/>
              </w:rPr>
              <w:t>设备</w:t>
            </w:r>
            <w:r>
              <w:rPr>
                <w:color w:val="auto"/>
                <w:sz w:val="24"/>
                <w:szCs w:val="24"/>
              </w:rPr>
              <w:t>，经类比《环境噪声与振动控制工程技术导则》（HJ2034-2013）附录A常见噪声源及其声功率级，本项目主要生产设备声功率级在</w:t>
            </w:r>
            <w:r>
              <w:rPr>
                <w:rFonts w:hint="eastAsia"/>
                <w:color w:val="auto"/>
                <w:sz w:val="24"/>
                <w:szCs w:val="24"/>
              </w:rPr>
              <w:t>7</w:t>
            </w:r>
            <w:r>
              <w:rPr>
                <w:rFonts w:hint="eastAsia"/>
                <w:color w:val="auto"/>
                <w:sz w:val="24"/>
                <w:szCs w:val="24"/>
                <w:lang w:val="en-US" w:eastAsia="zh-CN"/>
              </w:rPr>
              <w:t>0</w:t>
            </w:r>
            <w:r>
              <w:rPr>
                <w:color w:val="auto"/>
                <w:sz w:val="24"/>
                <w:szCs w:val="24"/>
              </w:rPr>
              <w:t>～</w:t>
            </w:r>
            <w:r>
              <w:rPr>
                <w:rFonts w:hint="eastAsia"/>
                <w:color w:val="auto"/>
                <w:sz w:val="24"/>
                <w:szCs w:val="24"/>
                <w:lang w:val="en-US" w:eastAsia="zh-CN"/>
              </w:rPr>
              <w:t>75</w:t>
            </w:r>
            <w:r>
              <w:rPr>
                <w:color w:val="auto"/>
                <w:sz w:val="24"/>
                <w:szCs w:val="24"/>
              </w:rPr>
              <w:t>dB（A）之间，其噪声源强采取</w:t>
            </w:r>
            <w:r>
              <w:rPr>
                <w:rFonts w:hint="eastAsia"/>
                <w:color w:val="auto"/>
                <w:sz w:val="24"/>
                <w:szCs w:val="24"/>
              </w:rPr>
              <w:t>设备减振、</w:t>
            </w:r>
            <w:r>
              <w:rPr>
                <w:color w:val="auto"/>
                <w:sz w:val="24"/>
                <w:szCs w:val="24"/>
              </w:rPr>
              <w:t>隔声、</w:t>
            </w:r>
            <w:r>
              <w:rPr>
                <w:rFonts w:hint="eastAsia"/>
                <w:color w:val="auto"/>
                <w:sz w:val="24"/>
                <w:szCs w:val="24"/>
              </w:rPr>
              <w:t>距离衰减</w:t>
            </w:r>
            <w:r>
              <w:rPr>
                <w:color w:val="auto"/>
                <w:sz w:val="24"/>
                <w:szCs w:val="24"/>
              </w:rPr>
              <w:t>等降噪措施。根据《环境影响评价技术导则声环境》（HJ2.4-2021），工业声源应按照室内声源计算。</w:t>
            </w:r>
          </w:p>
          <w:p w14:paraId="620987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rPr>
                <w:color w:val="auto"/>
                <w:spacing w:val="0"/>
                <w:kern w:val="0"/>
                <w:sz w:val="24"/>
              </w:rPr>
            </w:pPr>
            <w:r>
              <w:rPr>
                <w:color w:val="auto"/>
                <w:spacing w:val="0"/>
                <w:kern w:val="0"/>
                <w:sz w:val="24"/>
                <w:szCs w:val="24"/>
              </w:rPr>
              <w:t>声源位于室内，室内声源可采用等效室外声源声功率级法进行计算。设靠近开口处（或窗户）室内、室外某倍频带的声压级或A声级分别为Lp1和Lp2。</w:t>
            </w:r>
          </w:p>
          <w:p w14:paraId="093757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rPr>
                <w:color w:val="auto"/>
                <w:spacing w:val="0"/>
                <w:kern w:val="0"/>
                <w:sz w:val="24"/>
                <w:szCs w:val="24"/>
              </w:rPr>
            </w:pPr>
            <w:r>
              <w:rPr>
                <w:color w:val="auto"/>
                <w:spacing w:val="0"/>
                <w:kern w:val="0"/>
                <w:sz w:val="24"/>
                <w:szCs w:val="24"/>
              </w:rPr>
              <w:t>计算某一室内声源靠近围护结构处产生的倍频带声压级或A声级公式如下：</w:t>
            </w:r>
          </w:p>
          <w:p w14:paraId="41E13BD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rPr>
                <w:color w:val="auto"/>
                <w:spacing w:val="0"/>
                <w:kern w:val="0"/>
                <w:sz w:val="24"/>
              </w:rPr>
            </w:pPr>
            <m:oMathPara>
              <m:oMath>
                <m:sSub>
                  <m:sSubPr>
                    <m:ctrlPr>
                      <w:rPr>
                        <w:rFonts w:ascii="Cambria Math" w:hAnsi="Cambria Math" w:cs="Times New Roman"/>
                        <w:i w:val="0"/>
                        <w:iCs/>
                        <w:color w:val="auto"/>
                        <w:sz w:val="24"/>
                      </w:rPr>
                    </m:ctrlPr>
                  </m:sSubPr>
                  <m:e>
                    <m:r>
                      <m:rPr>
                        <m:sty m:val="p"/>
                      </m:rPr>
                      <w:rPr>
                        <w:rFonts w:hint="default" w:ascii="Times New Roman" w:hAnsi="Times New Roman" w:cs="Times New Roman"/>
                        <w:color w:val="auto"/>
                        <w:sz w:val="24"/>
                        <w:lang w:val="en-US" w:eastAsia="zh-CN"/>
                      </w:rPr>
                      <m:t>L</m:t>
                    </m:r>
                    <m:ctrlPr>
                      <w:rPr>
                        <w:rFonts w:ascii="Cambria Math" w:hAnsi="Cambria Math" w:cs="Times New Roman"/>
                        <w:i w:val="0"/>
                        <w:iCs/>
                        <w:color w:val="auto"/>
                        <w:sz w:val="24"/>
                      </w:rPr>
                    </m:ctrlPr>
                  </m:e>
                  <m:sub>
                    <m:r>
                      <m:rPr>
                        <m:sty m:val="p"/>
                      </m:rPr>
                      <w:rPr>
                        <w:rFonts w:hint="default" w:ascii="Times New Roman" w:hAnsi="Times New Roman" w:cs="Times New Roman"/>
                        <w:color w:val="auto"/>
                        <w:sz w:val="24"/>
                        <w:lang w:val="en-US" w:eastAsia="zh-CN"/>
                      </w:rPr>
                      <m:t>p1</m:t>
                    </m:r>
                    <m:ctrlPr>
                      <w:rPr>
                        <w:rFonts w:ascii="Cambria Math" w:hAnsi="Cambria Math" w:cs="Times New Roman"/>
                        <w:i w:val="0"/>
                        <w:iCs/>
                        <w:color w:val="auto"/>
                        <w:sz w:val="24"/>
                      </w:rPr>
                    </m:ctrlPr>
                  </m:sub>
                </m:sSub>
                <m:r>
                  <m:rPr>
                    <m:sty m:val="p"/>
                  </m:rPr>
                  <w:rPr>
                    <w:rFonts w:hint="default" w:ascii="Times New Roman" w:hAnsi="Times New Roman" w:cs="Times New Roman"/>
                    <w:color w:val="auto"/>
                    <w:sz w:val="24"/>
                    <w:lang w:val="en-US" w:eastAsia="zh-CN"/>
                  </w:rPr>
                  <m:t>=</m:t>
                </m:r>
                <m:sSub>
                  <m:sSubPr>
                    <m:ctrlPr>
                      <w:rPr>
                        <w:rFonts w:hint="default" w:ascii="Cambria Math" w:hAnsi="Cambria Math" w:cs="Times New Roman"/>
                        <w:i w:val="0"/>
                        <w:iCs/>
                        <w:color w:val="auto"/>
                        <w:sz w:val="24"/>
                        <w:lang w:val="en-US" w:eastAsia="zh-CN"/>
                      </w:rPr>
                    </m:ctrlPr>
                  </m:sSubPr>
                  <m:e>
                    <m:r>
                      <m:rPr>
                        <m:sty m:val="p"/>
                      </m:rPr>
                      <w:rPr>
                        <w:rFonts w:hint="default" w:ascii="Times New Roman" w:hAnsi="Times New Roman" w:cs="Times New Roman"/>
                        <w:color w:val="auto"/>
                        <w:sz w:val="24"/>
                        <w:lang w:val="en-US" w:eastAsia="zh-CN"/>
                      </w:rPr>
                      <m:t>L</m:t>
                    </m:r>
                    <m:ctrlPr>
                      <w:rPr>
                        <w:rFonts w:hint="default" w:ascii="Cambria Math" w:hAnsi="Cambria Math" w:cs="Times New Roman"/>
                        <w:i w:val="0"/>
                        <w:iCs/>
                        <w:color w:val="auto"/>
                        <w:sz w:val="24"/>
                        <w:lang w:val="en-US" w:eastAsia="zh-CN"/>
                      </w:rPr>
                    </m:ctrlPr>
                  </m:e>
                  <m:sub>
                    <m:r>
                      <m:rPr>
                        <m:sty m:val="p"/>
                      </m:rPr>
                      <w:rPr>
                        <w:rFonts w:hint="default" w:ascii="Times New Roman" w:hAnsi="Times New Roman" w:cs="Times New Roman"/>
                        <w:color w:val="auto"/>
                        <w:sz w:val="24"/>
                        <w:lang w:val="en-US" w:eastAsia="zh-CN"/>
                      </w:rPr>
                      <m:t>w</m:t>
                    </m:r>
                    <m:ctrlPr>
                      <w:rPr>
                        <w:rFonts w:hint="default" w:ascii="Cambria Math" w:hAnsi="Cambria Math" w:cs="Times New Roman"/>
                        <w:i w:val="0"/>
                        <w:iCs/>
                        <w:color w:val="auto"/>
                        <w:sz w:val="24"/>
                        <w:lang w:val="en-US" w:eastAsia="zh-CN"/>
                      </w:rPr>
                    </m:ctrlPr>
                  </m:sub>
                </m:sSub>
                <m:r>
                  <m:rPr>
                    <m:sty m:val="p"/>
                  </m:rPr>
                  <w:rPr>
                    <w:rFonts w:hint="default" w:ascii="Times New Roman" w:hAnsi="Times New Roman" w:cs="Times New Roman"/>
                    <w:color w:val="auto"/>
                    <w:sz w:val="24"/>
                    <w:lang w:val="en-US" w:eastAsia="zh-CN"/>
                  </w:rPr>
                  <m:t>+10lg(</m:t>
                </m:r>
                <m:f>
                  <m:fPr>
                    <m:ctrlPr>
                      <w:rPr>
                        <w:rFonts w:hint="default" w:ascii="Cambria Math" w:hAnsi="Cambria Math" w:cs="Times New Roman"/>
                        <w:i w:val="0"/>
                        <w:iCs/>
                        <w:color w:val="auto"/>
                        <w:sz w:val="24"/>
                        <w:lang w:val="en-US" w:eastAsia="zh-CN"/>
                      </w:rPr>
                    </m:ctrlPr>
                  </m:fPr>
                  <m:num>
                    <m:r>
                      <m:rPr>
                        <m:sty m:val="p"/>
                      </m:rPr>
                      <w:rPr>
                        <w:rFonts w:hint="default" w:ascii="Times New Roman" w:hAnsi="Times New Roman" w:cs="Times New Roman"/>
                        <w:color w:val="auto"/>
                        <w:sz w:val="24"/>
                        <w:lang w:val="en-US" w:eastAsia="zh-CN"/>
                      </w:rPr>
                      <m:t>Q</m:t>
                    </m:r>
                    <m:ctrlPr>
                      <w:rPr>
                        <w:rFonts w:hint="default" w:ascii="Cambria Math" w:hAnsi="Cambria Math" w:cs="Times New Roman"/>
                        <w:i w:val="0"/>
                        <w:iCs/>
                        <w:color w:val="auto"/>
                        <w:sz w:val="24"/>
                        <w:lang w:val="en-US" w:eastAsia="zh-CN"/>
                      </w:rPr>
                    </m:ctrlPr>
                  </m:num>
                  <m:den>
                    <m:sSup>
                      <m:sSupPr>
                        <m:ctrlPr>
                          <w:rPr>
                            <w:rFonts w:hint="default" w:ascii="Cambria Math" w:hAnsi="Cambria Math" w:cs="Times New Roman"/>
                            <w:i w:val="0"/>
                            <w:iCs/>
                            <w:color w:val="auto"/>
                            <w:sz w:val="24"/>
                            <w:lang w:val="en-US" w:eastAsia="zh-CN"/>
                          </w:rPr>
                        </m:ctrlPr>
                      </m:sSupPr>
                      <m:e>
                        <m:r>
                          <m:rPr>
                            <m:sty m:val="p"/>
                          </m:rPr>
                          <w:rPr>
                            <w:rFonts w:hint="default" w:ascii="Times New Roman" w:hAnsi="Times New Roman" w:cs="Times New Roman"/>
                            <w:color w:val="auto"/>
                            <w:sz w:val="24"/>
                            <w:lang w:val="en-US" w:eastAsia="zh-CN"/>
                          </w:rPr>
                          <m:t>4</m:t>
                        </m:r>
                        <m:r>
                          <m:rPr>
                            <m:sty m:val="p"/>
                          </m:rPr>
                          <w:rPr>
                            <w:rFonts w:ascii="Times New Roman" w:hAnsi="Times New Roman" w:cs="Times New Roman"/>
                            <w:color w:val="auto"/>
                            <w:sz w:val="24"/>
                            <w:lang w:val="en-US"/>
                          </w:rPr>
                          <m:t>π</m:t>
                        </m:r>
                        <m:r>
                          <m:rPr>
                            <m:sty m:val="p"/>
                          </m:rPr>
                          <w:rPr>
                            <w:rFonts w:hint="default" w:ascii="Times New Roman" w:hAnsi="Times New Roman" w:cs="Times New Roman"/>
                            <w:color w:val="auto"/>
                            <w:sz w:val="24"/>
                            <w:lang w:val="en-US" w:eastAsia="zh-CN"/>
                          </w:rPr>
                          <m:t>r</m:t>
                        </m:r>
                        <m:ctrlPr>
                          <w:rPr>
                            <w:rFonts w:hint="default" w:ascii="Cambria Math" w:hAnsi="Cambria Math" w:cs="Times New Roman"/>
                            <w:i w:val="0"/>
                            <w:iCs/>
                            <w:color w:val="auto"/>
                            <w:sz w:val="24"/>
                            <w:lang w:val="en-US" w:eastAsia="zh-CN"/>
                          </w:rPr>
                        </m:ctrlPr>
                      </m:e>
                      <m:sup>
                        <m:r>
                          <m:rPr>
                            <m:sty m:val="p"/>
                          </m:rPr>
                          <w:rPr>
                            <w:rFonts w:hint="default" w:ascii="Times New Roman" w:hAnsi="Times New Roman" w:cs="Times New Roman"/>
                            <w:color w:val="auto"/>
                            <w:sz w:val="24"/>
                            <w:lang w:val="en-US" w:eastAsia="zh-CN"/>
                          </w:rPr>
                          <m:t>2</m:t>
                        </m:r>
                        <m:ctrlPr>
                          <w:rPr>
                            <w:rFonts w:hint="default" w:ascii="Cambria Math" w:hAnsi="Cambria Math" w:cs="Times New Roman"/>
                            <w:i w:val="0"/>
                            <w:iCs/>
                            <w:color w:val="auto"/>
                            <w:sz w:val="24"/>
                            <w:lang w:val="en-US" w:eastAsia="zh-CN"/>
                          </w:rPr>
                        </m:ctrlPr>
                      </m:sup>
                    </m:sSup>
                    <m:ctrlPr>
                      <w:rPr>
                        <w:rFonts w:hint="default" w:ascii="Cambria Math" w:hAnsi="Cambria Math" w:cs="Times New Roman"/>
                        <w:i w:val="0"/>
                        <w:iCs/>
                        <w:color w:val="auto"/>
                        <w:sz w:val="24"/>
                        <w:lang w:val="en-US" w:eastAsia="zh-CN"/>
                      </w:rPr>
                    </m:ctrlPr>
                  </m:den>
                </m:f>
                <m:r>
                  <m:rPr>
                    <m:sty m:val="p"/>
                  </m:rPr>
                  <w:rPr>
                    <w:rFonts w:hint="default" w:ascii="Times New Roman" w:hAnsi="Times New Roman" w:cs="Times New Roman"/>
                    <w:color w:val="auto"/>
                    <w:sz w:val="24"/>
                    <w:lang w:val="en-US" w:eastAsia="zh-CN"/>
                  </w:rPr>
                  <m:t>+</m:t>
                </m:r>
                <m:f>
                  <m:fPr>
                    <m:ctrlPr>
                      <w:rPr>
                        <w:rFonts w:hint="default" w:ascii="Cambria Math" w:hAnsi="Cambria Math" w:cs="Times New Roman"/>
                        <w:i w:val="0"/>
                        <w:iCs/>
                        <w:color w:val="auto"/>
                        <w:sz w:val="24"/>
                        <w:lang w:val="en-US" w:eastAsia="zh-CN"/>
                      </w:rPr>
                    </m:ctrlPr>
                  </m:fPr>
                  <m:num>
                    <m:r>
                      <m:rPr>
                        <m:sty m:val="p"/>
                      </m:rPr>
                      <w:rPr>
                        <w:rFonts w:hint="default" w:ascii="Times New Roman" w:hAnsi="Times New Roman" w:cs="Times New Roman"/>
                        <w:color w:val="auto"/>
                        <w:sz w:val="24"/>
                        <w:lang w:val="en-US" w:eastAsia="zh-CN"/>
                      </w:rPr>
                      <m:t>4</m:t>
                    </m:r>
                    <m:ctrlPr>
                      <w:rPr>
                        <w:rFonts w:hint="default" w:ascii="Cambria Math" w:hAnsi="Cambria Math" w:cs="Times New Roman"/>
                        <w:i w:val="0"/>
                        <w:iCs/>
                        <w:color w:val="auto"/>
                        <w:sz w:val="24"/>
                        <w:lang w:val="en-US" w:eastAsia="zh-CN"/>
                      </w:rPr>
                    </m:ctrlPr>
                  </m:num>
                  <m:den>
                    <m:r>
                      <m:rPr>
                        <m:sty m:val="p"/>
                      </m:rPr>
                      <w:rPr>
                        <w:rFonts w:hint="default" w:ascii="Times New Roman" w:hAnsi="Times New Roman" w:cs="Times New Roman"/>
                        <w:color w:val="auto"/>
                        <w:sz w:val="24"/>
                        <w:lang w:val="en-US" w:eastAsia="zh-CN"/>
                      </w:rPr>
                      <m:t>R</m:t>
                    </m:r>
                    <m:ctrlPr>
                      <w:rPr>
                        <w:rFonts w:hint="default" w:ascii="Cambria Math" w:hAnsi="Cambria Math" w:cs="Times New Roman"/>
                        <w:i w:val="0"/>
                        <w:iCs/>
                        <w:color w:val="auto"/>
                        <w:sz w:val="24"/>
                        <w:lang w:val="en-US" w:eastAsia="zh-CN"/>
                      </w:rPr>
                    </m:ctrlPr>
                  </m:den>
                </m:f>
                <m:r>
                  <m:rPr>
                    <m:sty m:val="p"/>
                  </m:rPr>
                  <w:rPr>
                    <w:rFonts w:hint="default" w:ascii="Times New Roman" w:hAnsi="Times New Roman" w:cs="Times New Roman"/>
                    <w:color w:val="auto"/>
                    <w:sz w:val="24"/>
                    <w:lang w:val="en-US" w:eastAsia="zh-CN"/>
                  </w:rPr>
                  <m:t>)</m:t>
                </m:r>
              </m:oMath>
            </m:oMathPara>
          </w:p>
          <w:p w14:paraId="1B056F3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rPr>
                <w:color w:val="auto"/>
                <w:spacing w:val="0"/>
                <w:kern w:val="0"/>
                <w:sz w:val="24"/>
              </w:rPr>
            </w:pPr>
            <w:r>
              <w:rPr>
                <w:color w:val="auto"/>
                <w:spacing w:val="0"/>
                <w:kern w:val="0"/>
                <w:sz w:val="24"/>
                <w:szCs w:val="24"/>
              </w:rPr>
              <w:t>式中：Lp1——靠近开口处（或窗户）室内某倍频带的声压级或A声级，dB；</w:t>
            </w:r>
          </w:p>
          <w:p w14:paraId="3735BFE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textAlignment w:val="baseline"/>
              <w:rPr>
                <w:color w:val="auto"/>
                <w:spacing w:val="0"/>
                <w:kern w:val="0"/>
                <w:sz w:val="24"/>
              </w:rPr>
            </w:pPr>
            <w:r>
              <w:rPr>
                <w:color w:val="auto"/>
                <w:spacing w:val="0"/>
                <w:kern w:val="0"/>
                <w:sz w:val="24"/>
                <w:szCs w:val="24"/>
              </w:rPr>
              <w:t>Lw1—点声源声功率级（A计权或倍频带），dB；</w:t>
            </w:r>
          </w:p>
          <w:p w14:paraId="1ED28C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textAlignment w:val="baseline"/>
              <w:rPr>
                <w:color w:val="auto"/>
                <w:spacing w:val="0"/>
                <w:kern w:val="0"/>
                <w:sz w:val="24"/>
              </w:rPr>
            </w:pPr>
            <w:r>
              <w:rPr>
                <w:color w:val="auto"/>
                <w:spacing w:val="0"/>
                <w:kern w:val="0"/>
                <w:sz w:val="24"/>
                <w:szCs w:val="24"/>
              </w:rPr>
              <w:t>Q—指向性因数；通常对无指向性声源，当声源放在房间中心时，Q=1；当放在一面墙的中心时，Q=2；当放在两面墙夹角处时，Q=4；当放在三面墙夹角处时，Q=8；本项目</w:t>
            </w:r>
            <w:r>
              <w:rPr>
                <w:rFonts w:hint="eastAsia"/>
                <w:color w:val="auto"/>
                <w:spacing w:val="0"/>
                <w:kern w:val="0"/>
                <w:sz w:val="24"/>
                <w:szCs w:val="24"/>
              </w:rPr>
              <w:t>Q值取</w:t>
            </w:r>
            <w:r>
              <w:rPr>
                <w:rFonts w:hint="eastAsia"/>
                <w:color w:val="auto"/>
                <w:spacing w:val="0"/>
                <w:kern w:val="0"/>
                <w:sz w:val="24"/>
                <w:szCs w:val="24"/>
                <w:lang w:val="en-US" w:eastAsia="zh-CN"/>
              </w:rPr>
              <w:t>2</w:t>
            </w:r>
            <w:r>
              <w:rPr>
                <w:rFonts w:hint="eastAsia"/>
                <w:color w:val="auto"/>
                <w:spacing w:val="0"/>
                <w:kern w:val="0"/>
                <w:sz w:val="24"/>
                <w:szCs w:val="24"/>
              </w:rPr>
              <w:t>。</w:t>
            </w:r>
          </w:p>
          <w:p w14:paraId="78E5BA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textAlignment w:val="baseline"/>
              <w:rPr>
                <w:color w:val="auto"/>
                <w:spacing w:val="0"/>
                <w:kern w:val="0"/>
                <w:sz w:val="24"/>
              </w:rPr>
            </w:pPr>
            <w:r>
              <w:rPr>
                <w:color w:val="auto"/>
                <w:spacing w:val="0"/>
                <w:kern w:val="0"/>
                <w:sz w:val="24"/>
                <w:szCs w:val="24"/>
              </w:rPr>
              <w:t>R——房间常数；R=Sα/（1-α），S为房间内表面面积，m</w:t>
            </w:r>
            <w:r>
              <w:rPr>
                <w:color w:val="auto"/>
                <w:spacing w:val="0"/>
                <w:kern w:val="0"/>
                <w:sz w:val="24"/>
                <w:szCs w:val="24"/>
                <w:vertAlign w:val="superscript"/>
              </w:rPr>
              <w:t>2</w:t>
            </w:r>
            <w:r>
              <w:rPr>
                <w:color w:val="auto"/>
                <w:spacing w:val="0"/>
                <w:kern w:val="0"/>
                <w:sz w:val="24"/>
                <w:szCs w:val="24"/>
              </w:rPr>
              <w:t>；α为平均吸声系数，取平均吸声系数0.</w:t>
            </w:r>
            <w:r>
              <w:rPr>
                <w:rFonts w:hint="eastAsia"/>
                <w:color w:val="auto"/>
                <w:spacing w:val="0"/>
                <w:kern w:val="0"/>
                <w:sz w:val="24"/>
                <w:szCs w:val="24"/>
              </w:rPr>
              <w:t>4</w:t>
            </w:r>
            <w:r>
              <w:rPr>
                <w:color w:val="auto"/>
                <w:spacing w:val="0"/>
                <w:kern w:val="0"/>
                <w:sz w:val="24"/>
                <w:szCs w:val="24"/>
              </w:rPr>
              <w:t>；</w:t>
            </w:r>
            <w:r>
              <w:rPr>
                <w:rFonts w:hint="eastAsia"/>
                <w:color w:val="auto"/>
                <w:spacing w:val="0"/>
                <w:kern w:val="0"/>
                <w:sz w:val="24"/>
                <w:szCs w:val="24"/>
                <w:lang w:eastAsia="zh-CN"/>
              </w:rPr>
              <w:t>生产车间内</w:t>
            </w:r>
            <w:r>
              <w:rPr>
                <w:color w:val="auto"/>
                <w:spacing w:val="0"/>
                <w:kern w:val="0"/>
                <w:sz w:val="24"/>
                <w:szCs w:val="24"/>
              </w:rPr>
              <w:t>表面面</w:t>
            </w:r>
            <w:r>
              <w:rPr>
                <w:color w:val="auto"/>
                <w:spacing w:val="0"/>
                <w:kern w:val="0"/>
                <w:sz w:val="24"/>
                <w:szCs w:val="24"/>
                <w:highlight w:val="none"/>
              </w:rPr>
              <w:t>积</w:t>
            </w:r>
            <w:r>
              <w:rPr>
                <w:rFonts w:hint="eastAsia"/>
                <w:color w:val="auto"/>
                <w:spacing w:val="0"/>
                <w:kern w:val="0"/>
                <w:sz w:val="24"/>
                <w:szCs w:val="24"/>
                <w:highlight w:val="none"/>
                <w:lang w:val="en-US" w:eastAsia="zh-CN"/>
              </w:rPr>
              <w:t>5333</w:t>
            </w:r>
            <w:r>
              <w:rPr>
                <w:color w:val="auto"/>
                <w:spacing w:val="0"/>
                <w:kern w:val="0"/>
                <w:sz w:val="24"/>
                <w:szCs w:val="24"/>
                <w:highlight w:val="none"/>
              </w:rPr>
              <w:t>m</w:t>
            </w:r>
            <w:r>
              <w:rPr>
                <w:color w:val="auto"/>
                <w:spacing w:val="0"/>
                <w:kern w:val="0"/>
                <w:sz w:val="24"/>
                <w:szCs w:val="24"/>
                <w:highlight w:val="none"/>
                <w:vertAlign w:val="superscript"/>
              </w:rPr>
              <w:t>2</w:t>
            </w:r>
            <w:r>
              <w:rPr>
                <w:color w:val="auto"/>
                <w:spacing w:val="0"/>
                <w:kern w:val="0"/>
                <w:sz w:val="24"/>
                <w:szCs w:val="24"/>
                <w:highlight w:val="none"/>
              </w:rPr>
              <w:t>，则R=</w:t>
            </w:r>
            <w:r>
              <w:rPr>
                <w:rFonts w:hint="eastAsia"/>
                <w:color w:val="auto"/>
                <w:spacing w:val="0"/>
                <w:kern w:val="0"/>
                <w:sz w:val="24"/>
                <w:szCs w:val="24"/>
                <w:highlight w:val="none"/>
                <w:lang w:val="en-US" w:eastAsia="zh-CN"/>
              </w:rPr>
              <w:t>3555</w:t>
            </w:r>
            <w:r>
              <w:rPr>
                <w:rFonts w:hint="eastAsia"/>
                <w:color w:val="auto"/>
                <w:spacing w:val="0"/>
                <w:kern w:val="0"/>
                <w:sz w:val="24"/>
                <w:szCs w:val="24"/>
              </w:rPr>
              <w:t>。</w:t>
            </w:r>
          </w:p>
          <w:p w14:paraId="08D4C79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rPr>
                <w:color w:val="auto"/>
                <w:spacing w:val="0"/>
                <w:kern w:val="0"/>
                <w:sz w:val="24"/>
              </w:rPr>
            </w:pPr>
            <w:r>
              <w:rPr>
                <w:color w:val="auto"/>
                <w:spacing w:val="0"/>
                <w:kern w:val="0"/>
                <w:sz w:val="24"/>
                <w:szCs w:val="24"/>
              </w:rPr>
              <w:t>r——声源到靠近围护结构某点处的距离，m</w:t>
            </w:r>
          </w:p>
          <w:p w14:paraId="08E9951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rPr>
                <w:color w:val="auto"/>
                <w:spacing w:val="0"/>
                <w:kern w:val="0"/>
                <w:sz w:val="24"/>
                <w:szCs w:val="24"/>
              </w:rPr>
            </w:pPr>
            <w:r>
              <w:rPr>
                <w:color w:val="auto"/>
                <w:spacing w:val="0"/>
                <w:kern w:val="0"/>
                <w:sz w:val="24"/>
                <w:szCs w:val="24"/>
              </w:rPr>
              <w:t>然后按下式计算出所有室内声源在围护结构处产生的i倍频带叠加声压级：</w:t>
            </w:r>
          </w:p>
          <w:p w14:paraId="2DB08CFB">
            <w:pPr>
              <w:pStyle w:val="2"/>
            </w:pPr>
          </w:p>
          <w:p w14:paraId="2EF418D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jc w:val="both"/>
              <w:rPr>
                <w:color w:val="auto"/>
                <w:spacing w:val="0"/>
                <w:kern w:val="0"/>
                <w:sz w:val="24"/>
              </w:rPr>
            </w:pPr>
            <m:oMathPara>
              <m:oMath>
                <m:sSub>
                  <m:sSubPr>
                    <m:ctrlPr>
                      <w:rPr>
                        <w:rFonts w:hint="default" w:ascii="Cambria Math" w:hAnsi="Cambria Math" w:cs="Times New Roman"/>
                        <w:b w:val="0"/>
                        <w:bCs w:val="0"/>
                        <w:i w:val="0"/>
                        <w:iCs/>
                        <w:color w:val="auto"/>
                        <w:kern w:val="44"/>
                        <w:sz w:val="24"/>
                        <w:szCs w:val="24"/>
                        <w:lang w:val="en-US" w:eastAsia="zh-CN" w:bidi="ar-SA"/>
                      </w:rPr>
                    </m:ctrlPr>
                  </m:sSubPr>
                  <m:e>
                    <m:r>
                      <m:rPr>
                        <m:sty m:val="p"/>
                      </m:rPr>
                      <w:rPr>
                        <w:rFonts w:hint="default" w:ascii="Times New Roman" w:hAnsi="Times New Roman" w:cs="Times New Roman"/>
                        <w:color w:val="auto"/>
                        <w:kern w:val="44"/>
                        <w:sz w:val="24"/>
                        <w:szCs w:val="24"/>
                        <w:lang w:val="en-US" w:eastAsia="zh-CN" w:bidi="ar-SA"/>
                      </w:rPr>
                      <m:t>L</m:t>
                    </m:r>
                    <m:ctrlPr>
                      <w:rPr>
                        <w:rFonts w:hint="default" w:ascii="Cambria Math" w:hAnsi="Cambria Math" w:cs="Times New Roman"/>
                        <w:b w:val="0"/>
                        <w:bCs w:val="0"/>
                        <w:i w:val="0"/>
                        <w:iCs/>
                        <w:color w:val="auto"/>
                        <w:kern w:val="44"/>
                        <w:sz w:val="24"/>
                        <w:szCs w:val="24"/>
                        <w:lang w:val="en-US" w:eastAsia="zh-CN" w:bidi="ar-SA"/>
                      </w:rPr>
                    </m:ctrlPr>
                  </m:e>
                  <m:sub>
                    <m:r>
                      <m:rPr>
                        <m:sty m:val="p"/>
                      </m:rPr>
                      <w:rPr>
                        <w:rFonts w:hint="default" w:ascii="Times New Roman" w:hAnsi="Times New Roman" w:cs="Times New Roman"/>
                        <w:color w:val="auto"/>
                        <w:kern w:val="44"/>
                        <w:sz w:val="24"/>
                        <w:szCs w:val="24"/>
                        <w:lang w:val="en-US" w:eastAsia="zh-CN" w:bidi="ar-SA"/>
                      </w:rPr>
                      <m:t>p1i</m:t>
                    </m:r>
                    <m:ctrlPr>
                      <w:rPr>
                        <w:rFonts w:hint="default" w:ascii="Cambria Math" w:hAnsi="Cambria Math" w:cs="Times New Roman"/>
                        <w:b w:val="0"/>
                        <w:bCs w:val="0"/>
                        <w:i w:val="0"/>
                        <w:iCs/>
                        <w:color w:val="auto"/>
                        <w:kern w:val="44"/>
                        <w:sz w:val="24"/>
                        <w:szCs w:val="24"/>
                        <w:lang w:val="en-US" w:eastAsia="zh-CN" w:bidi="ar-SA"/>
                      </w:rPr>
                    </m:ctrlPr>
                  </m:sub>
                </m:sSub>
                <m:r>
                  <m:rPr>
                    <m:sty m:val="p"/>
                  </m:rPr>
                  <w:rPr>
                    <w:rFonts w:hint="default" w:ascii="Times New Roman" w:hAnsi="Times New Roman" w:cs="Times New Roman"/>
                    <w:color w:val="auto"/>
                    <w:kern w:val="44"/>
                    <w:sz w:val="24"/>
                    <w:szCs w:val="24"/>
                    <w:lang w:val="en-US" w:eastAsia="zh-CN" w:bidi="ar-SA"/>
                  </w:rPr>
                  <m:t>(T)=10lg</m:t>
                </m:r>
                <m:nary>
                  <m:naryPr>
                    <m:chr m:val="∑"/>
                    <m:limLoc m:val="undOvr"/>
                    <m:ctrlPr>
                      <w:rPr>
                        <w:rFonts w:hint="default" w:ascii="Cambria Math" w:hAnsi="Cambria Math" w:cs="Times New Roman"/>
                        <w:b w:val="0"/>
                        <w:bCs w:val="0"/>
                        <w:i w:val="0"/>
                        <w:iCs/>
                        <w:color w:val="auto"/>
                        <w:kern w:val="44"/>
                        <w:sz w:val="24"/>
                        <w:szCs w:val="24"/>
                        <w:lang w:val="en-US" w:eastAsia="zh-CN" w:bidi="ar-SA"/>
                      </w:rPr>
                    </m:ctrlPr>
                  </m:naryPr>
                  <m:sub>
                    <m:r>
                      <m:rPr>
                        <m:sty m:val="p"/>
                      </m:rPr>
                      <w:rPr>
                        <w:rFonts w:hint="default" w:ascii="Times New Roman" w:hAnsi="Times New Roman" w:cs="Times New Roman"/>
                        <w:color w:val="auto"/>
                        <w:kern w:val="44"/>
                        <w:sz w:val="24"/>
                        <w:szCs w:val="24"/>
                        <w:lang w:val="en-US" w:eastAsia="zh-CN" w:bidi="ar-SA"/>
                      </w:rPr>
                      <m:t>j=1</m:t>
                    </m:r>
                    <m:ctrlPr>
                      <w:rPr>
                        <w:rFonts w:hint="default" w:ascii="Cambria Math" w:hAnsi="Cambria Math" w:cs="Times New Roman"/>
                        <w:b w:val="0"/>
                        <w:bCs w:val="0"/>
                        <w:i w:val="0"/>
                        <w:iCs/>
                        <w:color w:val="auto"/>
                        <w:kern w:val="44"/>
                        <w:sz w:val="24"/>
                        <w:szCs w:val="24"/>
                        <w:lang w:val="en-US" w:eastAsia="zh-CN" w:bidi="ar-SA"/>
                      </w:rPr>
                    </m:ctrlPr>
                  </m:sub>
                  <m:sup>
                    <m:r>
                      <m:rPr>
                        <m:sty m:val="p"/>
                      </m:rPr>
                      <w:rPr>
                        <w:rFonts w:hint="default" w:ascii="Times New Roman" w:hAnsi="Times New Roman" w:cs="Times New Roman"/>
                        <w:color w:val="auto"/>
                        <w:kern w:val="44"/>
                        <w:sz w:val="24"/>
                        <w:szCs w:val="24"/>
                        <w:lang w:val="en-US" w:eastAsia="zh-CN" w:bidi="ar-SA"/>
                      </w:rPr>
                      <m:t>N</m:t>
                    </m:r>
                    <m:ctrlPr>
                      <w:rPr>
                        <w:rFonts w:hint="default" w:ascii="Cambria Math" w:hAnsi="Cambria Math" w:cs="Times New Roman"/>
                        <w:b w:val="0"/>
                        <w:bCs w:val="0"/>
                        <w:i w:val="0"/>
                        <w:iCs/>
                        <w:color w:val="auto"/>
                        <w:kern w:val="44"/>
                        <w:sz w:val="24"/>
                        <w:szCs w:val="24"/>
                        <w:lang w:val="en-US" w:eastAsia="zh-CN" w:bidi="ar-SA"/>
                      </w:rPr>
                    </m:ctrlPr>
                  </m:sup>
                  <m:e>
                    <m:sSup>
                      <m:sSupPr>
                        <m:ctrlPr>
                          <w:rPr>
                            <w:rFonts w:hint="default" w:ascii="Cambria Math" w:hAnsi="Cambria Math" w:cs="Times New Roman"/>
                            <w:b w:val="0"/>
                            <w:bCs w:val="0"/>
                            <w:i w:val="0"/>
                            <w:iCs/>
                            <w:color w:val="auto"/>
                            <w:kern w:val="44"/>
                            <w:sz w:val="24"/>
                            <w:szCs w:val="24"/>
                            <w:lang w:val="en-US" w:eastAsia="zh-CN" w:bidi="ar-SA"/>
                          </w:rPr>
                        </m:ctrlPr>
                      </m:sSupPr>
                      <m:e>
                        <m:r>
                          <m:rPr>
                            <m:sty m:val="p"/>
                          </m:rPr>
                          <w:rPr>
                            <w:rFonts w:hint="default" w:ascii="Times New Roman" w:hAnsi="Times New Roman" w:cs="Times New Roman"/>
                            <w:color w:val="auto"/>
                            <w:kern w:val="44"/>
                            <w:sz w:val="24"/>
                            <w:szCs w:val="24"/>
                            <w:lang w:val="en-US" w:eastAsia="zh-CN" w:bidi="ar-SA"/>
                          </w:rPr>
                          <m:t>10</m:t>
                        </m:r>
                        <m:ctrlPr>
                          <w:rPr>
                            <w:rFonts w:hint="default" w:ascii="Cambria Math" w:hAnsi="Cambria Math" w:cs="Times New Roman"/>
                            <w:b w:val="0"/>
                            <w:bCs w:val="0"/>
                            <w:i w:val="0"/>
                            <w:iCs/>
                            <w:color w:val="auto"/>
                            <w:kern w:val="44"/>
                            <w:sz w:val="24"/>
                            <w:szCs w:val="24"/>
                            <w:lang w:val="en-US" w:eastAsia="zh-CN" w:bidi="ar-SA"/>
                          </w:rPr>
                        </m:ctrlPr>
                      </m:e>
                      <m:sup>
                        <m:sSub>
                          <m:sSubPr>
                            <m:ctrlPr>
                              <w:rPr>
                                <w:rFonts w:hint="default" w:ascii="Cambria Math" w:hAnsi="Cambria Math" w:cs="Times New Roman"/>
                                <w:b w:val="0"/>
                                <w:bCs w:val="0"/>
                                <w:i w:val="0"/>
                                <w:iCs/>
                                <w:color w:val="auto"/>
                                <w:kern w:val="44"/>
                                <w:sz w:val="24"/>
                                <w:szCs w:val="24"/>
                                <w:lang w:val="en-US" w:eastAsia="zh-CN" w:bidi="ar-SA"/>
                              </w:rPr>
                            </m:ctrlPr>
                          </m:sSubPr>
                          <m:e>
                            <m:r>
                              <m:rPr>
                                <m:sty m:val="p"/>
                              </m:rPr>
                              <w:rPr>
                                <w:rFonts w:hint="default" w:ascii="Times New Roman" w:hAnsi="Times New Roman" w:cs="Times New Roman"/>
                                <w:color w:val="auto"/>
                                <w:kern w:val="44"/>
                                <w:sz w:val="24"/>
                                <w:szCs w:val="24"/>
                                <w:lang w:val="en-US" w:eastAsia="zh-CN" w:bidi="ar-SA"/>
                              </w:rPr>
                              <m:t>0.1L</m:t>
                            </m:r>
                            <m:ctrlPr>
                              <w:rPr>
                                <w:rFonts w:hint="default" w:ascii="Cambria Math" w:hAnsi="Cambria Math" w:cs="Times New Roman"/>
                                <w:b w:val="0"/>
                                <w:bCs w:val="0"/>
                                <w:i w:val="0"/>
                                <w:iCs/>
                                <w:color w:val="auto"/>
                                <w:kern w:val="44"/>
                                <w:sz w:val="24"/>
                                <w:szCs w:val="24"/>
                                <w:lang w:val="en-US" w:eastAsia="zh-CN" w:bidi="ar-SA"/>
                              </w:rPr>
                            </m:ctrlPr>
                          </m:e>
                          <m:sub>
                            <m:r>
                              <m:rPr>
                                <m:sty m:val="p"/>
                              </m:rPr>
                              <w:rPr>
                                <w:rFonts w:hint="default" w:ascii="Times New Roman" w:hAnsi="Times New Roman" w:cs="Times New Roman"/>
                                <w:color w:val="auto"/>
                                <w:kern w:val="44"/>
                                <w:sz w:val="24"/>
                                <w:szCs w:val="24"/>
                                <w:lang w:val="en-US" w:eastAsia="zh-CN" w:bidi="ar-SA"/>
                              </w:rPr>
                              <m:t>p1ij</m:t>
                            </m:r>
                            <m:ctrlPr>
                              <w:rPr>
                                <w:rFonts w:hint="default" w:ascii="Cambria Math" w:hAnsi="Cambria Math" w:cs="Times New Roman"/>
                                <w:b w:val="0"/>
                                <w:bCs w:val="0"/>
                                <w:i w:val="0"/>
                                <w:iCs/>
                                <w:color w:val="auto"/>
                                <w:kern w:val="44"/>
                                <w:sz w:val="24"/>
                                <w:szCs w:val="24"/>
                                <w:lang w:val="en-US" w:eastAsia="zh-CN" w:bidi="ar-SA"/>
                              </w:rPr>
                            </m:ctrlPr>
                          </m:sub>
                        </m:sSub>
                        <m:ctrlPr>
                          <w:rPr>
                            <w:rFonts w:hint="default" w:ascii="Cambria Math" w:hAnsi="Cambria Math" w:cs="Times New Roman"/>
                            <w:b w:val="0"/>
                            <w:bCs w:val="0"/>
                            <w:i w:val="0"/>
                            <w:iCs/>
                            <w:color w:val="auto"/>
                            <w:kern w:val="44"/>
                            <w:sz w:val="24"/>
                            <w:szCs w:val="24"/>
                            <w:lang w:val="en-US" w:eastAsia="zh-CN" w:bidi="ar-SA"/>
                          </w:rPr>
                        </m:ctrlPr>
                      </m:sup>
                    </m:sSup>
                    <m:ctrlPr>
                      <w:rPr>
                        <w:rFonts w:hint="default" w:ascii="Cambria Math" w:hAnsi="Cambria Math" w:cs="Times New Roman"/>
                        <w:b w:val="0"/>
                        <w:bCs w:val="0"/>
                        <w:i w:val="0"/>
                        <w:iCs/>
                        <w:color w:val="auto"/>
                        <w:kern w:val="44"/>
                        <w:sz w:val="24"/>
                        <w:szCs w:val="24"/>
                        <w:lang w:val="en-US" w:eastAsia="zh-CN" w:bidi="ar-SA"/>
                      </w:rPr>
                    </m:ctrlPr>
                  </m:e>
                </m:nary>
              </m:oMath>
            </m:oMathPara>
          </w:p>
          <w:p w14:paraId="1FF91011">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jc w:val="both"/>
              <w:rPr>
                <w:color w:val="auto"/>
                <w:spacing w:val="0"/>
                <w:kern w:val="0"/>
                <w:sz w:val="24"/>
              </w:rPr>
            </w:pPr>
          </w:p>
          <w:p w14:paraId="1EA9E19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rPr>
                <w:color w:val="auto"/>
                <w:spacing w:val="0"/>
                <w:kern w:val="0"/>
                <w:sz w:val="24"/>
                <w:szCs w:val="24"/>
              </w:rPr>
            </w:pPr>
            <w:r>
              <w:rPr>
                <w:color w:val="auto"/>
                <w:spacing w:val="0"/>
                <w:kern w:val="0"/>
                <w:sz w:val="24"/>
                <w:szCs w:val="24"/>
              </w:rPr>
              <w:t>式中：Lp1i（T）——靠近围护结构处室内N个声源i倍频带的叠加声压级，dB；</w:t>
            </w:r>
          </w:p>
          <w:p w14:paraId="48DA3F6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rPr>
                <w:color w:val="auto"/>
                <w:spacing w:val="0"/>
                <w:kern w:val="0"/>
                <w:sz w:val="24"/>
              </w:rPr>
            </w:pPr>
            <w:r>
              <w:rPr>
                <w:color w:val="auto"/>
                <w:spacing w:val="0"/>
                <w:kern w:val="0"/>
                <w:sz w:val="24"/>
                <w:szCs w:val="24"/>
              </w:rPr>
              <w:t>Lp1ij——室内j声源i倍频带的声压级，dB；</w:t>
            </w:r>
          </w:p>
          <w:p w14:paraId="7A06D32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rPr>
                <w:color w:val="auto"/>
                <w:spacing w:val="0"/>
                <w:kern w:val="0"/>
                <w:sz w:val="24"/>
              </w:rPr>
            </w:pPr>
            <w:r>
              <w:rPr>
                <w:color w:val="auto"/>
                <w:spacing w:val="0"/>
                <w:kern w:val="0"/>
                <w:sz w:val="24"/>
                <w:szCs w:val="24"/>
              </w:rPr>
              <w:t>N——室内声源总数。</w:t>
            </w:r>
          </w:p>
          <w:p w14:paraId="67676D0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textAlignment w:val="baseline"/>
              <w:rPr>
                <w:color w:val="auto"/>
                <w:spacing w:val="0"/>
                <w:kern w:val="0"/>
                <w:sz w:val="24"/>
              </w:rPr>
            </w:pPr>
            <w:r>
              <w:rPr>
                <w:color w:val="auto"/>
                <w:spacing w:val="0"/>
                <w:kern w:val="0"/>
                <w:sz w:val="24"/>
                <w:szCs w:val="24"/>
              </w:rPr>
              <w:t>在室内近似为扩散声场时，按下式计算出靠近室外围护结构处的声压级：</w:t>
            </w:r>
          </w:p>
          <w:p w14:paraId="036F5C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textAlignment w:val="baseline"/>
              <w:rPr>
                <w:color w:val="auto"/>
                <w:spacing w:val="0"/>
                <w:kern w:val="0"/>
                <w:sz w:val="24"/>
              </w:rPr>
            </w:pPr>
            <w:r>
              <w:rPr>
                <w:color w:val="auto"/>
                <w:spacing w:val="0"/>
                <w:kern w:val="0"/>
                <w:sz w:val="24"/>
                <w:szCs w:val="24"/>
              </w:rPr>
              <w:t xml:space="preserve">         </w:t>
            </w:r>
            <w:r>
              <w:rPr>
                <w:rFonts w:hint="eastAsia"/>
                <w:color w:val="auto"/>
                <w:spacing w:val="0"/>
                <w:kern w:val="0"/>
                <w:sz w:val="24"/>
                <w:szCs w:val="24"/>
              </w:rPr>
              <w:t xml:space="preserve">        </w:t>
            </w:r>
            <w:r>
              <w:rPr>
                <w:color w:val="auto"/>
                <w:spacing w:val="0"/>
                <w:kern w:val="0"/>
                <w:sz w:val="24"/>
                <w:szCs w:val="24"/>
              </w:rPr>
              <w:t>Lp2i（T）=Lp1i（T）-（TLi+6）</w:t>
            </w:r>
          </w:p>
          <w:p w14:paraId="600E079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textAlignment w:val="baseline"/>
              <w:rPr>
                <w:color w:val="auto"/>
                <w:spacing w:val="0"/>
                <w:kern w:val="0"/>
                <w:sz w:val="24"/>
              </w:rPr>
            </w:pPr>
            <w:r>
              <w:rPr>
                <w:color w:val="auto"/>
                <w:spacing w:val="0"/>
                <w:kern w:val="0"/>
                <w:sz w:val="24"/>
                <w:szCs w:val="24"/>
              </w:rPr>
              <w:t>式中：Lp2i（T）——靠近围护结构处室外N个声源i倍频带的叠加声压级，dB；</w:t>
            </w:r>
          </w:p>
          <w:p w14:paraId="40746F6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textAlignment w:val="baseline"/>
              <w:rPr>
                <w:color w:val="auto"/>
                <w:spacing w:val="0"/>
                <w:kern w:val="0"/>
                <w:sz w:val="24"/>
              </w:rPr>
            </w:pPr>
            <w:r>
              <w:rPr>
                <w:color w:val="auto"/>
                <w:spacing w:val="0"/>
                <w:kern w:val="0"/>
                <w:sz w:val="24"/>
                <w:szCs w:val="24"/>
              </w:rPr>
              <w:t>Lp1i（T）——靠近围护结构处室内N个声源i倍频带的叠加声压级，dB；</w:t>
            </w:r>
          </w:p>
          <w:p w14:paraId="42BFAF4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textAlignment w:val="baseline"/>
              <w:rPr>
                <w:color w:val="auto"/>
                <w:spacing w:val="0"/>
                <w:kern w:val="0"/>
                <w:sz w:val="24"/>
              </w:rPr>
            </w:pPr>
            <w:r>
              <w:rPr>
                <w:color w:val="auto"/>
                <w:spacing w:val="0"/>
                <w:kern w:val="0"/>
                <w:sz w:val="24"/>
                <w:szCs w:val="24"/>
              </w:rPr>
              <w:t>TLi——围护结构i倍频带的隔声量，dB；</w:t>
            </w:r>
          </w:p>
          <w:p w14:paraId="7686F39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textAlignment w:val="baseline"/>
              <w:rPr>
                <w:color w:val="auto"/>
                <w:spacing w:val="0"/>
                <w:kern w:val="0"/>
                <w:sz w:val="24"/>
              </w:rPr>
            </w:pPr>
            <w:r>
              <w:rPr>
                <w:color w:val="auto"/>
                <w:spacing w:val="0"/>
                <w:kern w:val="0"/>
                <w:sz w:val="24"/>
                <w:szCs w:val="24"/>
              </w:rPr>
              <w:t>然后按下式将室外声源的声压级和透过面积换算成等效的室外声源，计算出中心位置位于透声面积（S）处的等效声源的倍频带声功率级：</w:t>
            </w:r>
          </w:p>
          <w:p w14:paraId="69EAC885">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center"/>
              <w:textAlignment w:val="baseline"/>
              <w:rPr>
                <w:color w:val="auto"/>
                <w:spacing w:val="0"/>
                <w:kern w:val="0"/>
                <w:sz w:val="24"/>
              </w:rPr>
            </w:pPr>
            <w:r>
              <w:rPr>
                <w:rFonts w:hint="eastAsia"/>
                <w:color w:val="auto"/>
                <w:spacing w:val="0"/>
                <w:kern w:val="0"/>
                <w:sz w:val="24"/>
                <w:szCs w:val="24"/>
              </w:rPr>
              <w:t>Lw2</w:t>
            </w:r>
            <w:r>
              <w:rPr>
                <w:color w:val="auto"/>
                <w:spacing w:val="0"/>
                <w:kern w:val="0"/>
                <w:sz w:val="24"/>
                <w:szCs w:val="24"/>
              </w:rPr>
              <w:t>=Lp2（T）+10lgS</w:t>
            </w:r>
          </w:p>
          <w:p w14:paraId="2B0204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textAlignment w:val="baseline"/>
              <w:rPr>
                <w:color w:val="auto"/>
                <w:spacing w:val="0"/>
                <w:kern w:val="0"/>
                <w:sz w:val="24"/>
              </w:rPr>
            </w:pPr>
            <w:r>
              <w:rPr>
                <w:color w:val="auto"/>
                <w:spacing w:val="0"/>
                <w:kern w:val="0"/>
                <w:sz w:val="24"/>
                <w:szCs w:val="24"/>
              </w:rPr>
              <w:t>式中：Lw2——中心位置位于透声面积（S）处的等效声源的倍频带声功率级，dB；</w:t>
            </w:r>
          </w:p>
          <w:p w14:paraId="1EF9C73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right="0" w:firstLine="1200" w:firstLineChars="500"/>
              <w:jc w:val="left"/>
              <w:textAlignment w:val="baseline"/>
              <w:rPr>
                <w:color w:val="auto"/>
                <w:spacing w:val="0"/>
                <w:kern w:val="0"/>
                <w:sz w:val="24"/>
              </w:rPr>
            </w:pPr>
            <w:r>
              <w:rPr>
                <w:color w:val="auto"/>
                <w:spacing w:val="0"/>
                <w:kern w:val="0"/>
                <w:sz w:val="24"/>
                <w:szCs w:val="24"/>
              </w:rPr>
              <w:t>Lp2（T）——靠近围护结构处室外声源的声压级，dB；</w:t>
            </w:r>
          </w:p>
          <w:p w14:paraId="6C0B3269">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1200" w:firstLineChars="500"/>
              <w:jc w:val="left"/>
              <w:textAlignment w:val="baseline"/>
              <w:rPr>
                <w:color w:val="auto"/>
                <w:spacing w:val="0"/>
                <w:kern w:val="0"/>
                <w:sz w:val="24"/>
              </w:rPr>
            </w:pPr>
            <w:r>
              <w:rPr>
                <w:color w:val="auto"/>
                <w:spacing w:val="0"/>
                <w:kern w:val="0"/>
                <w:sz w:val="24"/>
                <w:szCs w:val="24"/>
              </w:rPr>
              <w:t>S——透声面积，m</w:t>
            </w:r>
            <w:r>
              <w:rPr>
                <w:color w:val="auto"/>
                <w:spacing w:val="0"/>
                <w:kern w:val="0"/>
                <w:sz w:val="24"/>
                <w:szCs w:val="24"/>
                <w:vertAlign w:val="superscript"/>
              </w:rPr>
              <w:t>2</w:t>
            </w:r>
            <w:r>
              <w:rPr>
                <w:color w:val="auto"/>
                <w:spacing w:val="0"/>
                <w:kern w:val="0"/>
                <w:sz w:val="24"/>
                <w:szCs w:val="24"/>
              </w:rPr>
              <w:t>。</w:t>
            </w:r>
            <w:r>
              <w:rPr>
                <w:rFonts w:hint="eastAsia"/>
                <w:color w:val="auto"/>
                <w:spacing w:val="0"/>
                <w:kern w:val="0"/>
                <w:sz w:val="24"/>
                <w:szCs w:val="24"/>
              </w:rPr>
              <w:t>（</w:t>
            </w:r>
            <w:r>
              <w:rPr>
                <w:rFonts w:hint="eastAsia"/>
                <w:color w:val="auto"/>
                <w:spacing w:val="0"/>
                <w:kern w:val="0"/>
                <w:sz w:val="24"/>
                <w:szCs w:val="24"/>
                <w:lang w:val="en-US" w:eastAsia="zh-CN"/>
              </w:rPr>
              <w:t>车</w:t>
            </w:r>
            <w:r>
              <w:rPr>
                <w:rFonts w:hint="eastAsia"/>
                <w:color w:val="auto"/>
                <w:spacing w:val="0"/>
                <w:kern w:val="0"/>
                <w:sz w:val="24"/>
                <w:szCs w:val="24"/>
                <w:highlight w:val="none"/>
                <w:lang w:val="en-US" w:eastAsia="zh-CN"/>
              </w:rPr>
              <w:t>间S=80</w:t>
            </w:r>
            <w:r>
              <w:rPr>
                <w:color w:val="auto"/>
                <w:spacing w:val="0"/>
                <w:kern w:val="0"/>
                <w:sz w:val="24"/>
                <w:szCs w:val="24"/>
                <w:highlight w:val="none"/>
              </w:rPr>
              <w:t>m</w:t>
            </w:r>
            <w:r>
              <w:rPr>
                <w:color w:val="auto"/>
                <w:spacing w:val="0"/>
                <w:kern w:val="0"/>
                <w:sz w:val="24"/>
                <w:szCs w:val="24"/>
                <w:highlight w:val="none"/>
                <w:vertAlign w:val="superscript"/>
              </w:rPr>
              <w:t>2</w:t>
            </w:r>
            <w:r>
              <w:rPr>
                <w:rFonts w:hint="eastAsia"/>
                <w:color w:val="auto"/>
                <w:spacing w:val="0"/>
                <w:kern w:val="0"/>
                <w:sz w:val="24"/>
                <w:szCs w:val="24"/>
                <w:highlight w:val="none"/>
              </w:rPr>
              <w:t>。</w:t>
            </w:r>
            <w:r>
              <w:rPr>
                <w:rFonts w:hint="eastAsia"/>
                <w:color w:val="auto"/>
                <w:spacing w:val="0"/>
                <w:kern w:val="0"/>
                <w:sz w:val="24"/>
                <w:szCs w:val="24"/>
              </w:rPr>
              <w:t>）</w:t>
            </w:r>
          </w:p>
          <w:p w14:paraId="2709248D">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textAlignment w:val="baseline"/>
              <w:rPr>
                <w:color w:val="auto"/>
                <w:spacing w:val="0"/>
                <w:kern w:val="0"/>
                <w:sz w:val="24"/>
              </w:rPr>
            </w:pPr>
            <w:r>
              <w:rPr>
                <w:color w:val="auto"/>
                <w:spacing w:val="0"/>
                <w:kern w:val="0"/>
                <w:sz w:val="24"/>
                <w:szCs w:val="24"/>
              </w:rPr>
              <w:t>如果声源处于半自由声场，则预测点处声压级计算公式如下：</w:t>
            </w:r>
          </w:p>
          <w:p w14:paraId="66B83FC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jc w:val="center"/>
              <w:textAlignment w:val="baseline"/>
              <w:rPr>
                <w:color w:val="auto"/>
                <w:spacing w:val="0"/>
                <w:kern w:val="0"/>
                <w:sz w:val="24"/>
              </w:rPr>
            </w:pPr>
            <w:r>
              <w:rPr>
                <w:color w:val="auto"/>
                <w:spacing w:val="0"/>
                <w:kern w:val="0"/>
                <w:sz w:val="24"/>
                <w:szCs w:val="24"/>
              </w:rPr>
              <w:t>Lp（r）=Lw-20lgr-8</w:t>
            </w:r>
          </w:p>
          <w:p w14:paraId="54CF281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textAlignment w:val="baseline"/>
              <w:rPr>
                <w:color w:val="auto"/>
                <w:spacing w:val="0"/>
                <w:kern w:val="0"/>
                <w:sz w:val="24"/>
              </w:rPr>
            </w:pPr>
            <w:r>
              <w:rPr>
                <w:color w:val="auto"/>
                <w:spacing w:val="0"/>
                <w:kern w:val="0"/>
                <w:sz w:val="24"/>
                <w:szCs w:val="24"/>
              </w:rPr>
              <w:t>式中：Lp（r）——预测点处声压级，dB；</w:t>
            </w:r>
          </w:p>
          <w:p w14:paraId="1F69C0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left"/>
              <w:textAlignment w:val="baseline"/>
              <w:rPr>
                <w:color w:val="auto"/>
                <w:spacing w:val="0"/>
                <w:kern w:val="0"/>
                <w:sz w:val="24"/>
              </w:rPr>
            </w:pPr>
            <w:r>
              <w:rPr>
                <w:color w:val="auto"/>
                <w:spacing w:val="0"/>
                <w:kern w:val="0"/>
                <w:sz w:val="24"/>
                <w:szCs w:val="24"/>
              </w:rPr>
              <w:t xml:space="preserve">   </w:t>
            </w:r>
            <w:r>
              <w:rPr>
                <w:rFonts w:hint="eastAsia"/>
                <w:color w:val="auto"/>
                <w:spacing w:val="0"/>
                <w:kern w:val="0"/>
                <w:sz w:val="24"/>
                <w:szCs w:val="24"/>
                <w:lang w:val="en-US" w:eastAsia="zh-CN"/>
              </w:rPr>
              <w:t xml:space="preserve">   </w:t>
            </w:r>
            <w:r>
              <w:rPr>
                <w:color w:val="auto"/>
                <w:spacing w:val="0"/>
                <w:kern w:val="0"/>
                <w:sz w:val="24"/>
                <w:szCs w:val="24"/>
              </w:rPr>
              <w:t>Lw——由点声源产生的倍频带声功率级，dB；</w:t>
            </w:r>
          </w:p>
          <w:p w14:paraId="6892E853">
            <w:pPr>
              <w:pStyle w:val="2"/>
              <w:rPr>
                <w:rFonts w:ascii="Times New Roman" w:hAnsi="Times New Roman" w:eastAsia="宋体" w:cs="Times New Roman"/>
                <w:b w:val="0"/>
                <w:bCs w:val="0"/>
                <w:color w:val="auto"/>
                <w:spacing w:val="0"/>
                <w:kern w:val="0"/>
                <w:sz w:val="24"/>
                <w:szCs w:val="24"/>
                <w:lang w:val="en-US" w:eastAsia="zh-CN" w:bidi="ar-SA"/>
              </w:rPr>
            </w:pPr>
            <w:r>
              <w:rPr>
                <w:rFonts w:ascii="Times New Roman" w:hAnsi="Times New Roman" w:eastAsia="宋体" w:cs="Times New Roman"/>
                <w:b w:val="0"/>
                <w:bCs w:val="0"/>
                <w:color w:val="auto"/>
                <w:spacing w:val="0"/>
                <w:kern w:val="0"/>
                <w:sz w:val="24"/>
                <w:szCs w:val="24"/>
                <w:lang w:val="en-US" w:eastAsia="zh-CN" w:bidi="ar-SA"/>
              </w:rPr>
              <w:t xml:space="preserve">   r——预测点距声源的距离，m。</w:t>
            </w:r>
          </w:p>
          <w:p w14:paraId="198CDEF3">
            <w:pPr>
              <w:spacing w:line="420" w:lineRule="exact"/>
              <w:ind w:firstLine="480" w:firstLineChars="200"/>
              <w:jc w:val="both"/>
              <w:rPr>
                <w:rFonts w:hint="default" w:ascii="Times New Roman" w:hAnsi="Times New Roman" w:eastAsia="黑体" w:cs="Times New Roman"/>
                <w:b w:val="0"/>
                <w:bCs/>
                <w:color w:val="auto"/>
                <w:sz w:val="24"/>
              </w:rPr>
            </w:pPr>
            <w:r>
              <w:rPr>
                <w:rFonts w:hint="default" w:ascii="Times New Roman" w:hAnsi="Times New Roman" w:eastAsia="黑体" w:cs="Times New Roman"/>
                <w:b w:val="0"/>
                <w:bCs/>
                <w:color w:val="auto"/>
                <w:sz w:val="24"/>
                <w:szCs w:val="24"/>
              </w:rPr>
              <w:t>表</w:t>
            </w:r>
            <w:r>
              <w:rPr>
                <w:rFonts w:hint="default" w:ascii="Times New Roman" w:hAnsi="Times New Roman" w:eastAsia="黑体" w:cs="Times New Roman"/>
                <w:b w:val="0"/>
                <w:bCs/>
                <w:color w:val="auto"/>
                <w:sz w:val="24"/>
                <w:szCs w:val="24"/>
                <w:lang w:val="en-US" w:eastAsia="zh-CN"/>
              </w:rPr>
              <w:t>4-</w:t>
            </w:r>
            <w:r>
              <w:rPr>
                <w:rFonts w:hint="eastAsia" w:eastAsia="黑体" w:cs="Times New Roman"/>
                <w:b w:val="0"/>
                <w:bCs/>
                <w:color w:val="auto"/>
                <w:sz w:val="24"/>
                <w:szCs w:val="24"/>
                <w:lang w:val="en-US" w:eastAsia="zh-CN"/>
              </w:rPr>
              <w:t>4</w:t>
            </w:r>
            <w:r>
              <w:rPr>
                <w:rFonts w:hint="default" w:ascii="Times New Roman" w:hAnsi="Times New Roman" w:eastAsia="黑体" w:cs="Times New Roman"/>
                <w:b w:val="0"/>
                <w:bCs/>
                <w:color w:val="auto"/>
                <w:sz w:val="24"/>
                <w:szCs w:val="24"/>
              </w:rPr>
              <w:t xml:space="preserve"> </w:t>
            </w:r>
            <w:r>
              <w:rPr>
                <w:rFonts w:hint="eastAsia" w:eastAsia="黑体" w:cs="Times New Roman"/>
                <w:b w:val="0"/>
                <w:bCs/>
                <w:color w:val="auto"/>
                <w:sz w:val="24"/>
                <w:szCs w:val="24"/>
                <w:lang w:val="en-US" w:eastAsia="zh-CN"/>
              </w:rPr>
              <w:t xml:space="preserve">        </w:t>
            </w:r>
            <w:r>
              <w:rPr>
                <w:rFonts w:hint="default" w:ascii="Times New Roman" w:hAnsi="Times New Roman" w:eastAsia="黑体" w:cs="Times New Roman"/>
                <w:b w:val="0"/>
                <w:bCs/>
                <w:color w:val="auto"/>
                <w:sz w:val="24"/>
                <w:szCs w:val="24"/>
              </w:rPr>
              <w:t xml:space="preserve">  本项目室内噪声源强调查清单</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342"/>
              <w:gridCol w:w="713"/>
              <w:gridCol w:w="569"/>
              <w:gridCol w:w="384"/>
              <w:gridCol w:w="600"/>
              <w:gridCol w:w="533"/>
              <w:gridCol w:w="367"/>
              <w:gridCol w:w="400"/>
              <w:gridCol w:w="383"/>
              <w:gridCol w:w="450"/>
              <w:gridCol w:w="550"/>
              <w:gridCol w:w="549"/>
              <w:gridCol w:w="399"/>
              <w:gridCol w:w="530"/>
              <w:gridCol w:w="400"/>
              <w:gridCol w:w="412"/>
              <w:gridCol w:w="536"/>
            </w:tblGrid>
            <w:tr w14:paraId="1FB85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2" w:type="dxa"/>
                  <w:vMerge w:val="restart"/>
                  <w:noWrap/>
                  <w:vAlign w:val="center"/>
                </w:tcPr>
                <w:p w14:paraId="77EAC282">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序号</w:t>
                  </w:r>
                </w:p>
              </w:tc>
              <w:tc>
                <w:tcPr>
                  <w:tcW w:w="713" w:type="dxa"/>
                  <w:vMerge w:val="restart"/>
                  <w:noWrap/>
                  <w:vAlign w:val="center"/>
                </w:tcPr>
                <w:p w14:paraId="165B1E56">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声源名称</w:t>
                  </w:r>
                </w:p>
              </w:tc>
              <w:tc>
                <w:tcPr>
                  <w:tcW w:w="569" w:type="dxa"/>
                  <w:vMerge w:val="restart"/>
                  <w:noWrap/>
                  <w:vAlign w:val="center"/>
                </w:tcPr>
                <w:p w14:paraId="58721979">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eastAsia="宋体" w:cs="Times New Roman"/>
                      <w:b w:val="0"/>
                      <w:bCs w:val="0"/>
                      <w:color w:val="auto"/>
                      <w:sz w:val="21"/>
                      <w:szCs w:val="21"/>
                      <w:lang w:val="pt-BR" w:eastAsia="zh-CN"/>
                    </w:rPr>
                    <w:t>（声</w:t>
                  </w:r>
                  <w:r>
                    <w:rPr>
                      <w:rFonts w:hint="eastAsia" w:ascii="Times New Roman" w:hAnsi="Times New Roman" w:eastAsia="宋体" w:cs="Times New Roman"/>
                      <w:b w:val="0"/>
                      <w:bCs w:val="0"/>
                      <w:color w:val="auto"/>
                      <w:sz w:val="21"/>
                      <w:szCs w:val="21"/>
                      <w:lang w:val="pt-BR" w:eastAsia="zh-CN"/>
                    </w:rPr>
                    <w:t>功率</w:t>
                  </w:r>
                  <w:r>
                    <w:rPr>
                      <w:rFonts w:hint="default" w:ascii="Times New Roman" w:hAnsi="Times New Roman" w:eastAsia="宋体" w:cs="Times New Roman"/>
                      <w:b w:val="0"/>
                      <w:bCs w:val="0"/>
                      <w:color w:val="auto"/>
                      <w:sz w:val="21"/>
                      <w:szCs w:val="21"/>
                      <w:lang w:val="pt-BR" w:eastAsia="zh-CN"/>
                    </w:rPr>
                    <w:t>级/距声源距离）/[dB(A)/m]</w:t>
                  </w:r>
                </w:p>
              </w:tc>
              <w:tc>
                <w:tcPr>
                  <w:tcW w:w="384" w:type="dxa"/>
                  <w:vMerge w:val="restart"/>
                  <w:noWrap/>
                  <w:vAlign w:val="center"/>
                </w:tcPr>
                <w:p w14:paraId="5AC334B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sz w:val="21"/>
                      <w:szCs w:val="21"/>
                      <w:lang w:eastAsia="zh-CN"/>
                    </w:rPr>
                  </w:pPr>
                  <w:r>
                    <w:rPr>
                      <w:rFonts w:hint="default" w:ascii="Times New Roman" w:hAnsi="Times New Roman" w:cs="Times New Roman"/>
                      <w:b w:val="0"/>
                      <w:bCs/>
                      <w:color w:val="auto"/>
                      <w:sz w:val="21"/>
                      <w:szCs w:val="21"/>
                      <w:lang w:eastAsia="zh-CN"/>
                    </w:rPr>
                    <w:t>设备数量（台）</w:t>
                  </w:r>
                </w:p>
              </w:tc>
              <w:tc>
                <w:tcPr>
                  <w:tcW w:w="600" w:type="dxa"/>
                  <w:vMerge w:val="restart"/>
                  <w:noWrap/>
                  <w:vAlign w:val="center"/>
                </w:tcPr>
                <w:p w14:paraId="108E95C3">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lang w:eastAsia="zh-CN"/>
                    </w:rPr>
                    <w:t>设备叠加</w:t>
                  </w:r>
                  <w:r>
                    <w:rPr>
                      <w:rFonts w:hint="default" w:ascii="Times New Roman" w:hAnsi="Times New Roman" w:cs="Times New Roman"/>
                      <w:b w:val="0"/>
                      <w:bCs/>
                      <w:color w:val="auto"/>
                      <w:sz w:val="21"/>
                      <w:szCs w:val="21"/>
                    </w:rPr>
                    <w:t>声功率级/dB（A）</w:t>
                  </w:r>
                </w:p>
              </w:tc>
              <w:tc>
                <w:tcPr>
                  <w:tcW w:w="533" w:type="dxa"/>
                  <w:vMerge w:val="restart"/>
                  <w:noWrap/>
                  <w:vAlign w:val="center"/>
                </w:tcPr>
                <w:p w14:paraId="16C95C00">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kern w:val="2"/>
                      <w:sz w:val="21"/>
                      <w:szCs w:val="21"/>
                      <w:lang w:val="en-US" w:eastAsia="zh-CN" w:bidi="ar-SA"/>
                    </w:rPr>
                  </w:pPr>
                  <w:r>
                    <w:rPr>
                      <w:rFonts w:hint="default" w:ascii="Times New Roman" w:hAnsi="Times New Roman" w:cs="Times New Roman"/>
                      <w:b w:val="0"/>
                      <w:bCs/>
                      <w:color w:val="auto"/>
                      <w:sz w:val="21"/>
                      <w:szCs w:val="21"/>
                    </w:rPr>
                    <w:t>声源控制措施</w:t>
                  </w:r>
                </w:p>
                <w:p w14:paraId="04BEB44C">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1150" w:type="dxa"/>
                  <w:gridSpan w:val="3"/>
                  <w:noWrap/>
                  <w:vAlign w:val="center"/>
                </w:tcPr>
                <w:p w14:paraId="5BC4CEE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空间相对位置/m</w:t>
                  </w:r>
                </w:p>
              </w:tc>
              <w:tc>
                <w:tcPr>
                  <w:tcW w:w="450" w:type="dxa"/>
                  <w:vMerge w:val="restart"/>
                  <w:noWrap/>
                  <w:vAlign w:val="center"/>
                </w:tcPr>
                <w:p w14:paraId="158D2ABF">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距室内边界距离/m</w:t>
                  </w:r>
                </w:p>
              </w:tc>
              <w:tc>
                <w:tcPr>
                  <w:tcW w:w="550" w:type="dxa"/>
                  <w:vMerge w:val="restart"/>
                  <w:noWrap/>
                  <w:vAlign w:val="center"/>
                </w:tcPr>
                <w:p w14:paraId="776B27DA">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室内边界声级/dB（A）</w:t>
                  </w:r>
                </w:p>
              </w:tc>
              <w:tc>
                <w:tcPr>
                  <w:tcW w:w="549" w:type="dxa"/>
                  <w:vMerge w:val="restart"/>
                  <w:noWrap w:val="0"/>
                  <w:vAlign w:val="center"/>
                </w:tcPr>
                <w:p w14:paraId="3797DD03">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室内边界叠加声级/dB（A）</w:t>
                  </w:r>
                </w:p>
              </w:tc>
              <w:tc>
                <w:tcPr>
                  <w:tcW w:w="399" w:type="dxa"/>
                  <w:vMerge w:val="restart"/>
                  <w:noWrap/>
                  <w:vAlign w:val="center"/>
                </w:tcPr>
                <w:p w14:paraId="3C001C58">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运行时段</w:t>
                  </w:r>
                </w:p>
              </w:tc>
              <w:tc>
                <w:tcPr>
                  <w:tcW w:w="530" w:type="dxa"/>
                  <w:vMerge w:val="restart"/>
                  <w:noWrap/>
                  <w:vAlign w:val="center"/>
                </w:tcPr>
                <w:p w14:paraId="7DDB38E6">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建筑物插入损失/dB（A）</w:t>
                  </w:r>
                </w:p>
              </w:tc>
              <w:tc>
                <w:tcPr>
                  <w:tcW w:w="400" w:type="dxa"/>
                  <w:vMerge w:val="restart"/>
                  <w:noWrap/>
                  <w:vAlign w:val="center"/>
                </w:tcPr>
                <w:p w14:paraId="5E63F50D">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sz w:val="21"/>
                      <w:szCs w:val="21"/>
                      <w:lang w:val="en-US" w:eastAsia="zh-CN"/>
                    </w:rPr>
                  </w:pPr>
                  <w:r>
                    <w:rPr>
                      <w:rFonts w:hint="default" w:ascii="Times New Roman" w:hAnsi="Times New Roman" w:cs="Times New Roman"/>
                      <w:b w:val="0"/>
                      <w:bCs/>
                      <w:color w:val="auto"/>
                      <w:sz w:val="21"/>
                      <w:szCs w:val="21"/>
                      <w:lang w:eastAsia="zh-CN"/>
                    </w:rPr>
                    <w:t>透声面积</w:t>
                  </w:r>
                  <w:r>
                    <w:rPr>
                      <w:rFonts w:hint="default" w:ascii="Times New Roman" w:hAnsi="Times New Roman" w:cs="Times New Roman"/>
                      <w:b w:val="0"/>
                      <w:bCs/>
                      <w:color w:val="auto"/>
                      <w:sz w:val="21"/>
                      <w:szCs w:val="21"/>
                      <w:lang w:val="en-US" w:eastAsia="zh-CN"/>
                    </w:rPr>
                    <w:t>/m</w:t>
                  </w:r>
                  <w:r>
                    <w:rPr>
                      <w:rFonts w:hint="default" w:ascii="Times New Roman" w:hAnsi="Times New Roman" w:cs="Times New Roman"/>
                      <w:b w:val="0"/>
                      <w:bCs/>
                      <w:color w:val="auto"/>
                      <w:sz w:val="21"/>
                      <w:szCs w:val="21"/>
                      <w:vertAlign w:val="superscript"/>
                      <w:lang w:val="en-US" w:eastAsia="zh-CN"/>
                    </w:rPr>
                    <w:t>2</w:t>
                  </w:r>
                </w:p>
              </w:tc>
              <w:tc>
                <w:tcPr>
                  <w:tcW w:w="948" w:type="dxa"/>
                  <w:gridSpan w:val="2"/>
                  <w:noWrap/>
                  <w:vAlign w:val="center"/>
                </w:tcPr>
                <w:p w14:paraId="1F8053E3">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建筑物外噪声</w:t>
                  </w:r>
                </w:p>
              </w:tc>
            </w:tr>
            <w:tr w14:paraId="73D16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2" w:type="dxa"/>
                  <w:vMerge w:val="continue"/>
                  <w:noWrap/>
                  <w:vAlign w:val="center"/>
                </w:tcPr>
                <w:p w14:paraId="1881082E">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713" w:type="dxa"/>
                  <w:vMerge w:val="continue"/>
                  <w:noWrap/>
                  <w:vAlign w:val="center"/>
                </w:tcPr>
                <w:p w14:paraId="2A148F76">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569" w:type="dxa"/>
                  <w:vMerge w:val="continue"/>
                  <w:noWrap/>
                  <w:vAlign w:val="center"/>
                </w:tcPr>
                <w:p w14:paraId="71B80C5B">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384" w:type="dxa"/>
                  <w:vMerge w:val="continue"/>
                  <w:noWrap/>
                  <w:vAlign w:val="center"/>
                </w:tcPr>
                <w:p w14:paraId="3E91325E">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600" w:type="dxa"/>
                  <w:vMerge w:val="continue"/>
                  <w:noWrap/>
                  <w:vAlign w:val="center"/>
                </w:tcPr>
                <w:p w14:paraId="1B3A2053">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533" w:type="dxa"/>
                  <w:vMerge w:val="continue"/>
                  <w:noWrap/>
                  <w:vAlign w:val="center"/>
                </w:tcPr>
                <w:p w14:paraId="22E73DFB">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367" w:type="dxa"/>
                  <w:noWrap/>
                  <w:vAlign w:val="center"/>
                </w:tcPr>
                <w:p w14:paraId="787E243F">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X</w:t>
                  </w:r>
                </w:p>
              </w:tc>
              <w:tc>
                <w:tcPr>
                  <w:tcW w:w="400" w:type="dxa"/>
                  <w:noWrap/>
                  <w:vAlign w:val="center"/>
                </w:tcPr>
                <w:p w14:paraId="3A7B047B">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Y</w:t>
                  </w:r>
                </w:p>
              </w:tc>
              <w:tc>
                <w:tcPr>
                  <w:tcW w:w="383" w:type="dxa"/>
                  <w:noWrap/>
                  <w:vAlign w:val="center"/>
                </w:tcPr>
                <w:p w14:paraId="0DC8A7EC">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Z</w:t>
                  </w:r>
                </w:p>
              </w:tc>
              <w:tc>
                <w:tcPr>
                  <w:tcW w:w="450" w:type="dxa"/>
                  <w:vMerge w:val="continue"/>
                  <w:noWrap/>
                  <w:vAlign w:val="center"/>
                </w:tcPr>
                <w:p w14:paraId="1AD81052">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550" w:type="dxa"/>
                  <w:vMerge w:val="continue"/>
                  <w:noWrap/>
                  <w:vAlign w:val="center"/>
                </w:tcPr>
                <w:p w14:paraId="6E8CA7A3">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549" w:type="dxa"/>
                  <w:vMerge w:val="continue"/>
                  <w:noWrap w:val="0"/>
                  <w:vAlign w:val="center"/>
                </w:tcPr>
                <w:p w14:paraId="6FFE5F71">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399" w:type="dxa"/>
                  <w:vMerge w:val="continue"/>
                  <w:noWrap/>
                  <w:vAlign w:val="center"/>
                </w:tcPr>
                <w:p w14:paraId="3056A9DE">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530" w:type="dxa"/>
                  <w:vMerge w:val="continue"/>
                  <w:noWrap/>
                  <w:vAlign w:val="center"/>
                </w:tcPr>
                <w:p w14:paraId="3CBCF7FB">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400" w:type="dxa"/>
                  <w:vMerge w:val="continue"/>
                  <w:noWrap/>
                  <w:vAlign w:val="center"/>
                </w:tcPr>
                <w:p w14:paraId="46A4DC2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412" w:type="dxa"/>
                  <w:noWrap/>
                  <w:vAlign w:val="center"/>
                </w:tcPr>
                <w:p w14:paraId="61BFDFAC">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声功率级/dB</w:t>
                  </w:r>
                </w:p>
              </w:tc>
              <w:tc>
                <w:tcPr>
                  <w:tcW w:w="536" w:type="dxa"/>
                  <w:noWrap/>
                  <w:vAlign w:val="center"/>
                </w:tcPr>
                <w:p w14:paraId="20CED07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建筑物外距离/m</w:t>
                  </w:r>
                </w:p>
              </w:tc>
            </w:tr>
            <w:tr w14:paraId="63D29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2" w:type="dxa"/>
                  <w:noWrap/>
                  <w:vAlign w:val="center"/>
                </w:tcPr>
                <w:p w14:paraId="4A31477D">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cs="Times New Roman"/>
                      <w:b w:val="0"/>
                      <w:bCs/>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w:t>
                  </w:r>
                </w:p>
              </w:tc>
              <w:tc>
                <w:tcPr>
                  <w:tcW w:w="713" w:type="dxa"/>
                  <w:noWrap/>
                  <w:vAlign w:val="center"/>
                </w:tcPr>
                <w:p w14:paraId="035DF17E">
                  <w:pPr>
                    <w:pStyle w:val="89"/>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eastAsia" w:ascii="Times New Roman" w:hAnsi="Times New Roman" w:eastAsia="宋体" w:cs="Times New Roman"/>
                      <w:color w:val="auto"/>
                      <w:kern w:val="2"/>
                      <w:sz w:val="21"/>
                      <w:szCs w:val="21"/>
                      <w:lang w:val="en-US" w:eastAsia="zh-CN" w:bidi="ar-SA"/>
                    </w:rPr>
                  </w:pPr>
                  <w:r>
                    <w:rPr>
                      <w:rFonts w:hint="eastAsia"/>
                      <w:b w:val="0"/>
                      <w:bCs w:val="0"/>
                      <w:color w:val="auto"/>
                      <w:sz w:val="21"/>
                      <w:szCs w:val="21"/>
                      <w:lang w:eastAsia="zh-CN"/>
                    </w:rPr>
                    <w:t>智能充磁机</w:t>
                  </w:r>
                </w:p>
              </w:tc>
              <w:tc>
                <w:tcPr>
                  <w:tcW w:w="569" w:type="dxa"/>
                  <w:noWrap/>
                  <w:vAlign w:val="center"/>
                </w:tcPr>
                <w:p w14:paraId="50C2F983">
                  <w:pPr>
                    <w:pStyle w:val="89"/>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eastAsia="宋体"/>
                      <w:b w:val="0"/>
                      <w:bCs w:val="0"/>
                      <w:color w:val="auto"/>
                      <w:sz w:val="21"/>
                      <w:szCs w:val="21"/>
                      <w:lang w:val="en-US" w:eastAsia="zh-CN"/>
                    </w:rPr>
                  </w:pPr>
                  <w:r>
                    <w:rPr>
                      <w:rFonts w:hint="eastAsia"/>
                      <w:b w:val="0"/>
                      <w:bCs w:val="0"/>
                      <w:color w:val="auto"/>
                      <w:sz w:val="21"/>
                      <w:szCs w:val="21"/>
                      <w:lang w:val="en-US" w:eastAsia="zh-CN"/>
                    </w:rPr>
                    <w:t>70</w:t>
                  </w:r>
                </w:p>
              </w:tc>
              <w:tc>
                <w:tcPr>
                  <w:tcW w:w="384" w:type="dxa"/>
                  <w:noWrap/>
                  <w:vAlign w:val="center"/>
                </w:tcPr>
                <w:p w14:paraId="137D82B3">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600" w:type="dxa"/>
                  <w:noWrap/>
                  <w:vAlign w:val="center"/>
                </w:tcPr>
                <w:p w14:paraId="3CC185DE">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73</w:t>
                  </w:r>
                </w:p>
              </w:tc>
              <w:tc>
                <w:tcPr>
                  <w:tcW w:w="533" w:type="dxa"/>
                  <w:vMerge w:val="restart"/>
                  <w:noWrap/>
                  <w:vAlign w:val="center"/>
                </w:tcPr>
                <w:p w14:paraId="6EB45772">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r>
                    <w:rPr>
                      <w:rFonts w:hint="default" w:ascii="Times New Roman" w:hAnsi="Times New Roman" w:cs="Times New Roman"/>
                      <w:b w:val="0"/>
                      <w:bCs/>
                      <w:color w:val="auto"/>
                      <w:sz w:val="21"/>
                      <w:szCs w:val="21"/>
                    </w:rPr>
                    <w:t>设备减振、厂房隔声、距离衰减</w:t>
                  </w:r>
                </w:p>
              </w:tc>
              <w:tc>
                <w:tcPr>
                  <w:tcW w:w="367" w:type="dxa"/>
                  <w:noWrap/>
                  <w:vAlign w:val="center"/>
                </w:tcPr>
                <w:p w14:paraId="04EEFED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-3</w:t>
                  </w:r>
                </w:p>
              </w:tc>
              <w:tc>
                <w:tcPr>
                  <w:tcW w:w="400" w:type="dxa"/>
                  <w:noWrap/>
                  <w:vAlign w:val="center"/>
                </w:tcPr>
                <w:p w14:paraId="617BB42E">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2</w:t>
                  </w:r>
                  <w:r>
                    <w:rPr>
                      <w:rFonts w:hint="eastAsia" w:eastAsia="宋体" w:cs="Times New Roman"/>
                      <w:b w:val="0"/>
                      <w:bCs/>
                      <w:color w:val="auto"/>
                      <w:sz w:val="21"/>
                      <w:szCs w:val="21"/>
                      <w:lang w:val="en-US" w:eastAsia="zh-CN"/>
                    </w:rPr>
                    <w:t>0</w:t>
                  </w:r>
                </w:p>
              </w:tc>
              <w:tc>
                <w:tcPr>
                  <w:tcW w:w="383" w:type="dxa"/>
                  <w:noWrap/>
                  <w:vAlign w:val="center"/>
                </w:tcPr>
                <w:p w14:paraId="25DC4736">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sz w:val="21"/>
                      <w:szCs w:val="21"/>
                      <w:lang w:val="en-US" w:eastAsia="zh-CN"/>
                    </w:rPr>
                  </w:pPr>
                  <w:r>
                    <w:rPr>
                      <w:rFonts w:hint="eastAsia" w:ascii="Times New Roman" w:hAnsi="Times New Roman" w:eastAsia="宋体" w:cs="Times New Roman"/>
                      <w:b w:val="0"/>
                      <w:bCs/>
                      <w:color w:val="auto"/>
                      <w:sz w:val="21"/>
                      <w:szCs w:val="21"/>
                      <w:lang w:val="en-US" w:eastAsia="zh-CN"/>
                    </w:rPr>
                    <w:t>1</w:t>
                  </w:r>
                </w:p>
              </w:tc>
              <w:tc>
                <w:tcPr>
                  <w:tcW w:w="450" w:type="dxa"/>
                  <w:noWrap/>
                  <w:vAlign w:val="center"/>
                </w:tcPr>
                <w:p w14:paraId="56D0E66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3</w:t>
                  </w:r>
                </w:p>
              </w:tc>
              <w:tc>
                <w:tcPr>
                  <w:tcW w:w="550" w:type="dxa"/>
                  <w:noWrap/>
                  <w:vAlign w:val="center"/>
                </w:tcPr>
                <w:p w14:paraId="177D86B3">
                  <w:pPr>
                    <w:keepNext w:val="0"/>
                    <w:keepLines w:val="0"/>
                    <w:pageBreakBefore w:val="0"/>
                    <w:kinsoku/>
                    <w:wordWrap/>
                    <w:overflowPunct/>
                    <w:topLinePunct w:val="0"/>
                    <w:autoSpaceDE/>
                    <w:autoSpaceDN/>
                    <w:bidi w:val="0"/>
                    <w:spacing w:line="240" w:lineRule="auto"/>
                    <w:ind w:right="0" w:firstLine="0" w:firstLineChars="0"/>
                    <w:jc w:val="center"/>
                    <w:rPr>
                      <w:rFonts w:hint="default"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 xml:space="preserve">62.7 </w:t>
                  </w:r>
                </w:p>
              </w:tc>
              <w:tc>
                <w:tcPr>
                  <w:tcW w:w="549" w:type="dxa"/>
                  <w:vMerge w:val="restart"/>
                  <w:noWrap w:val="0"/>
                  <w:vAlign w:val="center"/>
                </w:tcPr>
                <w:p w14:paraId="2479C24F">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79.4</w:t>
                  </w:r>
                </w:p>
              </w:tc>
              <w:tc>
                <w:tcPr>
                  <w:tcW w:w="399" w:type="dxa"/>
                  <w:vMerge w:val="restart"/>
                  <w:noWrap/>
                  <w:vAlign w:val="center"/>
                </w:tcPr>
                <w:p w14:paraId="064B9796">
                  <w:pPr>
                    <w:keepNext w:val="0"/>
                    <w:keepLines w:val="0"/>
                    <w:suppressLineNumbers w:val="0"/>
                    <w:tabs>
                      <w:tab w:val="left" w:pos="3620"/>
                    </w:tabs>
                    <w:adjustRightInd w:val="0"/>
                    <w:snapToGrid w:val="0"/>
                    <w:spacing w:before="0" w:beforeAutospacing="0" w:after="0" w:afterAutospacing="0" w:line="240" w:lineRule="exact"/>
                    <w:ind w:left="0" w:leftChars="0" w:right="0" w:firstLine="0" w:firstLineChars="0"/>
                    <w:jc w:val="both"/>
                    <w:rPr>
                      <w:rFonts w:hint="default" w:ascii="Times New Roman" w:hAnsi="Times New Roman" w:eastAsia="宋体" w:cs="Times New Roman"/>
                      <w:color w:val="000000"/>
                      <w:sz w:val="21"/>
                      <w:szCs w:val="21"/>
                      <w:highlight w:val="none"/>
                    </w:rPr>
                  </w:pPr>
                  <w:r>
                    <w:rPr>
                      <w:rFonts w:hint="eastAsia" w:ascii="Times New Roman" w:hAnsi="Times New Roman" w:eastAsia="宋体" w:cs="Times New Roman"/>
                      <w:color w:val="000000"/>
                      <w:sz w:val="21"/>
                      <w:szCs w:val="21"/>
                      <w:highlight w:val="none"/>
                      <w:lang w:val="en-US" w:eastAsia="zh-CN"/>
                    </w:rPr>
                    <w:t>8</w:t>
                  </w:r>
                  <w:r>
                    <w:rPr>
                      <w:rFonts w:hint="default" w:ascii="Times New Roman" w:hAnsi="Times New Roman" w:eastAsia="宋体" w:cs="Times New Roman"/>
                      <w:color w:val="000000"/>
                      <w:sz w:val="21"/>
                      <w:szCs w:val="21"/>
                      <w:highlight w:val="none"/>
                    </w:rPr>
                    <w:t>:00-</w:t>
                  </w:r>
                </w:p>
                <w:p w14:paraId="65FB1A44">
                  <w:pPr>
                    <w:pStyle w:val="23"/>
                    <w:keepNext w:val="0"/>
                    <w:keepLines w:val="0"/>
                    <w:pageBreakBefore w:val="0"/>
                    <w:kinsoku/>
                    <w:wordWrap/>
                    <w:overflowPunct/>
                    <w:topLinePunct w:val="0"/>
                    <w:autoSpaceDE/>
                    <w:autoSpaceDN/>
                    <w:bidi w:val="0"/>
                    <w:spacing w:before="0" w:after="0" w:line="240" w:lineRule="auto"/>
                    <w:ind w:left="0" w:leftChars="0" w:right="0" w:firstLine="0" w:firstLineChars="0"/>
                    <w:jc w:val="cente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000000"/>
                      <w:sz w:val="21"/>
                      <w:szCs w:val="21"/>
                      <w:highlight w:val="none"/>
                    </w:rPr>
                    <w:t>18:00</w:t>
                  </w:r>
                </w:p>
              </w:tc>
              <w:tc>
                <w:tcPr>
                  <w:tcW w:w="530" w:type="dxa"/>
                  <w:vMerge w:val="restart"/>
                  <w:noWrap/>
                  <w:vAlign w:val="center"/>
                </w:tcPr>
                <w:p w14:paraId="148C8292">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25</w:t>
                  </w:r>
                </w:p>
              </w:tc>
              <w:tc>
                <w:tcPr>
                  <w:tcW w:w="400" w:type="dxa"/>
                  <w:vMerge w:val="restart"/>
                  <w:noWrap/>
                  <w:vAlign w:val="center"/>
                </w:tcPr>
                <w:p w14:paraId="0FC20840">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r>
                    <w:rPr>
                      <w:rFonts w:hint="eastAsia" w:cs="Times New Roman"/>
                      <w:b w:val="0"/>
                      <w:bCs/>
                      <w:color w:val="auto"/>
                      <w:sz w:val="21"/>
                      <w:szCs w:val="21"/>
                      <w:lang w:val="en-US" w:eastAsia="zh-CN"/>
                    </w:rPr>
                    <w:t>80</w:t>
                  </w:r>
                </w:p>
              </w:tc>
              <w:tc>
                <w:tcPr>
                  <w:tcW w:w="412" w:type="dxa"/>
                  <w:vMerge w:val="restart"/>
                  <w:noWrap/>
                  <w:vAlign w:val="center"/>
                </w:tcPr>
                <w:p w14:paraId="2CB6726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sz w:val="21"/>
                      <w:szCs w:val="21"/>
                      <w:lang w:val="en-US" w:eastAsia="zh-CN"/>
                    </w:rPr>
                  </w:pPr>
                  <w:r>
                    <w:rPr>
                      <w:rFonts w:hint="eastAsia" w:cs="Times New Roman"/>
                      <w:b w:val="0"/>
                      <w:bCs/>
                      <w:color w:val="auto"/>
                      <w:sz w:val="21"/>
                      <w:szCs w:val="21"/>
                      <w:lang w:val="en-US" w:eastAsia="zh-CN"/>
                    </w:rPr>
                    <w:t>67.4</w:t>
                  </w:r>
                </w:p>
              </w:tc>
              <w:tc>
                <w:tcPr>
                  <w:tcW w:w="536" w:type="dxa"/>
                  <w:vMerge w:val="restart"/>
                  <w:noWrap/>
                  <w:vAlign w:val="center"/>
                </w:tcPr>
                <w:p w14:paraId="6DA95C92">
                  <w:pPr>
                    <w:keepNext w:val="0"/>
                    <w:keepLines w:val="0"/>
                    <w:pageBreakBefore w:val="0"/>
                    <w:kinsoku/>
                    <w:wordWrap/>
                    <w:overflowPunct/>
                    <w:topLinePunct w:val="0"/>
                    <w:autoSpaceDE/>
                    <w:autoSpaceDN/>
                    <w:bidi w:val="0"/>
                    <w:spacing w:line="240" w:lineRule="auto"/>
                    <w:ind w:right="0" w:firstLine="0" w:firstLineChars="0"/>
                    <w:jc w:val="center"/>
                    <w:rPr>
                      <w:rFonts w:hint="eastAsia" w:ascii="Times New Roman" w:hAnsi="Times New Roman" w:eastAsia="宋体" w:cs="Times New Roman"/>
                      <w:color w:val="auto"/>
                      <w:lang w:val="en-US" w:eastAsia="zh-CN"/>
                    </w:rPr>
                  </w:pPr>
                  <w:r>
                    <w:rPr>
                      <w:rFonts w:hint="eastAsia" w:ascii="Times New Roman" w:hAnsi="Times New Roman" w:cs="Times New Roman"/>
                      <w:color w:val="auto"/>
                      <w:lang w:val="en-US" w:eastAsia="zh-CN"/>
                    </w:rPr>
                    <w:t>1</w:t>
                  </w:r>
                </w:p>
              </w:tc>
            </w:tr>
            <w:tr w14:paraId="776D0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2" w:type="dxa"/>
                  <w:noWrap/>
                  <w:vAlign w:val="center"/>
                </w:tcPr>
                <w:p w14:paraId="148C058A">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cs="Times New Roman"/>
                      <w:b w:val="0"/>
                      <w:bCs/>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2</w:t>
                  </w:r>
                </w:p>
              </w:tc>
              <w:tc>
                <w:tcPr>
                  <w:tcW w:w="713" w:type="dxa"/>
                  <w:noWrap/>
                  <w:vAlign w:val="center"/>
                </w:tcPr>
                <w:p w14:paraId="69321F45">
                  <w:pPr>
                    <w:pStyle w:val="89"/>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eastAsia" w:ascii="Times New Roman" w:hAnsi="Times New Roman" w:eastAsia="宋体" w:cs="Times New Roman"/>
                      <w:color w:val="auto"/>
                      <w:kern w:val="2"/>
                      <w:sz w:val="21"/>
                      <w:szCs w:val="21"/>
                      <w:lang w:val="en-US" w:eastAsia="zh-CN" w:bidi="ar-SA"/>
                    </w:rPr>
                  </w:pPr>
                  <w:r>
                    <w:rPr>
                      <w:rFonts w:hint="eastAsia"/>
                      <w:b w:val="0"/>
                      <w:bCs w:val="0"/>
                      <w:color w:val="auto"/>
                      <w:sz w:val="21"/>
                      <w:szCs w:val="21"/>
                      <w:lang w:eastAsia="zh-CN"/>
                    </w:rPr>
                    <w:t>双臂式力学实验机</w:t>
                  </w:r>
                </w:p>
              </w:tc>
              <w:tc>
                <w:tcPr>
                  <w:tcW w:w="569" w:type="dxa"/>
                  <w:noWrap/>
                  <w:vAlign w:val="center"/>
                </w:tcPr>
                <w:p w14:paraId="5EB26695">
                  <w:pPr>
                    <w:pStyle w:val="89"/>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eastAsia="宋体"/>
                      <w:b w:val="0"/>
                      <w:bCs w:val="0"/>
                      <w:color w:val="auto"/>
                      <w:sz w:val="21"/>
                      <w:szCs w:val="21"/>
                      <w:lang w:val="en-US" w:eastAsia="zh-CN"/>
                    </w:rPr>
                  </w:pPr>
                  <w:r>
                    <w:rPr>
                      <w:rFonts w:hint="eastAsia"/>
                      <w:b w:val="0"/>
                      <w:bCs w:val="0"/>
                      <w:color w:val="auto"/>
                      <w:sz w:val="21"/>
                      <w:szCs w:val="21"/>
                      <w:lang w:val="en-US" w:eastAsia="zh-CN"/>
                    </w:rPr>
                    <w:t>75</w:t>
                  </w:r>
                </w:p>
              </w:tc>
              <w:tc>
                <w:tcPr>
                  <w:tcW w:w="384" w:type="dxa"/>
                  <w:noWrap/>
                  <w:vAlign w:val="center"/>
                </w:tcPr>
                <w:p w14:paraId="62DD064E">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2</w:t>
                  </w:r>
                </w:p>
              </w:tc>
              <w:tc>
                <w:tcPr>
                  <w:tcW w:w="600" w:type="dxa"/>
                  <w:noWrap/>
                  <w:vAlign w:val="center"/>
                </w:tcPr>
                <w:p w14:paraId="2FB386B9">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78</w:t>
                  </w:r>
                </w:p>
              </w:tc>
              <w:tc>
                <w:tcPr>
                  <w:tcW w:w="533" w:type="dxa"/>
                  <w:vMerge w:val="continue"/>
                  <w:noWrap/>
                  <w:vAlign w:val="center"/>
                </w:tcPr>
                <w:p w14:paraId="39EAA02D">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kern w:val="2"/>
                      <w:sz w:val="21"/>
                      <w:szCs w:val="21"/>
                      <w:lang w:val="en-US" w:eastAsia="zh-CN" w:bidi="ar-SA"/>
                    </w:rPr>
                  </w:pPr>
                </w:p>
              </w:tc>
              <w:tc>
                <w:tcPr>
                  <w:tcW w:w="367" w:type="dxa"/>
                  <w:noWrap/>
                  <w:vAlign w:val="center"/>
                </w:tcPr>
                <w:p w14:paraId="3F92BACF">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5</w:t>
                  </w:r>
                </w:p>
              </w:tc>
              <w:tc>
                <w:tcPr>
                  <w:tcW w:w="400" w:type="dxa"/>
                  <w:noWrap/>
                  <w:vAlign w:val="center"/>
                </w:tcPr>
                <w:p w14:paraId="70BAB873">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40</w:t>
                  </w:r>
                </w:p>
              </w:tc>
              <w:tc>
                <w:tcPr>
                  <w:tcW w:w="383" w:type="dxa"/>
                  <w:noWrap/>
                  <w:vAlign w:val="center"/>
                </w:tcPr>
                <w:p w14:paraId="18E2349C">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1</w:t>
                  </w:r>
                </w:p>
              </w:tc>
              <w:tc>
                <w:tcPr>
                  <w:tcW w:w="450" w:type="dxa"/>
                  <w:noWrap/>
                  <w:vAlign w:val="center"/>
                </w:tcPr>
                <w:p w14:paraId="3749C383">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1</w:t>
                  </w:r>
                </w:p>
              </w:tc>
              <w:tc>
                <w:tcPr>
                  <w:tcW w:w="550" w:type="dxa"/>
                  <w:noWrap/>
                  <w:vAlign w:val="center"/>
                </w:tcPr>
                <w:p w14:paraId="5F058FC6">
                  <w:pPr>
                    <w:keepNext w:val="0"/>
                    <w:keepLines w:val="0"/>
                    <w:pageBreakBefore w:val="0"/>
                    <w:kinsoku/>
                    <w:wordWrap/>
                    <w:overflowPunct/>
                    <w:topLinePunct w:val="0"/>
                    <w:autoSpaceDE/>
                    <w:autoSpaceDN/>
                    <w:bidi w:val="0"/>
                    <w:spacing w:line="240" w:lineRule="auto"/>
                    <w:ind w:right="0" w:firstLine="0" w:firstLineChars="0"/>
                    <w:jc w:val="center"/>
                    <w:rPr>
                      <w:rFonts w:hint="default"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 xml:space="preserve">71.7 </w:t>
                  </w:r>
                </w:p>
              </w:tc>
              <w:tc>
                <w:tcPr>
                  <w:tcW w:w="549" w:type="dxa"/>
                  <w:vMerge w:val="continue"/>
                  <w:noWrap w:val="0"/>
                  <w:vAlign w:val="center"/>
                </w:tcPr>
                <w:p w14:paraId="28960F1C">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399" w:type="dxa"/>
                  <w:vMerge w:val="continue"/>
                  <w:noWrap/>
                  <w:vAlign w:val="center"/>
                </w:tcPr>
                <w:p w14:paraId="3C137E54">
                  <w:pPr>
                    <w:pStyle w:val="23"/>
                    <w:keepNext w:val="0"/>
                    <w:keepLines w:val="0"/>
                    <w:pageBreakBefore w:val="0"/>
                    <w:kinsoku/>
                    <w:wordWrap/>
                    <w:overflowPunct/>
                    <w:topLinePunct w:val="0"/>
                    <w:autoSpaceDE/>
                    <w:autoSpaceDN/>
                    <w:bidi w:val="0"/>
                    <w:spacing w:before="0" w:after="0" w:line="240" w:lineRule="auto"/>
                    <w:ind w:left="0" w:leftChars="0" w:right="0" w:firstLine="0" w:firstLineChars="0"/>
                    <w:jc w:val="center"/>
                    <w:rPr>
                      <w:rFonts w:hint="default" w:ascii="Times New Roman" w:hAnsi="Times New Roman" w:cs="Times New Roman"/>
                      <w:color w:val="auto"/>
                      <w:sz w:val="21"/>
                      <w:szCs w:val="21"/>
                      <w:lang w:val="en-US" w:eastAsia="zh-CN"/>
                    </w:rPr>
                  </w:pPr>
                </w:p>
              </w:tc>
              <w:tc>
                <w:tcPr>
                  <w:tcW w:w="530" w:type="dxa"/>
                  <w:vMerge w:val="continue"/>
                  <w:noWrap/>
                  <w:vAlign w:val="center"/>
                </w:tcPr>
                <w:p w14:paraId="5632D610">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00" w:type="dxa"/>
                  <w:vMerge w:val="continue"/>
                  <w:noWrap/>
                  <w:vAlign w:val="center"/>
                </w:tcPr>
                <w:p w14:paraId="65E0A9DD">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12" w:type="dxa"/>
                  <w:vMerge w:val="continue"/>
                  <w:noWrap/>
                  <w:vAlign w:val="center"/>
                </w:tcPr>
                <w:p w14:paraId="7988A7F6">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sz w:val="21"/>
                      <w:szCs w:val="21"/>
                      <w:lang w:val="en-US" w:eastAsia="zh-CN"/>
                    </w:rPr>
                  </w:pPr>
                </w:p>
              </w:tc>
              <w:tc>
                <w:tcPr>
                  <w:tcW w:w="536" w:type="dxa"/>
                  <w:vMerge w:val="continue"/>
                  <w:noWrap/>
                  <w:vAlign w:val="center"/>
                </w:tcPr>
                <w:p w14:paraId="7935256C">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r>
            <w:tr w14:paraId="3D2D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2" w:type="dxa"/>
                  <w:noWrap/>
                  <w:vAlign w:val="center"/>
                </w:tcPr>
                <w:p w14:paraId="4131A4CC">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cs="Times New Roman"/>
                      <w:b w:val="0"/>
                      <w:bCs/>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3</w:t>
                  </w:r>
                </w:p>
              </w:tc>
              <w:tc>
                <w:tcPr>
                  <w:tcW w:w="713" w:type="dxa"/>
                  <w:noWrap/>
                  <w:vAlign w:val="center"/>
                </w:tcPr>
                <w:p w14:paraId="5AFFFC09">
                  <w:pPr>
                    <w:pStyle w:val="89"/>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color w:val="auto"/>
                      <w:kern w:val="2"/>
                      <w:sz w:val="21"/>
                      <w:szCs w:val="21"/>
                      <w:lang w:val="en-US" w:eastAsia="zh-CN" w:bidi="ar-SA"/>
                    </w:rPr>
                  </w:pPr>
                  <w:r>
                    <w:rPr>
                      <w:rFonts w:hint="eastAsia"/>
                      <w:b w:val="0"/>
                      <w:bCs w:val="0"/>
                      <w:color w:val="auto"/>
                      <w:sz w:val="21"/>
                      <w:szCs w:val="21"/>
                      <w:lang w:eastAsia="zh-CN"/>
                    </w:rPr>
                    <w:t>数控龙门加工中心</w:t>
                  </w:r>
                </w:p>
              </w:tc>
              <w:tc>
                <w:tcPr>
                  <w:tcW w:w="569" w:type="dxa"/>
                  <w:noWrap/>
                  <w:vAlign w:val="center"/>
                </w:tcPr>
                <w:p w14:paraId="1E816A9F">
                  <w:pPr>
                    <w:pStyle w:val="89"/>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eastAsia="宋体"/>
                      <w:b w:val="0"/>
                      <w:bCs w:val="0"/>
                      <w:color w:val="auto"/>
                      <w:sz w:val="21"/>
                      <w:szCs w:val="21"/>
                      <w:lang w:val="en-US" w:eastAsia="zh-CN"/>
                    </w:rPr>
                  </w:pPr>
                  <w:r>
                    <w:rPr>
                      <w:rFonts w:hint="eastAsia"/>
                      <w:b w:val="0"/>
                      <w:bCs w:val="0"/>
                      <w:color w:val="auto"/>
                      <w:sz w:val="21"/>
                      <w:szCs w:val="21"/>
                      <w:lang w:val="en-US" w:eastAsia="zh-CN"/>
                    </w:rPr>
                    <w:t>70</w:t>
                  </w:r>
                </w:p>
              </w:tc>
              <w:tc>
                <w:tcPr>
                  <w:tcW w:w="384" w:type="dxa"/>
                  <w:noWrap/>
                  <w:vAlign w:val="center"/>
                </w:tcPr>
                <w:p w14:paraId="49AD6E26">
                  <w:pPr>
                    <w:keepNext w:val="0"/>
                    <w:keepLines w:val="0"/>
                    <w:pageBreakBefore w:val="0"/>
                    <w:kinsoku/>
                    <w:wordWrap/>
                    <w:overflowPunct/>
                    <w:topLinePunct w:val="0"/>
                    <w:autoSpaceDE/>
                    <w:autoSpaceDN/>
                    <w:bidi w:val="0"/>
                    <w:adjustRightInd w:val="0"/>
                    <w:spacing w:line="240" w:lineRule="auto"/>
                    <w:ind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10</w:t>
                  </w:r>
                </w:p>
              </w:tc>
              <w:tc>
                <w:tcPr>
                  <w:tcW w:w="600" w:type="dxa"/>
                  <w:noWrap/>
                  <w:vAlign w:val="center"/>
                </w:tcPr>
                <w:p w14:paraId="562EF4F2">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80</w:t>
                  </w:r>
                </w:p>
              </w:tc>
              <w:tc>
                <w:tcPr>
                  <w:tcW w:w="533" w:type="dxa"/>
                  <w:vMerge w:val="continue"/>
                  <w:noWrap/>
                  <w:vAlign w:val="center"/>
                </w:tcPr>
                <w:p w14:paraId="4573DB18">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367" w:type="dxa"/>
                  <w:noWrap/>
                  <w:vAlign w:val="center"/>
                </w:tcPr>
                <w:p w14:paraId="03ABDD46">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-3</w:t>
                  </w:r>
                </w:p>
              </w:tc>
              <w:tc>
                <w:tcPr>
                  <w:tcW w:w="400" w:type="dxa"/>
                  <w:noWrap/>
                  <w:vAlign w:val="center"/>
                </w:tcPr>
                <w:p w14:paraId="4C6CE53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40</w:t>
                  </w:r>
                </w:p>
              </w:tc>
              <w:tc>
                <w:tcPr>
                  <w:tcW w:w="383" w:type="dxa"/>
                  <w:noWrap/>
                  <w:vAlign w:val="center"/>
                </w:tcPr>
                <w:p w14:paraId="68B084A0">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1</w:t>
                  </w:r>
                </w:p>
              </w:tc>
              <w:tc>
                <w:tcPr>
                  <w:tcW w:w="450" w:type="dxa"/>
                  <w:noWrap/>
                  <w:vAlign w:val="center"/>
                </w:tcPr>
                <w:p w14:paraId="6C717076">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3</w:t>
                  </w:r>
                </w:p>
              </w:tc>
              <w:tc>
                <w:tcPr>
                  <w:tcW w:w="550" w:type="dxa"/>
                  <w:noWrap/>
                  <w:vAlign w:val="center"/>
                </w:tcPr>
                <w:p w14:paraId="5EB4B128">
                  <w:pPr>
                    <w:keepNext w:val="0"/>
                    <w:keepLines w:val="0"/>
                    <w:pageBreakBefore w:val="0"/>
                    <w:kinsoku/>
                    <w:wordWrap/>
                    <w:overflowPunct/>
                    <w:topLinePunct w:val="0"/>
                    <w:autoSpaceDE/>
                    <w:autoSpaceDN/>
                    <w:bidi w:val="0"/>
                    <w:spacing w:line="240" w:lineRule="auto"/>
                    <w:ind w:right="0" w:firstLine="0" w:firstLineChars="0"/>
                    <w:jc w:val="center"/>
                    <w:rPr>
                      <w:rFonts w:hint="default"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 xml:space="preserve">69.7 </w:t>
                  </w:r>
                </w:p>
              </w:tc>
              <w:tc>
                <w:tcPr>
                  <w:tcW w:w="549" w:type="dxa"/>
                  <w:vMerge w:val="continue"/>
                  <w:noWrap w:val="0"/>
                  <w:vAlign w:val="center"/>
                </w:tcPr>
                <w:p w14:paraId="75C7B5FA">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399" w:type="dxa"/>
                  <w:vMerge w:val="continue"/>
                  <w:noWrap/>
                  <w:vAlign w:val="center"/>
                </w:tcPr>
                <w:p w14:paraId="5AA2E261">
                  <w:pPr>
                    <w:pStyle w:val="23"/>
                    <w:keepNext w:val="0"/>
                    <w:keepLines w:val="0"/>
                    <w:pageBreakBefore w:val="0"/>
                    <w:kinsoku/>
                    <w:wordWrap/>
                    <w:overflowPunct/>
                    <w:topLinePunct w:val="0"/>
                    <w:autoSpaceDE/>
                    <w:autoSpaceDN/>
                    <w:bidi w:val="0"/>
                    <w:spacing w:before="0" w:after="0" w:line="240" w:lineRule="auto"/>
                    <w:ind w:left="0" w:leftChars="0" w:right="0" w:firstLine="0" w:firstLineChars="0"/>
                    <w:jc w:val="center"/>
                    <w:rPr>
                      <w:rFonts w:hint="default" w:ascii="Times New Roman" w:hAnsi="Times New Roman" w:cs="Times New Roman"/>
                      <w:color w:val="auto"/>
                      <w:sz w:val="21"/>
                      <w:szCs w:val="21"/>
                      <w:lang w:val="en-US" w:eastAsia="zh-CN"/>
                    </w:rPr>
                  </w:pPr>
                </w:p>
              </w:tc>
              <w:tc>
                <w:tcPr>
                  <w:tcW w:w="530" w:type="dxa"/>
                  <w:vMerge w:val="continue"/>
                  <w:noWrap/>
                  <w:vAlign w:val="center"/>
                </w:tcPr>
                <w:p w14:paraId="14327611">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00" w:type="dxa"/>
                  <w:vMerge w:val="continue"/>
                  <w:noWrap/>
                  <w:vAlign w:val="center"/>
                </w:tcPr>
                <w:p w14:paraId="1CCAE9D1">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12" w:type="dxa"/>
                  <w:vMerge w:val="continue"/>
                  <w:noWrap/>
                  <w:vAlign w:val="center"/>
                </w:tcPr>
                <w:p w14:paraId="37FDE658">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536" w:type="dxa"/>
                  <w:vMerge w:val="continue"/>
                  <w:noWrap/>
                  <w:vAlign w:val="center"/>
                </w:tcPr>
                <w:p w14:paraId="671E1367">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r>
            <w:tr w14:paraId="0C468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2" w:type="dxa"/>
                  <w:noWrap/>
                  <w:vAlign w:val="center"/>
                </w:tcPr>
                <w:p w14:paraId="60281468">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cs="Times New Roman"/>
                      <w:b w:val="0"/>
                      <w:bCs/>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4</w:t>
                  </w:r>
                </w:p>
              </w:tc>
              <w:tc>
                <w:tcPr>
                  <w:tcW w:w="713" w:type="dxa"/>
                  <w:noWrap/>
                  <w:vAlign w:val="center"/>
                </w:tcPr>
                <w:p w14:paraId="616130DF">
                  <w:pPr>
                    <w:pStyle w:val="89"/>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eastAsia" w:ascii="Times New Roman" w:hAnsi="Times New Roman" w:eastAsia="宋体" w:cs="Times New Roman"/>
                      <w:color w:val="auto"/>
                      <w:kern w:val="2"/>
                      <w:sz w:val="21"/>
                      <w:szCs w:val="21"/>
                      <w:lang w:val="en-US" w:eastAsia="zh-CN" w:bidi="ar-SA"/>
                    </w:rPr>
                  </w:pPr>
                  <w:r>
                    <w:rPr>
                      <w:rFonts w:hint="eastAsia"/>
                      <w:b w:val="0"/>
                      <w:bCs w:val="0"/>
                      <w:color w:val="auto"/>
                      <w:sz w:val="21"/>
                      <w:szCs w:val="21"/>
                      <w:lang w:eastAsia="zh-CN"/>
                    </w:rPr>
                    <w:t>攻丝机</w:t>
                  </w:r>
                </w:p>
              </w:tc>
              <w:tc>
                <w:tcPr>
                  <w:tcW w:w="569" w:type="dxa"/>
                  <w:noWrap/>
                  <w:vAlign w:val="center"/>
                </w:tcPr>
                <w:p w14:paraId="778FDF42">
                  <w:pPr>
                    <w:pStyle w:val="89"/>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eastAsia="宋体"/>
                      <w:b w:val="0"/>
                      <w:bCs w:val="0"/>
                      <w:color w:val="auto"/>
                      <w:sz w:val="21"/>
                      <w:szCs w:val="21"/>
                      <w:lang w:val="en-US" w:eastAsia="zh-CN"/>
                    </w:rPr>
                  </w:pPr>
                  <w:r>
                    <w:rPr>
                      <w:rFonts w:hint="eastAsia"/>
                      <w:b w:val="0"/>
                      <w:bCs w:val="0"/>
                      <w:color w:val="auto"/>
                      <w:sz w:val="21"/>
                      <w:szCs w:val="21"/>
                      <w:lang w:val="en-US" w:eastAsia="zh-CN"/>
                    </w:rPr>
                    <w:t>70</w:t>
                  </w:r>
                </w:p>
              </w:tc>
              <w:tc>
                <w:tcPr>
                  <w:tcW w:w="384" w:type="dxa"/>
                  <w:noWrap/>
                  <w:vAlign w:val="center"/>
                </w:tcPr>
                <w:p w14:paraId="50A167B2">
                  <w:pPr>
                    <w:keepNext w:val="0"/>
                    <w:keepLines w:val="0"/>
                    <w:pageBreakBefore w:val="0"/>
                    <w:kinsoku/>
                    <w:wordWrap/>
                    <w:overflowPunct/>
                    <w:topLinePunct w:val="0"/>
                    <w:autoSpaceDE/>
                    <w:autoSpaceDN/>
                    <w:bidi w:val="0"/>
                    <w:adjustRightInd w:val="0"/>
                    <w:spacing w:line="240" w:lineRule="auto"/>
                    <w:ind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w:t>
                  </w:r>
                </w:p>
              </w:tc>
              <w:tc>
                <w:tcPr>
                  <w:tcW w:w="600" w:type="dxa"/>
                  <w:noWrap/>
                  <w:vAlign w:val="center"/>
                </w:tcPr>
                <w:p w14:paraId="24B698E3">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70</w:t>
                  </w:r>
                </w:p>
              </w:tc>
              <w:tc>
                <w:tcPr>
                  <w:tcW w:w="533" w:type="dxa"/>
                  <w:vMerge w:val="continue"/>
                  <w:noWrap/>
                  <w:vAlign w:val="center"/>
                </w:tcPr>
                <w:p w14:paraId="122DBF06">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367" w:type="dxa"/>
                  <w:noWrap/>
                  <w:vAlign w:val="center"/>
                </w:tcPr>
                <w:p w14:paraId="281C5DFE">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-2</w:t>
                  </w:r>
                </w:p>
              </w:tc>
              <w:tc>
                <w:tcPr>
                  <w:tcW w:w="400" w:type="dxa"/>
                  <w:noWrap/>
                  <w:vAlign w:val="center"/>
                </w:tcPr>
                <w:p w14:paraId="320FB2C0">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20</w:t>
                  </w:r>
                </w:p>
              </w:tc>
              <w:tc>
                <w:tcPr>
                  <w:tcW w:w="383" w:type="dxa"/>
                  <w:noWrap/>
                  <w:vAlign w:val="center"/>
                </w:tcPr>
                <w:p w14:paraId="2E6E811D">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1</w:t>
                  </w:r>
                </w:p>
              </w:tc>
              <w:tc>
                <w:tcPr>
                  <w:tcW w:w="450" w:type="dxa"/>
                  <w:noWrap/>
                  <w:vAlign w:val="center"/>
                </w:tcPr>
                <w:p w14:paraId="063E00C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4</w:t>
                  </w:r>
                </w:p>
              </w:tc>
              <w:tc>
                <w:tcPr>
                  <w:tcW w:w="550" w:type="dxa"/>
                  <w:noWrap/>
                  <w:vAlign w:val="center"/>
                </w:tcPr>
                <w:p w14:paraId="3EA0DA85">
                  <w:pPr>
                    <w:keepNext w:val="0"/>
                    <w:keepLines w:val="0"/>
                    <w:pageBreakBefore w:val="0"/>
                    <w:kinsoku/>
                    <w:wordWrap/>
                    <w:overflowPunct/>
                    <w:topLinePunct w:val="0"/>
                    <w:autoSpaceDE/>
                    <w:autoSpaceDN/>
                    <w:bidi w:val="0"/>
                    <w:spacing w:line="240" w:lineRule="auto"/>
                    <w:ind w:right="0" w:firstLine="0" w:firstLineChars="0"/>
                    <w:jc w:val="center"/>
                    <w:rPr>
                      <w:rFonts w:hint="default"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 xml:space="preserve">59.3 </w:t>
                  </w:r>
                </w:p>
              </w:tc>
              <w:tc>
                <w:tcPr>
                  <w:tcW w:w="549" w:type="dxa"/>
                  <w:vMerge w:val="continue"/>
                  <w:noWrap w:val="0"/>
                  <w:vAlign w:val="center"/>
                </w:tcPr>
                <w:p w14:paraId="0D692CFC">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399" w:type="dxa"/>
                  <w:vMerge w:val="continue"/>
                  <w:noWrap/>
                  <w:vAlign w:val="center"/>
                </w:tcPr>
                <w:p w14:paraId="770BC1F1">
                  <w:pPr>
                    <w:pStyle w:val="23"/>
                    <w:keepNext w:val="0"/>
                    <w:keepLines w:val="0"/>
                    <w:pageBreakBefore w:val="0"/>
                    <w:kinsoku/>
                    <w:wordWrap/>
                    <w:overflowPunct/>
                    <w:topLinePunct w:val="0"/>
                    <w:autoSpaceDE/>
                    <w:autoSpaceDN/>
                    <w:bidi w:val="0"/>
                    <w:spacing w:before="0" w:after="0" w:line="240" w:lineRule="auto"/>
                    <w:ind w:left="0" w:leftChars="0" w:right="0" w:firstLine="0" w:firstLineChars="0"/>
                    <w:jc w:val="center"/>
                    <w:rPr>
                      <w:rFonts w:hint="default" w:ascii="Times New Roman" w:hAnsi="Times New Roman" w:cs="Times New Roman"/>
                      <w:color w:val="auto"/>
                      <w:sz w:val="21"/>
                      <w:szCs w:val="21"/>
                      <w:lang w:val="en-US" w:eastAsia="zh-CN"/>
                    </w:rPr>
                  </w:pPr>
                </w:p>
              </w:tc>
              <w:tc>
                <w:tcPr>
                  <w:tcW w:w="530" w:type="dxa"/>
                  <w:vMerge w:val="continue"/>
                  <w:noWrap/>
                  <w:vAlign w:val="center"/>
                </w:tcPr>
                <w:p w14:paraId="47693FB7">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00" w:type="dxa"/>
                  <w:vMerge w:val="continue"/>
                  <w:noWrap/>
                  <w:vAlign w:val="center"/>
                </w:tcPr>
                <w:p w14:paraId="088684E6">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12" w:type="dxa"/>
                  <w:vMerge w:val="continue"/>
                  <w:noWrap/>
                  <w:vAlign w:val="center"/>
                </w:tcPr>
                <w:p w14:paraId="41FD91D9">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536" w:type="dxa"/>
                  <w:vMerge w:val="continue"/>
                  <w:noWrap/>
                  <w:vAlign w:val="center"/>
                </w:tcPr>
                <w:p w14:paraId="23E77188">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r>
            <w:tr w14:paraId="65E21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2" w:type="dxa"/>
                  <w:noWrap/>
                  <w:vAlign w:val="center"/>
                </w:tcPr>
                <w:p w14:paraId="0FEEC3F5">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cs="Times New Roman"/>
                      <w:b w:val="0"/>
                      <w:bCs/>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5</w:t>
                  </w:r>
                </w:p>
              </w:tc>
              <w:tc>
                <w:tcPr>
                  <w:tcW w:w="713" w:type="dxa"/>
                  <w:noWrap/>
                  <w:vAlign w:val="center"/>
                </w:tcPr>
                <w:p w14:paraId="529009C3">
                  <w:pPr>
                    <w:pStyle w:val="89"/>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eastAsia" w:ascii="Times New Roman" w:hAnsi="Times New Roman" w:eastAsia="宋体" w:cs="Times New Roman"/>
                      <w:color w:val="auto"/>
                      <w:kern w:val="2"/>
                      <w:sz w:val="21"/>
                      <w:szCs w:val="21"/>
                      <w:lang w:val="en-US" w:eastAsia="zh-CN" w:bidi="ar-SA"/>
                    </w:rPr>
                  </w:pPr>
                  <w:r>
                    <w:rPr>
                      <w:rFonts w:hint="eastAsia"/>
                      <w:color w:val="auto"/>
                      <w:sz w:val="21"/>
                      <w:szCs w:val="21"/>
                      <w:lang w:eastAsia="zh-CN"/>
                    </w:rPr>
                    <w:t>真空包装机</w:t>
                  </w:r>
                </w:p>
              </w:tc>
              <w:tc>
                <w:tcPr>
                  <w:tcW w:w="569" w:type="dxa"/>
                  <w:noWrap/>
                  <w:vAlign w:val="center"/>
                </w:tcPr>
                <w:p w14:paraId="22E003E2">
                  <w:pPr>
                    <w:pStyle w:val="89"/>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eastAsia="宋体"/>
                      <w:color w:val="auto"/>
                      <w:sz w:val="21"/>
                      <w:szCs w:val="21"/>
                      <w:lang w:val="en-US" w:eastAsia="zh-CN"/>
                    </w:rPr>
                  </w:pPr>
                  <w:r>
                    <w:rPr>
                      <w:rFonts w:hint="eastAsia"/>
                      <w:color w:val="auto"/>
                      <w:sz w:val="21"/>
                      <w:szCs w:val="21"/>
                      <w:lang w:val="en-US" w:eastAsia="zh-CN"/>
                    </w:rPr>
                    <w:t>70</w:t>
                  </w:r>
                </w:p>
              </w:tc>
              <w:tc>
                <w:tcPr>
                  <w:tcW w:w="384" w:type="dxa"/>
                  <w:noWrap/>
                  <w:vAlign w:val="center"/>
                </w:tcPr>
                <w:p w14:paraId="61A7C266">
                  <w:pPr>
                    <w:keepNext w:val="0"/>
                    <w:keepLines w:val="0"/>
                    <w:pageBreakBefore w:val="0"/>
                    <w:kinsoku/>
                    <w:wordWrap/>
                    <w:overflowPunct/>
                    <w:topLinePunct w:val="0"/>
                    <w:autoSpaceDE/>
                    <w:autoSpaceDN/>
                    <w:bidi w:val="0"/>
                    <w:adjustRightInd w:val="0"/>
                    <w:spacing w:line="240" w:lineRule="auto"/>
                    <w:ind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600" w:type="dxa"/>
                  <w:noWrap/>
                  <w:vAlign w:val="center"/>
                </w:tcPr>
                <w:p w14:paraId="0C4A4570">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eastAsia="宋体" w:cs="Times New Roman"/>
                      <w:b w:val="0"/>
                      <w:bCs/>
                      <w:color w:val="auto"/>
                      <w:kern w:val="2"/>
                      <w:sz w:val="21"/>
                      <w:szCs w:val="21"/>
                      <w:lang w:val="en-US" w:eastAsia="zh-CN" w:bidi="ar-SA"/>
                    </w:rPr>
                  </w:pPr>
                  <w:r>
                    <w:rPr>
                      <w:rFonts w:hint="eastAsia" w:eastAsia="宋体" w:cs="Times New Roman"/>
                      <w:b w:val="0"/>
                      <w:bCs/>
                      <w:color w:val="auto"/>
                      <w:kern w:val="2"/>
                      <w:sz w:val="21"/>
                      <w:szCs w:val="21"/>
                      <w:lang w:val="en-US" w:eastAsia="zh-CN" w:bidi="ar-SA"/>
                    </w:rPr>
                    <w:t>70</w:t>
                  </w:r>
                </w:p>
              </w:tc>
              <w:tc>
                <w:tcPr>
                  <w:tcW w:w="533" w:type="dxa"/>
                  <w:vMerge w:val="continue"/>
                  <w:noWrap/>
                  <w:vAlign w:val="center"/>
                </w:tcPr>
                <w:p w14:paraId="06BCDF0D">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367" w:type="dxa"/>
                  <w:noWrap/>
                  <w:vAlign w:val="center"/>
                </w:tcPr>
                <w:p w14:paraId="3DBF4E90">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5</w:t>
                  </w:r>
                </w:p>
              </w:tc>
              <w:tc>
                <w:tcPr>
                  <w:tcW w:w="400" w:type="dxa"/>
                  <w:noWrap/>
                  <w:vAlign w:val="center"/>
                </w:tcPr>
                <w:p w14:paraId="1361ABCC">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0</w:t>
                  </w:r>
                </w:p>
              </w:tc>
              <w:tc>
                <w:tcPr>
                  <w:tcW w:w="383" w:type="dxa"/>
                  <w:noWrap/>
                  <w:vAlign w:val="center"/>
                </w:tcPr>
                <w:p w14:paraId="6C43C2A5">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1</w:t>
                  </w:r>
                </w:p>
              </w:tc>
              <w:tc>
                <w:tcPr>
                  <w:tcW w:w="450" w:type="dxa"/>
                  <w:noWrap/>
                  <w:vAlign w:val="center"/>
                </w:tcPr>
                <w:p w14:paraId="637A0D5B">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1</w:t>
                  </w:r>
                </w:p>
              </w:tc>
              <w:tc>
                <w:tcPr>
                  <w:tcW w:w="550" w:type="dxa"/>
                  <w:noWrap/>
                  <w:vAlign w:val="center"/>
                </w:tcPr>
                <w:p w14:paraId="28BDB045">
                  <w:pPr>
                    <w:keepNext w:val="0"/>
                    <w:keepLines w:val="0"/>
                    <w:pageBreakBefore w:val="0"/>
                    <w:kinsoku/>
                    <w:wordWrap/>
                    <w:overflowPunct/>
                    <w:topLinePunct w:val="0"/>
                    <w:autoSpaceDE/>
                    <w:autoSpaceDN/>
                    <w:bidi w:val="0"/>
                    <w:spacing w:line="240" w:lineRule="auto"/>
                    <w:ind w:right="0" w:firstLine="0" w:firstLineChars="0"/>
                    <w:jc w:val="center"/>
                    <w:rPr>
                      <w:rFonts w:hint="default"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 xml:space="preserve">63.7 </w:t>
                  </w:r>
                </w:p>
              </w:tc>
              <w:tc>
                <w:tcPr>
                  <w:tcW w:w="549" w:type="dxa"/>
                  <w:vMerge w:val="continue"/>
                  <w:noWrap w:val="0"/>
                  <w:vAlign w:val="center"/>
                </w:tcPr>
                <w:p w14:paraId="2CAFD417">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399" w:type="dxa"/>
                  <w:vMerge w:val="continue"/>
                  <w:noWrap/>
                  <w:vAlign w:val="center"/>
                </w:tcPr>
                <w:p w14:paraId="6EC40D76">
                  <w:pPr>
                    <w:pStyle w:val="23"/>
                    <w:keepNext w:val="0"/>
                    <w:keepLines w:val="0"/>
                    <w:pageBreakBefore w:val="0"/>
                    <w:kinsoku/>
                    <w:wordWrap/>
                    <w:overflowPunct/>
                    <w:topLinePunct w:val="0"/>
                    <w:autoSpaceDE/>
                    <w:autoSpaceDN/>
                    <w:bidi w:val="0"/>
                    <w:spacing w:before="0" w:after="0" w:line="240" w:lineRule="auto"/>
                    <w:ind w:left="0" w:leftChars="0" w:right="0" w:firstLine="0" w:firstLineChars="0"/>
                    <w:jc w:val="center"/>
                    <w:rPr>
                      <w:rFonts w:hint="default" w:ascii="Times New Roman" w:hAnsi="Times New Roman" w:cs="Times New Roman"/>
                      <w:color w:val="auto"/>
                      <w:sz w:val="21"/>
                      <w:szCs w:val="21"/>
                      <w:lang w:val="en-US" w:eastAsia="zh-CN"/>
                    </w:rPr>
                  </w:pPr>
                </w:p>
              </w:tc>
              <w:tc>
                <w:tcPr>
                  <w:tcW w:w="530" w:type="dxa"/>
                  <w:vMerge w:val="continue"/>
                  <w:noWrap/>
                  <w:vAlign w:val="center"/>
                </w:tcPr>
                <w:p w14:paraId="106CE84E">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00" w:type="dxa"/>
                  <w:vMerge w:val="continue"/>
                  <w:noWrap/>
                  <w:vAlign w:val="center"/>
                </w:tcPr>
                <w:p w14:paraId="027E7048">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12" w:type="dxa"/>
                  <w:vMerge w:val="continue"/>
                  <w:noWrap/>
                  <w:vAlign w:val="center"/>
                </w:tcPr>
                <w:p w14:paraId="04DB3213">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536" w:type="dxa"/>
                  <w:vMerge w:val="continue"/>
                  <w:noWrap/>
                  <w:vAlign w:val="center"/>
                </w:tcPr>
                <w:p w14:paraId="64B022E8">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r>
            <w:tr w14:paraId="7BCA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2" w:type="dxa"/>
                  <w:noWrap/>
                  <w:vAlign w:val="center"/>
                </w:tcPr>
                <w:p w14:paraId="15BF5BAF">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cs="Times New Roman"/>
                      <w:b w:val="0"/>
                      <w:bCs/>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6</w:t>
                  </w:r>
                </w:p>
              </w:tc>
              <w:tc>
                <w:tcPr>
                  <w:tcW w:w="713" w:type="dxa"/>
                  <w:noWrap/>
                  <w:vAlign w:val="center"/>
                </w:tcPr>
                <w:p w14:paraId="14B39661">
                  <w:pPr>
                    <w:pStyle w:val="89"/>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eastAsia" w:ascii="Times New Roman" w:hAnsi="Times New Roman" w:eastAsia="宋体" w:cs="Times New Roman"/>
                      <w:color w:val="auto"/>
                      <w:kern w:val="2"/>
                      <w:sz w:val="21"/>
                      <w:szCs w:val="21"/>
                      <w:lang w:val="en-US" w:eastAsia="zh-CN" w:bidi="ar-SA"/>
                    </w:rPr>
                  </w:pPr>
                  <w:r>
                    <w:rPr>
                      <w:rFonts w:hint="eastAsia"/>
                      <w:color w:val="auto"/>
                      <w:sz w:val="21"/>
                      <w:szCs w:val="21"/>
                      <w:lang w:eastAsia="zh-CN"/>
                    </w:rPr>
                    <w:t>卧式加工中心</w:t>
                  </w:r>
                </w:p>
              </w:tc>
              <w:tc>
                <w:tcPr>
                  <w:tcW w:w="569" w:type="dxa"/>
                  <w:noWrap/>
                  <w:vAlign w:val="center"/>
                </w:tcPr>
                <w:p w14:paraId="75D46787">
                  <w:pPr>
                    <w:pStyle w:val="89"/>
                    <w:keepNext w:val="0"/>
                    <w:keepLines w:val="0"/>
                    <w:pageBreakBefore w:val="0"/>
                    <w:widowControl w:val="0"/>
                    <w:kinsoku/>
                    <w:wordWrap/>
                    <w:overflowPunct/>
                    <w:topLinePunct w:val="0"/>
                    <w:autoSpaceDE/>
                    <w:autoSpaceDN/>
                    <w:bidi w:val="0"/>
                    <w:adjustRightInd/>
                    <w:snapToGrid/>
                    <w:spacing w:line="240" w:lineRule="auto"/>
                    <w:ind w:firstLine="0" w:firstLineChars="0"/>
                    <w:rPr>
                      <w:rFonts w:hint="default" w:eastAsia="宋体"/>
                      <w:color w:val="auto"/>
                      <w:sz w:val="21"/>
                      <w:szCs w:val="21"/>
                      <w:lang w:val="en-US" w:eastAsia="zh-CN"/>
                    </w:rPr>
                  </w:pPr>
                  <w:r>
                    <w:rPr>
                      <w:rFonts w:hint="eastAsia"/>
                      <w:color w:val="auto"/>
                      <w:sz w:val="21"/>
                      <w:szCs w:val="21"/>
                      <w:lang w:val="en-US" w:eastAsia="zh-CN"/>
                    </w:rPr>
                    <w:t>75</w:t>
                  </w:r>
                </w:p>
              </w:tc>
              <w:tc>
                <w:tcPr>
                  <w:tcW w:w="384" w:type="dxa"/>
                  <w:noWrap/>
                  <w:vAlign w:val="center"/>
                </w:tcPr>
                <w:p w14:paraId="52DFA8C9">
                  <w:pPr>
                    <w:keepNext w:val="0"/>
                    <w:keepLines w:val="0"/>
                    <w:pageBreakBefore w:val="0"/>
                    <w:kinsoku/>
                    <w:wordWrap/>
                    <w:overflowPunct/>
                    <w:topLinePunct w:val="0"/>
                    <w:autoSpaceDE/>
                    <w:autoSpaceDN/>
                    <w:bidi w:val="0"/>
                    <w:adjustRightInd w:val="0"/>
                    <w:spacing w:line="240" w:lineRule="auto"/>
                    <w:ind w:right="0" w:firstLine="0" w:firstLineChars="0"/>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1</w:t>
                  </w:r>
                </w:p>
              </w:tc>
              <w:tc>
                <w:tcPr>
                  <w:tcW w:w="600" w:type="dxa"/>
                  <w:noWrap/>
                  <w:vAlign w:val="center"/>
                </w:tcPr>
                <w:p w14:paraId="51227243">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eastAsia="宋体" w:cs="Times New Roman"/>
                      <w:b w:val="0"/>
                      <w:bCs/>
                      <w:color w:val="auto"/>
                      <w:kern w:val="2"/>
                      <w:sz w:val="21"/>
                      <w:szCs w:val="21"/>
                      <w:lang w:val="en-US" w:eastAsia="zh-CN" w:bidi="ar-SA"/>
                    </w:rPr>
                  </w:pPr>
                  <w:r>
                    <w:rPr>
                      <w:rFonts w:hint="eastAsia" w:eastAsia="宋体" w:cs="Times New Roman"/>
                      <w:b w:val="0"/>
                      <w:bCs/>
                      <w:color w:val="auto"/>
                      <w:kern w:val="2"/>
                      <w:sz w:val="21"/>
                      <w:szCs w:val="21"/>
                      <w:lang w:val="en-US" w:eastAsia="zh-CN" w:bidi="ar-SA"/>
                    </w:rPr>
                    <w:t>75</w:t>
                  </w:r>
                </w:p>
              </w:tc>
              <w:tc>
                <w:tcPr>
                  <w:tcW w:w="533" w:type="dxa"/>
                  <w:vMerge w:val="continue"/>
                  <w:noWrap/>
                  <w:vAlign w:val="center"/>
                </w:tcPr>
                <w:p w14:paraId="219B7DA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367" w:type="dxa"/>
                  <w:noWrap/>
                  <w:vAlign w:val="center"/>
                </w:tcPr>
                <w:p w14:paraId="1EAAC09C">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eastAsia="宋体" w:cs="Times New Roman"/>
                      <w:b w:val="0"/>
                      <w:bCs/>
                      <w:color w:val="auto"/>
                      <w:kern w:val="2"/>
                      <w:sz w:val="21"/>
                      <w:szCs w:val="21"/>
                      <w:lang w:val="en-US" w:eastAsia="zh-CN" w:bidi="ar-SA"/>
                    </w:rPr>
                    <w:t>-</w:t>
                  </w:r>
                  <w:r>
                    <w:rPr>
                      <w:rFonts w:hint="eastAsia" w:cs="Times New Roman"/>
                      <w:b w:val="0"/>
                      <w:bCs/>
                      <w:color w:val="auto"/>
                      <w:kern w:val="2"/>
                      <w:sz w:val="21"/>
                      <w:szCs w:val="21"/>
                      <w:lang w:val="en-US" w:eastAsia="zh-CN" w:bidi="ar-SA"/>
                    </w:rPr>
                    <w:t>2</w:t>
                  </w:r>
                </w:p>
              </w:tc>
              <w:tc>
                <w:tcPr>
                  <w:tcW w:w="400" w:type="dxa"/>
                  <w:noWrap/>
                  <w:vAlign w:val="center"/>
                </w:tcPr>
                <w:p w14:paraId="2691A113">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eastAsia="宋体" w:cs="Times New Roman"/>
                      <w:b w:val="0"/>
                      <w:bCs/>
                      <w:color w:val="auto"/>
                      <w:kern w:val="2"/>
                      <w:sz w:val="21"/>
                      <w:szCs w:val="21"/>
                      <w:lang w:val="en-US" w:eastAsia="zh-CN" w:bidi="ar-SA"/>
                    </w:rPr>
                    <w:t>-</w:t>
                  </w:r>
                  <w:r>
                    <w:rPr>
                      <w:rFonts w:hint="eastAsia" w:cs="Times New Roman"/>
                      <w:b w:val="0"/>
                      <w:bCs/>
                      <w:color w:val="auto"/>
                      <w:kern w:val="2"/>
                      <w:sz w:val="21"/>
                      <w:szCs w:val="21"/>
                      <w:lang w:val="en-US" w:eastAsia="zh-CN" w:bidi="ar-SA"/>
                    </w:rPr>
                    <w:t>35</w:t>
                  </w:r>
                </w:p>
              </w:tc>
              <w:tc>
                <w:tcPr>
                  <w:tcW w:w="383" w:type="dxa"/>
                  <w:noWrap/>
                  <w:vAlign w:val="center"/>
                </w:tcPr>
                <w:p w14:paraId="4BEE45C7">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1</w:t>
                  </w:r>
                </w:p>
              </w:tc>
              <w:tc>
                <w:tcPr>
                  <w:tcW w:w="450" w:type="dxa"/>
                  <w:noWrap/>
                  <w:vAlign w:val="center"/>
                </w:tcPr>
                <w:p w14:paraId="305B2D53">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4</w:t>
                  </w:r>
                </w:p>
              </w:tc>
              <w:tc>
                <w:tcPr>
                  <w:tcW w:w="550" w:type="dxa"/>
                  <w:noWrap/>
                  <w:vAlign w:val="center"/>
                </w:tcPr>
                <w:p w14:paraId="0B3DBECC">
                  <w:pPr>
                    <w:keepNext w:val="0"/>
                    <w:keepLines w:val="0"/>
                    <w:pageBreakBefore w:val="0"/>
                    <w:kinsoku/>
                    <w:wordWrap/>
                    <w:overflowPunct/>
                    <w:topLinePunct w:val="0"/>
                    <w:autoSpaceDE/>
                    <w:autoSpaceDN/>
                    <w:bidi w:val="0"/>
                    <w:spacing w:line="240" w:lineRule="auto"/>
                    <w:ind w:right="0" w:firstLine="0" w:firstLineChars="0"/>
                    <w:jc w:val="center"/>
                    <w:rPr>
                      <w:rFonts w:hint="default"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 xml:space="preserve">64.3 </w:t>
                  </w:r>
                </w:p>
              </w:tc>
              <w:tc>
                <w:tcPr>
                  <w:tcW w:w="549" w:type="dxa"/>
                  <w:vMerge w:val="continue"/>
                  <w:noWrap w:val="0"/>
                  <w:vAlign w:val="center"/>
                </w:tcPr>
                <w:p w14:paraId="62FEC2E1">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399" w:type="dxa"/>
                  <w:vMerge w:val="continue"/>
                  <w:noWrap/>
                  <w:vAlign w:val="center"/>
                </w:tcPr>
                <w:p w14:paraId="573C3A2B">
                  <w:pPr>
                    <w:pStyle w:val="23"/>
                    <w:keepNext w:val="0"/>
                    <w:keepLines w:val="0"/>
                    <w:pageBreakBefore w:val="0"/>
                    <w:kinsoku/>
                    <w:wordWrap/>
                    <w:overflowPunct/>
                    <w:topLinePunct w:val="0"/>
                    <w:autoSpaceDE/>
                    <w:autoSpaceDN/>
                    <w:bidi w:val="0"/>
                    <w:spacing w:before="0" w:after="0" w:line="240" w:lineRule="auto"/>
                    <w:ind w:left="0" w:leftChars="0" w:right="0" w:firstLine="0" w:firstLineChars="0"/>
                    <w:jc w:val="center"/>
                    <w:rPr>
                      <w:rFonts w:hint="default" w:ascii="Times New Roman" w:hAnsi="Times New Roman" w:cs="Times New Roman"/>
                      <w:color w:val="auto"/>
                      <w:sz w:val="21"/>
                      <w:szCs w:val="21"/>
                      <w:lang w:val="en-US" w:eastAsia="zh-CN"/>
                    </w:rPr>
                  </w:pPr>
                </w:p>
              </w:tc>
              <w:tc>
                <w:tcPr>
                  <w:tcW w:w="530" w:type="dxa"/>
                  <w:vMerge w:val="continue"/>
                  <w:noWrap/>
                  <w:vAlign w:val="center"/>
                </w:tcPr>
                <w:p w14:paraId="40010951">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00" w:type="dxa"/>
                  <w:vMerge w:val="continue"/>
                  <w:noWrap/>
                  <w:vAlign w:val="center"/>
                </w:tcPr>
                <w:p w14:paraId="505996C3">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12" w:type="dxa"/>
                  <w:vMerge w:val="continue"/>
                  <w:noWrap/>
                  <w:vAlign w:val="center"/>
                </w:tcPr>
                <w:p w14:paraId="039F2FB7">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536" w:type="dxa"/>
                  <w:vMerge w:val="continue"/>
                  <w:noWrap/>
                  <w:vAlign w:val="center"/>
                </w:tcPr>
                <w:p w14:paraId="7E49ACF8">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r>
            <w:tr w14:paraId="25A42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2" w:type="dxa"/>
                  <w:noWrap/>
                  <w:vAlign w:val="center"/>
                </w:tcPr>
                <w:p w14:paraId="561A751B">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cs="Times New Roman"/>
                      <w:b w:val="0"/>
                      <w:bCs/>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w:t>
                  </w:r>
                </w:p>
              </w:tc>
              <w:tc>
                <w:tcPr>
                  <w:tcW w:w="713" w:type="dxa"/>
                  <w:noWrap/>
                  <w:vAlign w:val="center"/>
                </w:tcPr>
                <w:p w14:paraId="118BDA2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起重机</w:t>
                  </w:r>
                </w:p>
              </w:tc>
              <w:tc>
                <w:tcPr>
                  <w:tcW w:w="569" w:type="dxa"/>
                  <w:noWrap/>
                  <w:vAlign w:val="center"/>
                </w:tcPr>
                <w:p w14:paraId="4A526A7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eastAsia="宋体"/>
                      <w:color w:val="auto"/>
                      <w:sz w:val="21"/>
                      <w:szCs w:val="21"/>
                      <w:lang w:val="en-US" w:eastAsia="zh-CN"/>
                    </w:rPr>
                  </w:pPr>
                  <w:r>
                    <w:rPr>
                      <w:rFonts w:hint="eastAsia"/>
                      <w:color w:val="auto"/>
                      <w:sz w:val="21"/>
                      <w:szCs w:val="21"/>
                      <w:lang w:val="en-US" w:eastAsia="zh-CN"/>
                    </w:rPr>
                    <w:t>75</w:t>
                  </w:r>
                </w:p>
              </w:tc>
              <w:tc>
                <w:tcPr>
                  <w:tcW w:w="384" w:type="dxa"/>
                  <w:noWrap/>
                  <w:vAlign w:val="center"/>
                </w:tcPr>
                <w:p w14:paraId="309115E3">
                  <w:pPr>
                    <w:keepNext w:val="0"/>
                    <w:keepLines w:val="0"/>
                    <w:pageBreakBefore w:val="0"/>
                    <w:kinsoku/>
                    <w:wordWrap/>
                    <w:overflowPunct/>
                    <w:topLinePunct w:val="0"/>
                    <w:autoSpaceDE/>
                    <w:autoSpaceDN/>
                    <w:bidi w:val="0"/>
                    <w:adjustRightInd w:val="0"/>
                    <w:spacing w:line="240" w:lineRule="auto"/>
                    <w:ind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w:t>
                  </w:r>
                </w:p>
              </w:tc>
              <w:tc>
                <w:tcPr>
                  <w:tcW w:w="600" w:type="dxa"/>
                  <w:noWrap/>
                  <w:vAlign w:val="center"/>
                </w:tcPr>
                <w:p w14:paraId="59DB2FC1">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82.8</w:t>
                  </w:r>
                </w:p>
              </w:tc>
              <w:tc>
                <w:tcPr>
                  <w:tcW w:w="533" w:type="dxa"/>
                  <w:vMerge w:val="continue"/>
                  <w:noWrap/>
                  <w:vAlign w:val="center"/>
                </w:tcPr>
                <w:p w14:paraId="23C70EA8">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367" w:type="dxa"/>
                  <w:noWrap/>
                  <w:vAlign w:val="center"/>
                </w:tcPr>
                <w:p w14:paraId="456509C0">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-3</w:t>
                  </w:r>
                </w:p>
              </w:tc>
              <w:tc>
                <w:tcPr>
                  <w:tcW w:w="400" w:type="dxa"/>
                  <w:noWrap/>
                  <w:vAlign w:val="center"/>
                </w:tcPr>
                <w:p w14:paraId="5E700D4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eastAsia="宋体" w:cs="Times New Roman"/>
                      <w:b w:val="0"/>
                      <w:bCs/>
                      <w:color w:val="auto"/>
                      <w:kern w:val="2"/>
                      <w:sz w:val="21"/>
                      <w:szCs w:val="21"/>
                      <w:lang w:val="en-US" w:eastAsia="zh-CN" w:bidi="ar-SA"/>
                    </w:rPr>
                    <w:t>-</w:t>
                  </w:r>
                  <w:r>
                    <w:rPr>
                      <w:rFonts w:hint="eastAsia" w:cs="Times New Roman"/>
                      <w:b w:val="0"/>
                      <w:bCs/>
                      <w:color w:val="auto"/>
                      <w:kern w:val="2"/>
                      <w:sz w:val="21"/>
                      <w:szCs w:val="21"/>
                      <w:lang w:val="en-US" w:eastAsia="zh-CN" w:bidi="ar-SA"/>
                    </w:rPr>
                    <w:t>10</w:t>
                  </w:r>
                </w:p>
              </w:tc>
              <w:tc>
                <w:tcPr>
                  <w:tcW w:w="383" w:type="dxa"/>
                  <w:noWrap/>
                  <w:vAlign w:val="center"/>
                </w:tcPr>
                <w:p w14:paraId="2CF6CF0C">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1</w:t>
                  </w:r>
                </w:p>
              </w:tc>
              <w:tc>
                <w:tcPr>
                  <w:tcW w:w="450" w:type="dxa"/>
                  <w:noWrap/>
                  <w:vAlign w:val="center"/>
                </w:tcPr>
                <w:p w14:paraId="4DD836D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3</w:t>
                  </w:r>
                </w:p>
              </w:tc>
              <w:tc>
                <w:tcPr>
                  <w:tcW w:w="550" w:type="dxa"/>
                  <w:noWrap/>
                  <w:vAlign w:val="center"/>
                </w:tcPr>
                <w:p w14:paraId="171A18D5">
                  <w:pPr>
                    <w:keepNext w:val="0"/>
                    <w:keepLines w:val="0"/>
                    <w:pageBreakBefore w:val="0"/>
                    <w:kinsoku/>
                    <w:wordWrap/>
                    <w:overflowPunct/>
                    <w:topLinePunct w:val="0"/>
                    <w:autoSpaceDE/>
                    <w:autoSpaceDN/>
                    <w:bidi w:val="0"/>
                    <w:spacing w:line="240" w:lineRule="auto"/>
                    <w:ind w:right="0" w:firstLine="0" w:firstLineChars="0"/>
                    <w:jc w:val="center"/>
                    <w:rPr>
                      <w:rFonts w:hint="default"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 xml:space="preserve">72.5 </w:t>
                  </w:r>
                </w:p>
              </w:tc>
              <w:tc>
                <w:tcPr>
                  <w:tcW w:w="549" w:type="dxa"/>
                  <w:vMerge w:val="continue"/>
                  <w:noWrap w:val="0"/>
                  <w:vAlign w:val="center"/>
                </w:tcPr>
                <w:p w14:paraId="6B854E00">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399" w:type="dxa"/>
                  <w:vMerge w:val="continue"/>
                  <w:noWrap/>
                  <w:vAlign w:val="center"/>
                </w:tcPr>
                <w:p w14:paraId="4C2EB817">
                  <w:pPr>
                    <w:pStyle w:val="23"/>
                    <w:keepNext w:val="0"/>
                    <w:keepLines w:val="0"/>
                    <w:pageBreakBefore w:val="0"/>
                    <w:kinsoku/>
                    <w:wordWrap/>
                    <w:overflowPunct/>
                    <w:topLinePunct w:val="0"/>
                    <w:autoSpaceDE/>
                    <w:autoSpaceDN/>
                    <w:bidi w:val="0"/>
                    <w:spacing w:before="0" w:after="0" w:line="240" w:lineRule="auto"/>
                    <w:ind w:left="0" w:leftChars="0" w:right="0" w:firstLine="0" w:firstLineChars="0"/>
                    <w:jc w:val="center"/>
                    <w:rPr>
                      <w:rFonts w:hint="default" w:ascii="Times New Roman" w:hAnsi="Times New Roman" w:cs="Times New Roman"/>
                      <w:color w:val="auto"/>
                      <w:sz w:val="21"/>
                      <w:szCs w:val="21"/>
                      <w:lang w:val="en-US" w:eastAsia="zh-CN"/>
                    </w:rPr>
                  </w:pPr>
                </w:p>
              </w:tc>
              <w:tc>
                <w:tcPr>
                  <w:tcW w:w="530" w:type="dxa"/>
                  <w:vMerge w:val="continue"/>
                  <w:noWrap/>
                  <w:vAlign w:val="center"/>
                </w:tcPr>
                <w:p w14:paraId="14AB8821">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00" w:type="dxa"/>
                  <w:vMerge w:val="continue"/>
                  <w:noWrap/>
                  <w:vAlign w:val="center"/>
                </w:tcPr>
                <w:p w14:paraId="2661E665">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12" w:type="dxa"/>
                  <w:vMerge w:val="continue"/>
                  <w:noWrap/>
                  <w:vAlign w:val="center"/>
                </w:tcPr>
                <w:p w14:paraId="7DDBC647">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536" w:type="dxa"/>
                  <w:vMerge w:val="continue"/>
                  <w:noWrap/>
                  <w:vAlign w:val="center"/>
                </w:tcPr>
                <w:p w14:paraId="52BED645">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r>
            <w:tr w14:paraId="5C6D8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2" w:type="dxa"/>
                  <w:noWrap/>
                  <w:vAlign w:val="center"/>
                </w:tcPr>
                <w:p w14:paraId="15A3A698">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cs="Times New Roman"/>
                      <w:b w:val="0"/>
                      <w:bCs/>
                      <w:color w:val="auto"/>
                      <w:kern w:val="2"/>
                      <w:sz w:val="21"/>
                      <w:szCs w:val="21"/>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8</w:t>
                  </w:r>
                </w:p>
              </w:tc>
              <w:tc>
                <w:tcPr>
                  <w:tcW w:w="713" w:type="dxa"/>
                  <w:noWrap/>
                  <w:vAlign w:val="center"/>
                </w:tcPr>
                <w:p w14:paraId="70A6FD3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立式加工中心</w:t>
                  </w:r>
                </w:p>
              </w:tc>
              <w:tc>
                <w:tcPr>
                  <w:tcW w:w="569" w:type="dxa"/>
                  <w:noWrap/>
                  <w:vAlign w:val="center"/>
                </w:tcPr>
                <w:p w14:paraId="1DA0B0A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70</w:t>
                  </w:r>
                </w:p>
              </w:tc>
              <w:tc>
                <w:tcPr>
                  <w:tcW w:w="384" w:type="dxa"/>
                  <w:noWrap/>
                  <w:vAlign w:val="center"/>
                </w:tcPr>
                <w:p w14:paraId="647E7450">
                  <w:pPr>
                    <w:keepNext w:val="0"/>
                    <w:keepLines w:val="0"/>
                    <w:pageBreakBefore w:val="0"/>
                    <w:kinsoku/>
                    <w:wordWrap/>
                    <w:overflowPunct/>
                    <w:topLinePunct w:val="0"/>
                    <w:autoSpaceDE/>
                    <w:autoSpaceDN/>
                    <w:bidi w:val="0"/>
                    <w:adjustRightInd w:val="0"/>
                    <w:spacing w:line="240" w:lineRule="auto"/>
                    <w:ind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w:t>
                  </w:r>
                </w:p>
              </w:tc>
              <w:tc>
                <w:tcPr>
                  <w:tcW w:w="600" w:type="dxa"/>
                  <w:noWrap/>
                  <w:vAlign w:val="center"/>
                </w:tcPr>
                <w:p w14:paraId="607010AD">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77.8</w:t>
                  </w:r>
                </w:p>
              </w:tc>
              <w:tc>
                <w:tcPr>
                  <w:tcW w:w="533" w:type="dxa"/>
                  <w:vMerge w:val="continue"/>
                  <w:noWrap/>
                  <w:vAlign w:val="center"/>
                </w:tcPr>
                <w:p w14:paraId="297EA2FA">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367" w:type="dxa"/>
                  <w:noWrap/>
                  <w:vAlign w:val="center"/>
                </w:tcPr>
                <w:p w14:paraId="781C027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eastAsia="宋体" w:cs="Times New Roman"/>
                      <w:b w:val="0"/>
                      <w:bCs/>
                      <w:color w:val="auto"/>
                      <w:kern w:val="2"/>
                      <w:sz w:val="21"/>
                      <w:szCs w:val="21"/>
                      <w:lang w:val="en-US" w:eastAsia="zh-CN" w:bidi="ar-SA"/>
                    </w:rPr>
                    <w:t>-</w:t>
                  </w:r>
                  <w:r>
                    <w:rPr>
                      <w:rFonts w:hint="eastAsia" w:cs="Times New Roman"/>
                      <w:b w:val="0"/>
                      <w:bCs/>
                      <w:color w:val="auto"/>
                      <w:kern w:val="2"/>
                      <w:sz w:val="21"/>
                      <w:szCs w:val="21"/>
                      <w:lang w:val="en-US" w:eastAsia="zh-CN" w:bidi="ar-SA"/>
                    </w:rPr>
                    <w:t>4</w:t>
                  </w:r>
                </w:p>
              </w:tc>
              <w:tc>
                <w:tcPr>
                  <w:tcW w:w="400" w:type="dxa"/>
                  <w:noWrap/>
                  <w:vAlign w:val="center"/>
                </w:tcPr>
                <w:p w14:paraId="0E1D1176">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20</w:t>
                  </w:r>
                </w:p>
              </w:tc>
              <w:tc>
                <w:tcPr>
                  <w:tcW w:w="383" w:type="dxa"/>
                  <w:noWrap/>
                  <w:vAlign w:val="center"/>
                </w:tcPr>
                <w:p w14:paraId="243122C0">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ascii="Times New Roman" w:hAnsi="Times New Roman" w:eastAsia="宋体" w:cs="Times New Roman"/>
                      <w:b w:val="0"/>
                      <w:bCs/>
                      <w:color w:val="auto"/>
                      <w:kern w:val="2"/>
                      <w:sz w:val="21"/>
                      <w:szCs w:val="21"/>
                      <w:lang w:val="en-US" w:eastAsia="zh-CN" w:bidi="ar-SA"/>
                    </w:rPr>
                    <w:t>1</w:t>
                  </w:r>
                </w:p>
              </w:tc>
              <w:tc>
                <w:tcPr>
                  <w:tcW w:w="450" w:type="dxa"/>
                  <w:noWrap/>
                  <w:vAlign w:val="center"/>
                </w:tcPr>
                <w:p w14:paraId="77DEBE72">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2</w:t>
                  </w:r>
                </w:p>
              </w:tc>
              <w:tc>
                <w:tcPr>
                  <w:tcW w:w="550" w:type="dxa"/>
                  <w:noWrap/>
                  <w:vAlign w:val="center"/>
                </w:tcPr>
                <w:p w14:paraId="1D3F1126">
                  <w:pPr>
                    <w:keepNext w:val="0"/>
                    <w:keepLines w:val="0"/>
                    <w:pageBreakBefore w:val="0"/>
                    <w:kinsoku/>
                    <w:wordWrap/>
                    <w:overflowPunct/>
                    <w:topLinePunct w:val="0"/>
                    <w:autoSpaceDE/>
                    <w:autoSpaceDN/>
                    <w:bidi w:val="0"/>
                    <w:spacing w:line="240" w:lineRule="auto"/>
                    <w:ind w:right="0" w:firstLine="0" w:firstLineChars="0"/>
                    <w:jc w:val="center"/>
                    <w:rPr>
                      <w:rFonts w:hint="default"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 xml:space="preserve">68.4 </w:t>
                  </w:r>
                </w:p>
              </w:tc>
              <w:tc>
                <w:tcPr>
                  <w:tcW w:w="549" w:type="dxa"/>
                  <w:vMerge w:val="continue"/>
                  <w:noWrap w:val="0"/>
                  <w:vAlign w:val="center"/>
                </w:tcPr>
                <w:p w14:paraId="03EA396F">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399" w:type="dxa"/>
                  <w:vMerge w:val="continue"/>
                  <w:noWrap/>
                  <w:vAlign w:val="center"/>
                </w:tcPr>
                <w:p w14:paraId="5B50F12D">
                  <w:pPr>
                    <w:pStyle w:val="23"/>
                    <w:keepNext w:val="0"/>
                    <w:keepLines w:val="0"/>
                    <w:pageBreakBefore w:val="0"/>
                    <w:kinsoku/>
                    <w:wordWrap/>
                    <w:overflowPunct/>
                    <w:topLinePunct w:val="0"/>
                    <w:autoSpaceDE/>
                    <w:autoSpaceDN/>
                    <w:bidi w:val="0"/>
                    <w:spacing w:before="0" w:after="0" w:line="240" w:lineRule="auto"/>
                    <w:ind w:left="0" w:leftChars="0" w:right="0" w:firstLine="0" w:firstLineChars="0"/>
                    <w:jc w:val="center"/>
                    <w:rPr>
                      <w:rFonts w:hint="default" w:ascii="Times New Roman" w:hAnsi="Times New Roman" w:cs="Times New Roman"/>
                      <w:color w:val="auto"/>
                      <w:sz w:val="21"/>
                      <w:szCs w:val="21"/>
                      <w:lang w:val="en-US" w:eastAsia="zh-CN"/>
                    </w:rPr>
                  </w:pPr>
                </w:p>
              </w:tc>
              <w:tc>
                <w:tcPr>
                  <w:tcW w:w="530" w:type="dxa"/>
                  <w:vMerge w:val="continue"/>
                  <w:noWrap/>
                  <w:vAlign w:val="center"/>
                </w:tcPr>
                <w:p w14:paraId="70CBB5F5">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00" w:type="dxa"/>
                  <w:vMerge w:val="continue"/>
                  <w:noWrap/>
                  <w:vAlign w:val="center"/>
                </w:tcPr>
                <w:p w14:paraId="2A78C06E">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12" w:type="dxa"/>
                  <w:vMerge w:val="continue"/>
                  <w:noWrap/>
                  <w:vAlign w:val="center"/>
                </w:tcPr>
                <w:p w14:paraId="6735DE79">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536" w:type="dxa"/>
                  <w:vMerge w:val="continue"/>
                  <w:noWrap/>
                  <w:vAlign w:val="center"/>
                </w:tcPr>
                <w:p w14:paraId="56D53CEF">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r>
            <w:tr w14:paraId="635B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2" w:type="dxa"/>
                  <w:noWrap/>
                  <w:vAlign w:val="center"/>
                </w:tcPr>
                <w:p w14:paraId="0D9175B0">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eastAsia" w:eastAsia="宋体" w:cs="Times New Roman"/>
                      <w:i w:val="0"/>
                      <w:iCs w:val="0"/>
                      <w:color w:val="auto"/>
                      <w:kern w:val="0"/>
                      <w:sz w:val="21"/>
                      <w:szCs w:val="21"/>
                      <w:u w:val="none"/>
                      <w:lang w:val="en-US" w:eastAsia="zh-CN" w:bidi="ar"/>
                    </w:rPr>
                    <w:t>9</w:t>
                  </w:r>
                </w:p>
              </w:tc>
              <w:tc>
                <w:tcPr>
                  <w:tcW w:w="713" w:type="dxa"/>
                  <w:noWrap/>
                  <w:vAlign w:val="center"/>
                </w:tcPr>
                <w:p w14:paraId="535F444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五轴加工中心</w:t>
                  </w:r>
                </w:p>
              </w:tc>
              <w:tc>
                <w:tcPr>
                  <w:tcW w:w="569" w:type="dxa"/>
                  <w:noWrap/>
                  <w:vAlign w:val="center"/>
                </w:tcPr>
                <w:p w14:paraId="2AFFA84A">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eastAsia="宋体" w:cs="Times New Roman"/>
                      <w:color w:val="auto"/>
                      <w:kern w:val="2"/>
                      <w:sz w:val="21"/>
                      <w:szCs w:val="21"/>
                      <w:lang w:val="en-US" w:eastAsia="zh-CN" w:bidi="ar-SA"/>
                    </w:rPr>
                  </w:pPr>
                  <w:r>
                    <w:rPr>
                      <w:rFonts w:hint="eastAsia" w:eastAsia="宋体" w:cs="Times New Roman"/>
                      <w:color w:val="auto"/>
                      <w:kern w:val="2"/>
                      <w:sz w:val="21"/>
                      <w:szCs w:val="21"/>
                      <w:lang w:val="en-US" w:eastAsia="zh-CN" w:bidi="ar-SA"/>
                    </w:rPr>
                    <w:t>75</w:t>
                  </w:r>
                </w:p>
              </w:tc>
              <w:tc>
                <w:tcPr>
                  <w:tcW w:w="384" w:type="dxa"/>
                  <w:noWrap/>
                  <w:vAlign w:val="center"/>
                </w:tcPr>
                <w:p w14:paraId="548AD1D1">
                  <w:pPr>
                    <w:keepNext w:val="0"/>
                    <w:keepLines w:val="0"/>
                    <w:pageBreakBefore w:val="0"/>
                    <w:kinsoku/>
                    <w:wordWrap/>
                    <w:overflowPunct/>
                    <w:topLinePunct w:val="0"/>
                    <w:autoSpaceDE/>
                    <w:autoSpaceDN/>
                    <w:bidi w:val="0"/>
                    <w:adjustRightInd w:val="0"/>
                    <w:spacing w:line="240" w:lineRule="auto"/>
                    <w:ind w:right="0" w:firstLine="0" w:firstLineChars="0"/>
                    <w:jc w:val="center"/>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w:t>
                  </w:r>
                </w:p>
              </w:tc>
              <w:tc>
                <w:tcPr>
                  <w:tcW w:w="600" w:type="dxa"/>
                  <w:noWrap/>
                  <w:vAlign w:val="center"/>
                </w:tcPr>
                <w:p w14:paraId="04E352BD">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82.8</w:t>
                  </w:r>
                </w:p>
              </w:tc>
              <w:tc>
                <w:tcPr>
                  <w:tcW w:w="533" w:type="dxa"/>
                  <w:vMerge w:val="continue"/>
                  <w:noWrap/>
                  <w:vAlign w:val="center"/>
                </w:tcPr>
                <w:p w14:paraId="68F435A2">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367" w:type="dxa"/>
                  <w:noWrap/>
                  <w:vAlign w:val="center"/>
                </w:tcPr>
                <w:p w14:paraId="6077FD36">
                  <w:pPr>
                    <w:keepNext w:val="0"/>
                    <w:keepLines w:val="0"/>
                    <w:pageBreakBefore w:val="0"/>
                    <w:kinsoku/>
                    <w:wordWrap/>
                    <w:overflowPunct/>
                    <w:topLinePunct w:val="0"/>
                    <w:autoSpaceDE/>
                    <w:autoSpaceDN/>
                    <w:bidi w:val="0"/>
                    <w:spacing w:line="240" w:lineRule="auto"/>
                    <w:ind w:right="0" w:firstLine="0" w:firstLineChars="0"/>
                    <w:jc w:val="center"/>
                    <w:rPr>
                      <w:rFonts w:hint="default"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-4</w:t>
                  </w:r>
                </w:p>
              </w:tc>
              <w:tc>
                <w:tcPr>
                  <w:tcW w:w="400" w:type="dxa"/>
                  <w:noWrap/>
                  <w:vAlign w:val="center"/>
                </w:tcPr>
                <w:p w14:paraId="6167C98D">
                  <w:pPr>
                    <w:keepNext w:val="0"/>
                    <w:keepLines w:val="0"/>
                    <w:pageBreakBefore w:val="0"/>
                    <w:kinsoku/>
                    <w:wordWrap/>
                    <w:overflowPunct/>
                    <w:topLinePunct w:val="0"/>
                    <w:autoSpaceDE/>
                    <w:autoSpaceDN/>
                    <w:bidi w:val="0"/>
                    <w:spacing w:line="240" w:lineRule="auto"/>
                    <w:ind w:right="0" w:firstLine="0" w:firstLineChars="0"/>
                    <w:jc w:val="center"/>
                    <w:rPr>
                      <w:rFonts w:hint="default"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30</w:t>
                  </w:r>
                </w:p>
              </w:tc>
              <w:tc>
                <w:tcPr>
                  <w:tcW w:w="383" w:type="dxa"/>
                  <w:noWrap/>
                  <w:vAlign w:val="center"/>
                </w:tcPr>
                <w:p w14:paraId="6E04D34A">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eastAsia="宋体" w:cs="Times New Roman"/>
                      <w:b w:val="0"/>
                      <w:bCs/>
                      <w:color w:val="auto"/>
                      <w:kern w:val="2"/>
                      <w:sz w:val="21"/>
                      <w:szCs w:val="21"/>
                      <w:lang w:val="en-US" w:eastAsia="zh-CN" w:bidi="ar-SA"/>
                    </w:rPr>
                  </w:pPr>
                  <w:r>
                    <w:rPr>
                      <w:rFonts w:hint="eastAsia" w:eastAsia="宋体" w:cs="Times New Roman"/>
                      <w:b w:val="0"/>
                      <w:bCs/>
                      <w:color w:val="auto"/>
                      <w:kern w:val="2"/>
                      <w:sz w:val="21"/>
                      <w:szCs w:val="21"/>
                      <w:lang w:val="en-US" w:eastAsia="zh-CN" w:bidi="ar-SA"/>
                    </w:rPr>
                    <w:t>1</w:t>
                  </w:r>
                </w:p>
              </w:tc>
              <w:tc>
                <w:tcPr>
                  <w:tcW w:w="450" w:type="dxa"/>
                  <w:noWrap/>
                  <w:vAlign w:val="center"/>
                </w:tcPr>
                <w:p w14:paraId="286C1611">
                  <w:pPr>
                    <w:keepNext w:val="0"/>
                    <w:keepLines w:val="0"/>
                    <w:pageBreakBefore w:val="0"/>
                    <w:kinsoku/>
                    <w:wordWrap/>
                    <w:overflowPunct/>
                    <w:topLinePunct w:val="0"/>
                    <w:autoSpaceDE/>
                    <w:autoSpaceDN/>
                    <w:bidi w:val="0"/>
                    <w:spacing w:line="240" w:lineRule="auto"/>
                    <w:ind w:right="0" w:firstLine="0" w:firstLineChars="0"/>
                    <w:jc w:val="center"/>
                    <w:rPr>
                      <w:rFonts w:hint="default"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2</w:t>
                  </w:r>
                </w:p>
              </w:tc>
              <w:tc>
                <w:tcPr>
                  <w:tcW w:w="550" w:type="dxa"/>
                  <w:noWrap/>
                  <w:vAlign w:val="center"/>
                </w:tcPr>
                <w:p w14:paraId="3F11F0E4">
                  <w:pPr>
                    <w:keepNext w:val="0"/>
                    <w:keepLines w:val="0"/>
                    <w:pageBreakBefore w:val="0"/>
                    <w:kinsoku/>
                    <w:wordWrap/>
                    <w:overflowPunct/>
                    <w:topLinePunct w:val="0"/>
                    <w:autoSpaceDE/>
                    <w:autoSpaceDN/>
                    <w:bidi w:val="0"/>
                    <w:spacing w:line="240" w:lineRule="auto"/>
                    <w:ind w:right="0" w:firstLine="0" w:firstLineChars="0"/>
                    <w:jc w:val="center"/>
                    <w:rPr>
                      <w:rFonts w:hint="default"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 xml:space="preserve">73.4 </w:t>
                  </w:r>
                </w:p>
              </w:tc>
              <w:tc>
                <w:tcPr>
                  <w:tcW w:w="549" w:type="dxa"/>
                  <w:vMerge w:val="continue"/>
                  <w:noWrap w:val="0"/>
                  <w:vAlign w:val="center"/>
                </w:tcPr>
                <w:p w14:paraId="59AA33E7">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399" w:type="dxa"/>
                  <w:vMerge w:val="continue"/>
                  <w:noWrap/>
                  <w:vAlign w:val="center"/>
                </w:tcPr>
                <w:p w14:paraId="6C0306A4">
                  <w:pPr>
                    <w:pStyle w:val="23"/>
                    <w:keepNext w:val="0"/>
                    <w:keepLines w:val="0"/>
                    <w:pageBreakBefore w:val="0"/>
                    <w:kinsoku/>
                    <w:wordWrap/>
                    <w:overflowPunct/>
                    <w:topLinePunct w:val="0"/>
                    <w:autoSpaceDE/>
                    <w:autoSpaceDN/>
                    <w:bidi w:val="0"/>
                    <w:spacing w:before="0" w:after="0" w:line="240" w:lineRule="auto"/>
                    <w:ind w:left="0" w:leftChars="0" w:right="0" w:firstLine="0" w:firstLineChars="0"/>
                    <w:jc w:val="center"/>
                    <w:rPr>
                      <w:rFonts w:hint="default" w:ascii="Times New Roman" w:hAnsi="Times New Roman" w:cs="Times New Roman"/>
                      <w:color w:val="auto"/>
                      <w:sz w:val="21"/>
                      <w:szCs w:val="21"/>
                      <w:lang w:val="en-US" w:eastAsia="zh-CN"/>
                    </w:rPr>
                  </w:pPr>
                </w:p>
              </w:tc>
              <w:tc>
                <w:tcPr>
                  <w:tcW w:w="530" w:type="dxa"/>
                  <w:vMerge w:val="continue"/>
                  <w:noWrap/>
                  <w:vAlign w:val="center"/>
                </w:tcPr>
                <w:p w14:paraId="44319F47">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00" w:type="dxa"/>
                  <w:vMerge w:val="continue"/>
                  <w:noWrap/>
                  <w:vAlign w:val="center"/>
                </w:tcPr>
                <w:p w14:paraId="6095F1D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12" w:type="dxa"/>
                  <w:vMerge w:val="continue"/>
                  <w:noWrap/>
                  <w:vAlign w:val="center"/>
                </w:tcPr>
                <w:p w14:paraId="1A48EE21">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536" w:type="dxa"/>
                  <w:vMerge w:val="continue"/>
                  <w:noWrap/>
                  <w:vAlign w:val="center"/>
                </w:tcPr>
                <w:p w14:paraId="71B5726F">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r>
            <w:tr w14:paraId="7D1EE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2" w:type="dxa"/>
                  <w:noWrap/>
                  <w:vAlign w:val="center"/>
                </w:tcPr>
                <w:p w14:paraId="327C2651">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10</w:t>
                  </w:r>
                </w:p>
              </w:tc>
              <w:tc>
                <w:tcPr>
                  <w:tcW w:w="713" w:type="dxa"/>
                  <w:noWrap/>
                  <w:vAlign w:val="center"/>
                </w:tcPr>
                <w:p w14:paraId="05C156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cs="Times New Roman"/>
                      <w:color w:val="auto"/>
                      <w:kern w:val="2"/>
                      <w:sz w:val="21"/>
                      <w:szCs w:val="21"/>
                      <w:lang w:val="en-US" w:eastAsia="zh-CN" w:bidi="ar-SA"/>
                    </w:rPr>
                  </w:pPr>
                  <w:r>
                    <w:rPr>
                      <w:rFonts w:hint="eastAsia" w:cs="Times New Roman"/>
                      <w:color w:val="auto"/>
                      <w:kern w:val="2"/>
                      <w:sz w:val="21"/>
                      <w:szCs w:val="21"/>
                      <w:lang w:val="en-US" w:eastAsia="zh-CN" w:bidi="ar-SA"/>
                    </w:rPr>
                    <w:t>程控龙门平面磨床</w:t>
                  </w:r>
                </w:p>
              </w:tc>
              <w:tc>
                <w:tcPr>
                  <w:tcW w:w="569" w:type="dxa"/>
                  <w:noWrap/>
                  <w:vAlign w:val="center"/>
                </w:tcPr>
                <w:p w14:paraId="299F21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75</w:t>
                  </w:r>
                </w:p>
              </w:tc>
              <w:tc>
                <w:tcPr>
                  <w:tcW w:w="384" w:type="dxa"/>
                  <w:noWrap/>
                  <w:vAlign w:val="center"/>
                </w:tcPr>
                <w:p w14:paraId="367C3D54">
                  <w:pPr>
                    <w:keepNext w:val="0"/>
                    <w:keepLines w:val="0"/>
                    <w:pageBreakBefore w:val="0"/>
                    <w:kinsoku/>
                    <w:wordWrap/>
                    <w:overflowPunct/>
                    <w:topLinePunct w:val="0"/>
                    <w:autoSpaceDE/>
                    <w:autoSpaceDN/>
                    <w:bidi w:val="0"/>
                    <w:adjustRightInd w:val="0"/>
                    <w:spacing w:line="240" w:lineRule="auto"/>
                    <w:ind w:right="0"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2</w:t>
                  </w:r>
                </w:p>
              </w:tc>
              <w:tc>
                <w:tcPr>
                  <w:tcW w:w="600" w:type="dxa"/>
                  <w:noWrap/>
                  <w:vAlign w:val="center"/>
                </w:tcPr>
                <w:p w14:paraId="786D65D6">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78</w:t>
                  </w:r>
                </w:p>
              </w:tc>
              <w:tc>
                <w:tcPr>
                  <w:tcW w:w="533" w:type="dxa"/>
                  <w:vMerge w:val="continue"/>
                  <w:noWrap/>
                  <w:vAlign w:val="center"/>
                </w:tcPr>
                <w:p w14:paraId="575A6A4F">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367" w:type="dxa"/>
                  <w:noWrap/>
                  <w:vAlign w:val="center"/>
                </w:tcPr>
                <w:p w14:paraId="5D5B023C">
                  <w:pPr>
                    <w:keepNext w:val="0"/>
                    <w:keepLines w:val="0"/>
                    <w:pageBreakBefore w:val="0"/>
                    <w:kinsoku/>
                    <w:wordWrap/>
                    <w:overflowPunct/>
                    <w:topLinePunct w:val="0"/>
                    <w:autoSpaceDE/>
                    <w:autoSpaceDN/>
                    <w:bidi w:val="0"/>
                    <w:spacing w:line="240" w:lineRule="auto"/>
                    <w:ind w:right="0" w:firstLine="0" w:firstLineChars="0"/>
                    <w:jc w:val="center"/>
                    <w:rPr>
                      <w:rFonts w:hint="default"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-3</w:t>
                  </w:r>
                </w:p>
              </w:tc>
              <w:tc>
                <w:tcPr>
                  <w:tcW w:w="400" w:type="dxa"/>
                  <w:noWrap/>
                  <w:vAlign w:val="center"/>
                </w:tcPr>
                <w:p w14:paraId="6B9161FC">
                  <w:pPr>
                    <w:keepNext w:val="0"/>
                    <w:keepLines w:val="0"/>
                    <w:pageBreakBefore w:val="0"/>
                    <w:kinsoku/>
                    <w:wordWrap/>
                    <w:overflowPunct/>
                    <w:topLinePunct w:val="0"/>
                    <w:autoSpaceDE/>
                    <w:autoSpaceDN/>
                    <w:bidi w:val="0"/>
                    <w:spacing w:line="240" w:lineRule="auto"/>
                    <w:ind w:right="0" w:firstLine="0" w:firstLineChars="0"/>
                    <w:jc w:val="center"/>
                    <w:rPr>
                      <w:rFonts w:hint="default"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30</w:t>
                  </w:r>
                </w:p>
              </w:tc>
              <w:tc>
                <w:tcPr>
                  <w:tcW w:w="383" w:type="dxa"/>
                  <w:noWrap/>
                  <w:vAlign w:val="center"/>
                </w:tcPr>
                <w:p w14:paraId="7AD18ABA">
                  <w:pPr>
                    <w:keepNext w:val="0"/>
                    <w:keepLines w:val="0"/>
                    <w:pageBreakBefore w:val="0"/>
                    <w:kinsoku/>
                    <w:wordWrap/>
                    <w:overflowPunct/>
                    <w:topLinePunct w:val="0"/>
                    <w:autoSpaceDE/>
                    <w:autoSpaceDN/>
                    <w:bidi w:val="0"/>
                    <w:spacing w:line="240" w:lineRule="auto"/>
                    <w:ind w:right="0" w:firstLine="0" w:firstLineChars="0"/>
                    <w:jc w:val="center"/>
                    <w:rPr>
                      <w:rFonts w:hint="default"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1</w:t>
                  </w:r>
                </w:p>
              </w:tc>
              <w:tc>
                <w:tcPr>
                  <w:tcW w:w="450" w:type="dxa"/>
                  <w:noWrap/>
                  <w:vAlign w:val="center"/>
                </w:tcPr>
                <w:p w14:paraId="3F61593A">
                  <w:pPr>
                    <w:keepNext w:val="0"/>
                    <w:keepLines w:val="0"/>
                    <w:pageBreakBefore w:val="0"/>
                    <w:kinsoku/>
                    <w:wordWrap/>
                    <w:overflowPunct/>
                    <w:topLinePunct w:val="0"/>
                    <w:autoSpaceDE/>
                    <w:autoSpaceDN/>
                    <w:bidi w:val="0"/>
                    <w:spacing w:line="240" w:lineRule="auto"/>
                    <w:ind w:right="0" w:firstLine="0" w:firstLineChars="0"/>
                    <w:jc w:val="center"/>
                    <w:rPr>
                      <w:rFonts w:hint="default"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3</w:t>
                  </w:r>
                </w:p>
              </w:tc>
              <w:tc>
                <w:tcPr>
                  <w:tcW w:w="550" w:type="dxa"/>
                  <w:noWrap/>
                  <w:vAlign w:val="center"/>
                </w:tcPr>
                <w:p w14:paraId="41664DFD">
                  <w:pPr>
                    <w:keepNext w:val="0"/>
                    <w:keepLines w:val="0"/>
                    <w:pageBreakBefore w:val="0"/>
                    <w:kinsoku/>
                    <w:wordWrap/>
                    <w:overflowPunct/>
                    <w:topLinePunct w:val="0"/>
                    <w:autoSpaceDE/>
                    <w:autoSpaceDN/>
                    <w:bidi w:val="0"/>
                    <w:spacing w:line="240" w:lineRule="auto"/>
                    <w:ind w:right="0" w:firstLine="0" w:firstLineChars="0"/>
                    <w:jc w:val="center"/>
                    <w:rPr>
                      <w:rFonts w:hint="eastAsia"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 xml:space="preserve">67.7 </w:t>
                  </w:r>
                </w:p>
              </w:tc>
              <w:tc>
                <w:tcPr>
                  <w:tcW w:w="549" w:type="dxa"/>
                  <w:vMerge w:val="continue"/>
                  <w:noWrap w:val="0"/>
                  <w:vAlign w:val="center"/>
                </w:tcPr>
                <w:p w14:paraId="066047F9">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399" w:type="dxa"/>
                  <w:vMerge w:val="continue"/>
                  <w:noWrap/>
                  <w:vAlign w:val="center"/>
                </w:tcPr>
                <w:p w14:paraId="0B184967">
                  <w:pPr>
                    <w:pStyle w:val="23"/>
                    <w:keepNext w:val="0"/>
                    <w:keepLines w:val="0"/>
                    <w:pageBreakBefore w:val="0"/>
                    <w:kinsoku/>
                    <w:wordWrap/>
                    <w:overflowPunct/>
                    <w:topLinePunct w:val="0"/>
                    <w:autoSpaceDE/>
                    <w:autoSpaceDN/>
                    <w:bidi w:val="0"/>
                    <w:spacing w:before="0" w:after="0" w:line="240" w:lineRule="auto"/>
                    <w:ind w:left="0" w:leftChars="0" w:right="0" w:firstLine="0" w:firstLineChars="0"/>
                    <w:jc w:val="center"/>
                    <w:rPr>
                      <w:rFonts w:hint="default" w:ascii="Times New Roman" w:hAnsi="Times New Roman" w:cs="Times New Roman"/>
                      <w:color w:val="auto"/>
                      <w:sz w:val="21"/>
                      <w:szCs w:val="21"/>
                      <w:lang w:val="en-US" w:eastAsia="zh-CN"/>
                    </w:rPr>
                  </w:pPr>
                </w:p>
              </w:tc>
              <w:tc>
                <w:tcPr>
                  <w:tcW w:w="530" w:type="dxa"/>
                  <w:vMerge w:val="continue"/>
                  <w:noWrap/>
                  <w:vAlign w:val="center"/>
                </w:tcPr>
                <w:p w14:paraId="6C696F6D">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00" w:type="dxa"/>
                  <w:vMerge w:val="continue"/>
                  <w:noWrap/>
                  <w:vAlign w:val="center"/>
                </w:tcPr>
                <w:p w14:paraId="2DF32E96">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12" w:type="dxa"/>
                  <w:vMerge w:val="continue"/>
                  <w:noWrap/>
                  <w:vAlign w:val="center"/>
                </w:tcPr>
                <w:p w14:paraId="69B199B2">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536" w:type="dxa"/>
                  <w:vMerge w:val="continue"/>
                  <w:noWrap/>
                  <w:vAlign w:val="center"/>
                </w:tcPr>
                <w:p w14:paraId="4A680E54">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r>
            <w:tr w14:paraId="226F3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97" w:hRule="atLeast"/>
                <w:jc w:val="center"/>
              </w:trPr>
              <w:tc>
                <w:tcPr>
                  <w:tcW w:w="342" w:type="dxa"/>
                  <w:noWrap/>
                  <w:vAlign w:val="center"/>
                </w:tcPr>
                <w:p w14:paraId="14D40C43">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eastAsia="宋体" w:cs="Times New Roman"/>
                      <w:i w:val="0"/>
                      <w:iCs w:val="0"/>
                      <w:color w:val="auto"/>
                      <w:kern w:val="0"/>
                      <w:sz w:val="21"/>
                      <w:szCs w:val="21"/>
                      <w:u w:val="none"/>
                      <w:lang w:val="en-US" w:eastAsia="zh-CN" w:bidi="ar"/>
                    </w:rPr>
                  </w:pPr>
                  <w:r>
                    <w:rPr>
                      <w:rFonts w:hint="eastAsia" w:cs="Times New Roman"/>
                      <w:i w:val="0"/>
                      <w:iCs w:val="0"/>
                      <w:color w:val="auto"/>
                      <w:kern w:val="0"/>
                      <w:sz w:val="21"/>
                      <w:szCs w:val="21"/>
                      <w:u w:val="none"/>
                      <w:lang w:val="en-US" w:eastAsia="zh-CN" w:bidi="ar"/>
                    </w:rPr>
                    <w:t>11</w:t>
                  </w:r>
                </w:p>
              </w:tc>
              <w:tc>
                <w:tcPr>
                  <w:tcW w:w="713" w:type="dxa"/>
                  <w:noWrap/>
                  <w:vAlign w:val="center"/>
                </w:tcPr>
                <w:p w14:paraId="02E6FA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eastAsia" w:cs="Times New Roman"/>
                      <w:color w:val="auto"/>
                      <w:kern w:val="2"/>
                      <w:sz w:val="21"/>
                      <w:szCs w:val="21"/>
                      <w:lang w:val="en-US" w:eastAsia="zh-CN" w:bidi="ar-SA"/>
                    </w:rPr>
                  </w:pPr>
                  <w:r>
                    <w:rPr>
                      <w:rFonts w:hint="eastAsia" w:cs="Times New Roman"/>
                      <w:color w:val="auto"/>
                      <w:kern w:val="2"/>
                      <w:sz w:val="21"/>
                      <w:szCs w:val="21"/>
                      <w:lang w:val="en-US" w:eastAsia="zh-CN" w:bidi="ar-SA"/>
                    </w:rPr>
                    <w:t>电退火炉</w:t>
                  </w:r>
                </w:p>
              </w:tc>
              <w:tc>
                <w:tcPr>
                  <w:tcW w:w="569" w:type="dxa"/>
                  <w:noWrap/>
                  <w:vAlign w:val="center"/>
                </w:tcPr>
                <w:p w14:paraId="1EF7001D">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rPr>
                      <w:rFonts w:hint="default"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70</w:t>
                  </w:r>
                </w:p>
              </w:tc>
              <w:tc>
                <w:tcPr>
                  <w:tcW w:w="384" w:type="dxa"/>
                  <w:noWrap/>
                  <w:vAlign w:val="center"/>
                </w:tcPr>
                <w:p w14:paraId="19A73696">
                  <w:pPr>
                    <w:keepNext w:val="0"/>
                    <w:keepLines w:val="0"/>
                    <w:pageBreakBefore w:val="0"/>
                    <w:kinsoku/>
                    <w:wordWrap/>
                    <w:overflowPunct/>
                    <w:topLinePunct w:val="0"/>
                    <w:autoSpaceDE/>
                    <w:autoSpaceDN/>
                    <w:bidi w:val="0"/>
                    <w:adjustRightInd w:val="0"/>
                    <w:spacing w:line="240" w:lineRule="auto"/>
                    <w:ind w:right="0" w:firstLine="0" w:firstLineChars="0"/>
                    <w:jc w:val="center"/>
                    <w:rPr>
                      <w:rFonts w:hint="default" w:cs="Times New Roman"/>
                      <w:color w:val="auto"/>
                      <w:sz w:val="21"/>
                      <w:szCs w:val="21"/>
                      <w:lang w:val="en-US" w:eastAsia="zh-CN"/>
                    </w:rPr>
                  </w:pPr>
                  <w:r>
                    <w:rPr>
                      <w:rFonts w:hint="eastAsia" w:cs="Times New Roman"/>
                      <w:color w:val="auto"/>
                      <w:sz w:val="21"/>
                      <w:szCs w:val="21"/>
                      <w:lang w:val="en-US" w:eastAsia="zh-CN"/>
                    </w:rPr>
                    <w:t>1</w:t>
                  </w:r>
                </w:p>
              </w:tc>
              <w:tc>
                <w:tcPr>
                  <w:tcW w:w="600" w:type="dxa"/>
                  <w:noWrap/>
                  <w:vAlign w:val="center"/>
                </w:tcPr>
                <w:p w14:paraId="47C5978A">
                  <w:pPr>
                    <w:keepNext w:val="0"/>
                    <w:keepLines w:val="0"/>
                    <w:pageBreakBefore w:val="0"/>
                    <w:widowControl/>
                    <w:suppressLineNumbers w:val="0"/>
                    <w:kinsoku/>
                    <w:wordWrap/>
                    <w:overflowPunct/>
                    <w:topLinePunct w:val="0"/>
                    <w:autoSpaceDE/>
                    <w:autoSpaceDN/>
                    <w:bidi w:val="0"/>
                    <w:spacing w:line="240" w:lineRule="auto"/>
                    <w:ind w:right="0" w:firstLine="0" w:firstLineChars="0"/>
                    <w:jc w:val="center"/>
                    <w:textAlignment w:val="center"/>
                    <w:rPr>
                      <w:rFonts w:hint="default"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70</w:t>
                  </w:r>
                </w:p>
              </w:tc>
              <w:tc>
                <w:tcPr>
                  <w:tcW w:w="533" w:type="dxa"/>
                  <w:vMerge w:val="continue"/>
                  <w:noWrap/>
                  <w:vAlign w:val="center"/>
                </w:tcPr>
                <w:p w14:paraId="624E78B6">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c>
                <w:tcPr>
                  <w:tcW w:w="367" w:type="dxa"/>
                  <w:noWrap/>
                  <w:vAlign w:val="center"/>
                </w:tcPr>
                <w:p w14:paraId="3B701697">
                  <w:pPr>
                    <w:keepNext w:val="0"/>
                    <w:keepLines w:val="0"/>
                    <w:pageBreakBefore w:val="0"/>
                    <w:kinsoku/>
                    <w:wordWrap/>
                    <w:overflowPunct/>
                    <w:topLinePunct w:val="0"/>
                    <w:autoSpaceDE/>
                    <w:autoSpaceDN/>
                    <w:bidi w:val="0"/>
                    <w:spacing w:line="240" w:lineRule="auto"/>
                    <w:ind w:right="0" w:firstLine="0" w:firstLineChars="0"/>
                    <w:jc w:val="center"/>
                    <w:rPr>
                      <w:rFonts w:hint="default"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5</w:t>
                  </w:r>
                </w:p>
              </w:tc>
              <w:tc>
                <w:tcPr>
                  <w:tcW w:w="400" w:type="dxa"/>
                  <w:noWrap/>
                  <w:vAlign w:val="center"/>
                </w:tcPr>
                <w:p w14:paraId="46030BFF">
                  <w:pPr>
                    <w:keepNext w:val="0"/>
                    <w:keepLines w:val="0"/>
                    <w:pageBreakBefore w:val="0"/>
                    <w:kinsoku/>
                    <w:wordWrap/>
                    <w:overflowPunct/>
                    <w:topLinePunct w:val="0"/>
                    <w:autoSpaceDE/>
                    <w:autoSpaceDN/>
                    <w:bidi w:val="0"/>
                    <w:spacing w:line="240" w:lineRule="auto"/>
                    <w:ind w:right="0" w:firstLine="0" w:firstLineChars="0"/>
                    <w:jc w:val="center"/>
                    <w:rPr>
                      <w:rFonts w:hint="default"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5</w:t>
                  </w:r>
                </w:p>
              </w:tc>
              <w:tc>
                <w:tcPr>
                  <w:tcW w:w="383" w:type="dxa"/>
                  <w:noWrap/>
                  <w:vAlign w:val="center"/>
                </w:tcPr>
                <w:p w14:paraId="18F48BF8">
                  <w:pPr>
                    <w:keepNext w:val="0"/>
                    <w:keepLines w:val="0"/>
                    <w:pageBreakBefore w:val="0"/>
                    <w:kinsoku/>
                    <w:wordWrap/>
                    <w:overflowPunct/>
                    <w:topLinePunct w:val="0"/>
                    <w:autoSpaceDE/>
                    <w:autoSpaceDN/>
                    <w:bidi w:val="0"/>
                    <w:spacing w:line="240" w:lineRule="auto"/>
                    <w:ind w:right="0" w:firstLine="0" w:firstLineChars="0"/>
                    <w:jc w:val="center"/>
                    <w:rPr>
                      <w:rFonts w:hint="default"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1</w:t>
                  </w:r>
                </w:p>
              </w:tc>
              <w:tc>
                <w:tcPr>
                  <w:tcW w:w="450" w:type="dxa"/>
                  <w:noWrap/>
                  <w:vAlign w:val="center"/>
                </w:tcPr>
                <w:p w14:paraId="14F1E9C8">
                  <w:pPr>
                    <w:keepNext w:val="0"/>
                    <w:keepLines w:val="0"/>
                    <w:pageBreakBefore w:val="0"/>
                    <w:kinsoku/>
                    <w:wordWrap/>
                    <w:overflowPunct/>
                    <w:topLinePunct w:val="0"/>
                    <w:autoSpaceDE/>
                    <w:autoSpaceDN/>
                    <w:bidi w:val="0"/>
                    <w:spacing w:line="240" w:lineRule="auto"/>
                    <w:ind w:right="0" w:firstLine="0" w:firstLineChars="0"/>
                    <w:jc w:val="center"/>
                    <w:rPr>
                      <w:rFonts w:hint="default" w:eastAsia="宋体"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1</w:t>
                  </w:r>
                </w:p>
              </w:tc>
              <w:tc>
                <w:tcPr>
                  <w:tcW w:w="550" w:type="dxa"/>
                  <w:noWrap/>
                  <w:vAlign w:val="center"/>
                </w:tcPr>
                <w:p w14:paraId="2EA3DB31">
                  <w:pPr>
                    <w:keepNext w:val="0"/>
                    <w:keepLines w:val="0"/>
                    <w:pageBreakBefore w:val="0"/>
                    <w:kinsoku/>
                    <w:wordWrap/>
                    <w:overflowPunct/>
                    <w:topLinePunct w:val="0"/>
                    <w:autoSpaceDE/>
                    <w:autoSpaceDN/>
                    <w:bidi w:val="0"/>
                    <w:spacing w:line="240" w:lineRule="auto"/>
                    <w:ind w:right="0" w:firstLine="0" w:firstLineChars="0"/>
                    <w:jc w:val="center"/>
                    <w:rPr>
                      <w:rFonts w:hint="eastAsia" w:cs="Times New Roman"/>
                      <w:b w:val="0"/>
                      <w:bCs/>
                      <w:color w:val="auto"/>
                      <w:kern w:val="2"/>
                      <w:sz w:val="21"/>
                      <w:szCs w:val="21"/>
                      <w:lang w:val="en-US" w:eastAsia="zh-CN" w:bidi="ar-SA"/>
                    </w:rPr>
                  </w:pPr>
                  <w:r>
                    <w:rPr>
                      <w:rFonts w:hint="eastAsia" w:cs="Times New Roman"/>
                      <w:b w:val="0"/>
                      <w:bCs/>
                      <w:color w:val="auto"/>
                      <w:kern w:val="2"/>
                      <w:sz w:val="21"/>
                      <w:szCs w:val="21"/>
                      <w:lang w:val="en-US" w:eastAsia="zh-CN" w:bidi="ar-SA"/>
                    </w:rPr>
                    <w:t xml:space="preserve">63.7 </w:t>
                  </w:r>
                </w:p>
              </w:tc>
              <w:tc>
                <w:tcPr>
                  <w:tcW w:w="549" w:type="dxa"/>
                  <w:vMerge w:val="continue"/>
                  <w:noWrap w:val="0"/>
                  <w:vAlign w:val="center"/>
                </w:tcPr>
                <w:p w14:paraId="4DF1EC4F">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399" w:type="dxa"/>
                  <w:vMerge w:val="continue"/>
                  <w:noWrap/>
                  <w:vAlign w:val="center"/>
                </w:tcPr>
                <w:p w14:paraId="5F345D66">
                  <w:pPr>
                    <w:pStyle w:val="23"/>
                    <w:keepNext w:val="0"/>
                    <w:keepLines w:val="0"/>
                    <w:pageBreakBefore w:val="0"/>
                    <w:kinsoku/>
                    <w:wordWrap/>
                    <w:overflowPunct/>
                    <w:topLinePunct w:val="0"/>
                    <w:autoSpaceDE/>
                    <w:autoSpaceDN/>
                    <w:bidi w:val="0"/>
                    <w:spacing w:before="0" w:after="0" w:line="240" w:lineRule="auto"/>
                    <w:ind w:left="0" w:leftChars="0" w:right="0" w:firstLine="0" w:firstLineChars="0"/>
                    <w:jc w:val="center"/>
                    <w:rPr>
                      <w:rFonts w:hint="default" w:ascii="Times New Roman" w:hAnsi="Times New Roman" w:cs="Times New Roman"/>
                      <w:color w:val="auto"/>
                      <w:sz w:val="21"/>
                      <w:szCs w:val="21"/>
                      <w:lang w:val="en-US" w:eastAsia="zh-CN"/>
                    </w:rPr>
                  </w:pPr>
                </w:p>
              </w:tc>
              <w:tc>
                <w:tcPr>
                  <w:tcW w:w="530" w:type="dxa"/>
                  <w:vMerge w:val="continue"/>
                  <w:noWrap/>
                  <w:vAlign w:val="center"/>
                </w:tcPr>
                <w:p w14:paraId="10911375">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00" w:type="dxa"/>
                  <w:vMerge w:val="continue"/>
                  <w:noWrap/>
                  <w:vAlign w:val="center"/>
                </w:tcPr>
                <w:p w14:paraId="234397C9">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412" w:type="dxa"/>
                  <w:vMerge w:val="continue"/>
                  <w:noWrap/>
                  <w:vAlign w:val="center"/>
                </w:tcPr>
                <w:p w14:paraId="26D3F981">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lang w:val="en-US" w:eastAsia="zh-CN"/>
                    </w:rPr>
                  </w:pPr>
                </w:p>
              </w:tc>
              <w:tc>
                <w:tcPr>
                  <w:tcW w:w="536" w:type="dxa"/>
                  <w:vMerge w:val="continue"/>
                  <w:noWrap/>
                  <w:vAlign w:val="center"/>
                </w:tcPr>
                <w:p w14:paraId="383D4EF3">
                  <w:pPr>
                    <w:keepNext w:val="0"/>
                    <w:keepLines w:val="0"/>
                    <w:pageBreakBefore w:val="0"/>
                    <w:kinsoku/>
                    <w:wordWrap/>
                    <w:overflowPunct/>
                    <w:topLinePunct w:val="0"/>
                    <w:autoSpaceDE/>
                    <w:autoSpaceDN/>
                    <w:bidi w:val="0"/>
                    <w:spacing w:line="240" w:lineRule="auto"/>
                    <w:ind w:right="0" w:firstLine="0" w:firstLineChars="0"/>
                    <w:jc w:val="center"/>
                    <w:rPr>
                      <w:rFonts w:hint="default" w:ascii="Times New Roman" w:hAnsi="Times New Roman" w:cs="Times New Roman"/>
                      <w:b w:val="0"/>
                      <w:bCs/>
                      <w:color w:val="auto"/>
                      <w:sz w:val="21"/>
                      <w:szCs w:val="21"/>
                    </w:rPr>
                  </w:pPr>
                </w:p>
              </w:tc>
            </w:tr>
          </w:tbl>
          <w:p w14:paraId="52EED151">
            <w:pPr>
              <w:keepNext w:val="0"/>
              <w:keepLines w:val="0"/>
              <w:pageBreakBefore w:val="0"/>
              <w:widowControl w:val="0"/>
              <w:kinsoku/>
              <w:wordWrap/>
              <w:overflowPunct/>
              <w:topLinePunct w:val="0"/>
              <w:autoSpaceDE/>
              <w:autoSpaceDN/>
              <w:bidi w:val="0"/>
              <w:adjustRightInd w:val="0"/>
              <w:snapToGrid w:val="0"/>
              <w:spacing w:line="520" w:lineRule="exact"/>
              <w:ind w:firstLine="0" w:firstLineChars="0"/>
              <w:textAlignment w:val="auto"/>
              <w:rPr>
                <w:rFonts w:hint="eastAsia"/>
                <w:color w:val="auto"/>
                <w:sz w:val="21"/>
                <w:szCs w:val="21"/>
              </w:rPr>
            </w:pPr>
            <w:r>
              <w:rPr>
                <w:rFonts w:hint="eastAsia"/>
                <w:b/>
                <w:bCs/>
                <w:color w:val="auto"/>
                <w:sz w:val="21"/>
                <w:szCs w:val="21"/>
              </w:rPr>
              <w:t>注：</w:t>
            </w:r>
            <w:r>
              <w:rPr>
                <w:rFonts w:hint="eastAsia"/>
                <w:b/>
                <w:bCs/>
                <w:color w:val="auto"/>
                <w:spacing w:val="0"/>
                <w:kern w:val="0"/>
                <w:sz w:val="21"/>
                <w:szCs w:val="21"/>
                <w:highlight w:val="none"/>
                <w:lang w:eastAsia="zh-CN"/>
              </w:rPr>
              <w:t>原点取建筑物中心位置；若</w:t>
            </w:r>
            <w:r>
              <w:rPr>
                <w:rFonts w:hint="eastAsia"/>
                <w:b/>
                <w:bCs/>
                <w:color w:val="auto"/>
                <w:sz w:val="21"/>
                <w:szCs w:val="21"/>
              </w:rPr>
              <w:t>项目同类型设备呈均匀分布，等效为一个噪声源进行预测</w:t>
            </w:r>
            <w:r>
              <w:rPr>
                <w:rFonts w:hint="eastAsia"/>
                <w:color w:val="auto"/>
                <w:sz w:val="21"/>
                <w:szCs w:val="21"/>
              </w:rPr>
              <w:t>。</w:t>
            </w:r>
          </w:p>
          <w:p w14:paraId="3F94ECC0">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color w:val="auto"/>
                <w:spacing w:val="0"/>
                <w:kern w:val="0"/>
                <w:sz w:val="24"/>
              </w:rPr>
            </w:pPr>
            <w:r>
              <w:rPr>
                <w:color w:val="auto"/>
                <w:spacing w:val="0"/>
                <w:kern w:val="0"/>
                <w:sz w:val="24"/>
                <w:szCs w:val="24"/>
              </w:rPr>
              <w:t>根据本项目主要高噪声设备的分布状况和房间外源强，</w:t>
            </w:r>
            <w:r>
              <w:rPr>
                <w:rFonts w:hint="eastAsia"/>
                <w:color w:val="auto"/>
                <w:spacing w:val="0"/>
                <w:kern w:val="0"/>
                <w:sz w:val="24"/>
                <w:szCs w:val="24"/>
              </w:rPr>
              <w:t>根据导则中</w:t>
            </w:r>
            <w:r>
              <w:rPr>
                <w:color w:val="auto"/>
                <w:spacing w:val="0"/>
                <w:kern w:val="0"/>
                <w:sz w:val="24"/>
                <w:szCs w:val="24"/>
              </w:rPr>
              <w:t>噪声预测模型</w:t>
            </w:r>
            <w:r>
              <w:rPr>
                <w:rFonts w:hint="eastAsia"/>
                <w:color w:val="auto"/>
                <w:spacing w:val="0"/>
                <w:kern w:val="0"/>
                <w:sz w:val="24"/>
                <w:szCs w:val="24"/>
              </w:rPr>
              <w:t>，</w:t>
            </w:r>
            <w:r>
              <w:rPr>
                <w:color w:val="auto"/>
                <w:spacing w:val="0"/>
                <w:kern w:val="0"/>
                <w:sz w:val="24"/>
                <w:szCs w:val="24"/>
              </w:rPr>
              <w:t>计算出各声源对</w:t>
            </w:r>
            <w:r>
              <w:rPr>
                <w:rFonts w:hint="eastAsia"/>
                <w:color w:val="auto"/>
                <w:spacing w:val="0"/>
                <w:kern w:val="0"/>
                <w:sz w:val="24"/>
                <w:szCs w:val="24"/>
              </w:rPr>
              <w:t>厂界的噪声</w:t>
            </w:r>
            <w:r>
              <w:rPr>
                <w:color w:val="auto"/>
                <w:spacing w:val="0"/>
                <w:kern w:val="0"/>
                <w:sz w:val="24"/>
                <w:szCs w:val="24"/>
              </w:rPr>
              <w:t>贡献值</w:t>
            </w:r>
            <w:r>
              <w:rPr>
                <w:rFonts w:hint="eastAsia"/>
                <w:color w:val="auto"/>
                <w:spacing w:val="0"/>
                <w:kern w:val="0"/>
                <w:sz w:val="24"/>
                <w:szCs w:val="24"/>
              </w:rPr>
              <w:t>。</w:t>
            </w:r>
          </w:p>
          <w:p w14:paraId="7A35A40C">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color w:val="auto"/>
                <w:spacing w:val="0"/>
                <w:kern w:val="0"/>
                <w:sz w:val="24"/>
              </w:rPr>
            </w:pPr>
            <w:r>
              <w:rPr>
                <w:rFonts w:hint="eastAsia"/>
                <w:color w:val="auto"/>
                <w:spacing w:val="0"/>
                <w:kern w:val="0"/>
                <w:sz w:val="24"/>
                <w:szCs w:val="24"/>
              </w:rPr>
              <w:t>点声源</w:t>
            </w:r>
            <w:r>
              <w:rPr>
                <w:color w:val="auto"/>
                <w:spacing w:val="0"/>
                <w:kern w:val="0"/>
                <w:sz w:val="24"/>
                <w:szCs w:val="24"/>
              </w:rPr>
              <w:t>的</w:t>
            </w:r>
            <w:r>
              <w:rPr>
                <w:rFonts w:hint="eastAsia"/>
                <w:color w:val="auto"/>
                <w:spacing w:val="0"/>
                <w:kern w:val="0"/>
                <w:sz w:val="24"/>
                <w:szCs w:val="24"/>
              </w:rPr>
              <w:t>几何</w:t>
            </w:r>
            <w:r>
              <w:rPr>
                <w:color w:val="auto"/>
                <w:spacing w:val="0"/>
                <w:kern w:val="0"/>
                <w:sz w:val="24"/>
                <w:szCs w:val="24"/>
              </w:rPr>
              <w:t>发散衰减的</w:t>
            </w:r>
            <w:r>
              <w:rPr>
                <w:rFonts w:hint="eastAsia"/>
                <w:color w:val="auto"/>
                <w:spacing w:val="0"/>
                <w:kern w:val="0"/>
                <w:sz w:val="24"/>
                <w:szCs w:val="24"/>
              </w:rPr>
              <w:t>基本公式</w:t>
            </w:r>
            <w:r>
              <w:rPr>
                <w:color w:val="auto"/>
                <w:spacing w:val="0"/>
                <w:kern w:val="0"/>
                <w:sz w:val="24"/>
                <w:szCs w:val="24"/>
              </w:rPr>
              <w:t>如下：</w:t>
            </w:r>
          </w:p>
          <w:p w14:paraId="31F6523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center"/>
              <w:textAlignment w:val="auto"/>
              <w:rPr>
                <w:color w:val="auto"/>
                <w:spacing w:val="0"/>
                <w:kern w:val="0"/>
                <w:sz w:val="24"/>
              </w:rPr>
            </w:pPr>
            <w:r>
              <w:rPr>
                <w:color w:val="auto"/>
                <w:spacing w:val="0"/>
                <w:kern w:val="0"/>
                <w:sz w:val="24"/>
                <w:szCs w:val="24"/>
              </w:rPr>
              <w:t>Lp（</w:t>
            </w:r>
            <w:r>
              <w:rPr>
                <w:rFonts w:hint="eastAsia"/>
                <w:color w:val="auto"/>
                <w:spacing w:val="0"/>
                <w:kern w:val="0"/>
                <w:sz w:val="24"/>
                <w:szCs w:val="24"/>
              </w:rPr>
              <w:t>r</w:t>
            </w:r>
            <w:r>
              <w:rPr>
                <w:color w:val="auto"/>
                <w:spacing w:val="0"/>
                <w:kern w:val="0"/>
                <w:sz w:val="24"/>
                <w:szCs w:val="24"/>
              </w:rPr>
              <w:t>）</w:t>
            </w:r>
            <w:r>
              <w:rPr>
                <w:rFonts w:hint="eastAsia"/>
                <w:color w:val="auto"/>
                <w:spacing w:val="0"/>
                <w:kern w:val="0"/>
                <w:sz w:val="24"/>
                <w:szCs w:val="24"/>
              </w:rPr>
              <w:t>=</w:t>
            </w:r>
            <w:r>
              <w:rPr>
                <w:color w:val="auto"/>
                <w:spacing w:val="0"/>
                <w:kern w:val="0"/>
                <w:sz w:val="24"/>
                <w:szCs w:val="24"/>
              </w:rPr>
              <w:t>L</w:t>
            </w:r>
            <w:r>
              <w:rPr>
                <w:rFonts w:hint="eastAsia"/>
                <w:color w:val="auto"/>
                <w:spacing w:val="0"/>
                <w:kern w:val="0"/>
                <w:sz w:val="24"/>
                <w:szCs w:val="24"/>
              </w:rPr>
              <w:t>w-20</w:t>
            </w:r>
            <w:r>
              <w:rPr>
                <w:color w:val="auto"/>
                <w:spacing w:val="0"/>
                <w:kern w:val="0"/>
                <w:sz w:val="24"/>
                <w:szCs w:val="24"/>
              </w:rPr>
              <w:t>lg</w:t>
            </w:r>
            <w:r>
              <w:rPr>
                <w:rFonts w:hint="eastAsia"/>
                <w:color w:val="auto"/>
                <w:spacing w:val="0"/>
                <w:kern w:val="0"/>
                <w:sz w:val="24"/>
                <w:szCs w:val="24"/>
              </w:rPr>
              <w:t>r-8</w:t>
            </w:r>
          </w:p>
          <w:p w14:paraId="76537C57">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color w:val="auto"/>
                <w:spacing w:val="0"/>
                <w:kern w:val="0"/>
                <w:sz w:val="24"/>
              </w:rPr>
            </w:pPr>
            <w:r>
              <w:rPr>
                <w:rFonts w:hint="eastAsia"/>
                <w:color w:val="auto"/>
                <w:spacing w:val="0"/>
                <w:kern w:val="0"/>
                <w:sz w:val="24"/>
                <w:szCs w:val="24"/>
              </w:rPr>
              <w:t>式中</w:t>
            </w:r>
            <w:r>
              <w:rPr>
                <w:color w:val="auto"/>
                <w:spacing w:val="0"/>
                <w:kern w:val="0"/>
                <w:sz w:val="24"/>
                <w:szCs w:val="24"/>
              </w:rPr>
              <w:t>：Lp（</w:t>
            </w:r>
            <w:r>
              <w:rPr>
                <w:rFonts w:hint="eastAsia"/>
                <w:color w:val="auto"/>
                <w:spacing w:val="0"/>
                <w:kern w:val="0"/>
                <w:sz w:val="24"/>
                <w:szCs w:val="24"/>
              </w:rPr>
              <w:t>r</w:t>
            </w:r>
            <w:r>
              <w:rPr>
                <w:color w:val="auto"/>
                <w:spacing w:val="0"/>
                <w:kern w:val="0"/>
                <w:sz w:val="24"/>
                <w:szCs w:val="24"/>
              </w:rPr>
              <w:t>）</w:t>
            </w:r>
            <w:r>
              <w:rPr>
                <w:rFonts w:hint="eastAsia"/>
                <w:color w:val="auto"/>
                <w:spacing w:val="0"/>
                <w:kern w:val="0"/>
                <w:sz w:val="24"/>
                <w:szCs w:val="24"/>
              </w:rPr>
              <w:t>——预测点处声压级，dB；</w:t>
            </w:r>
          </w:p>
          <w:p w14:paraId="3341925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color w:val="auto"/>
                <w:spacing w:val="0"/>
                <w:kern w:val="0"/>
                <w:sz w:val="24"/>
              </w:rPr>
            </w:pPr>
            <w:r>
              <w:rPr>
                <w:color w:val="auto"/>
                <w:spacing w:val="0"/>
                <w:kern w:val="0"/>
                <w:sz w:val="24"/>
                <w:szCs w:val="24"/>
              </w:rPr>
              <w:t xml:space="preserve">      L</w:t>
            </w:r>
            <w:r>
              <w:rPr>
                <w:rFonts w:hint="eastAsia"/>
                <w:color w:val="auto"/>
                <w:spacing w:val="0"/>
                <w:kern w:val="0"/>
                <w:sz w:val="24"/>
                <w:szCs w:val="24"/>
              </w:rPr>
              <w:t>w—由点声源产生的倍频带声功率级，dB；</w:t>
            </w:r>
          </w:p>
          <w:p w14:paraId="05E881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color w:val="auto"/>
                <w:spacing w:val="0"/>
                <w:kern w:val="0"/>
                <w:sz w:val="24"/>
              </w:rPr>
            </w:pPr>
            <w:r>
              <w:rPr>
                <w:color w:val="auto"/>
                <w:spacing w:val="0"/>
                <w:kern w:val="0"/>
                <w:sz w:val="24"/>
                <w:szCs w:val="24"/>
              </w:rPr>
              <w:t xml:space="preserve">      r——</w:t>
            </w:r>
            <w:r>
              <w:rPr>
                <w:rFonts w:hint="eastAsia"/>
                <w:color w:val="auto"/>
                <w:spacing w:val="0"/>
                <w:kern w:val="0"/>
                <w:sz w:val="24"/>
                <w:szCs w:val="24"/>
              </w:rPr>
              <w:t>预测点距声源的距离，</w:t>
            </w:r>
            <w:r>
              <w:rPr>
                <w:color w:val="auto"/>
                <w:spacing w:val="0"/>
                <w:kern w:val="0"/>
                <w:sz w:val="24"/>
                <w:szCs w:val="24"/>
              </w:rPr>
              <w:t>m；</w:t>
            </w:r>
          </w:p>
          <w:p w14:paraId="68CBED9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color w:val="auto"/>
                <w:spacing w:val="0"/>
                <w:kern w:val="0"/>
                <w:sz w:val="24"/>
              </w:rPr>
            </w:pPr>
            <w:r>
              <w:rPr>
                <w:rFonts w:hint="eastAsia"/>
                <w:color w:val="auto"/>
                <w:spacing w:val="0"/>
                <w:kern w:val="0"/>
                <w:sz w:val="24"/>
                <w:szCs w:val="24"/>
              </w:rPr>
              <w:t>r</w:t>
            </w:r>
            <w:r>
              <w:rPr>
                <w:color w:val="auto"/>
                <w:spacing w:val="0"/>
                <w:kern w:val="0"/>
                <w:sz w:val="24"/>
                <w:szCs w:val="24"/>
              </w:rPr>
              <w:t>0</w:t>
            </w:r>
            <w:r>
              <w:rPr>
                <w:rFonts w:hint="eastAsia"/>
                <w:color w:val="auto"/>
                <w:spacing w:val="0"/>
                <w:kern w:val="0"/>
                <w:sz w:val="24"/>
                <w:szCs w:val="24"/>
              </w:rPr>
              <w:t>——参考位置距声源的距离，</w:t>
            </w:r>
            <w:r>
              <w:rPr>
                <w:color w:val="auto"/>
                <w:spacing w:val="0"/>
                <w:kern w:val="0"/>
                <w:sz w:val="24"/>
                <w:szCs w:val="24"/>
              </w:rPr>
              <w:t>m。</w:t>
            </w:r>
          </w:p>
          <w:p w14:paraId="2F75B148">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color w:val="auto"/>
                <w:spacing w:val="0"/>
                <w:kern w:val="0"/>
                <w:sz w:val="24"/>
              </w:rPr>
            </w:pPr>
            <w:r>
              <w:rPr>
                <w:rFonts w:hint="eastAsia"/>
                <w:color w:val="auto"/>
                <w:spacing w:val="0"/>
                <w:kern w:val="0"/>
                <w:sz w:val="24"/>
                <w:szCs w:val="24"/>
              </w:rPr>
              <w:t>本项目</w:t>
            </w:r>
            <w:r>
              <w:rPr>
                <w:color w:val="auto"/>
                <w:spacing w:val="0"/>
                <w:kern w:val="0"/>
                <w:sz w:val="24"/>
                <w:szCs w:val="24"/>
              </w:rPr>
              <w:t>声源在预测点产生的贡献值（Leqg）计算公式：</w:t>
            </w:r>
          </w:p>
          <w:p w14:paraId="50FC090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color w:val="auto"/>
                <w:spacing w:val="0"/>
                <w:kern w:val="0"/>
                <w:sz w:val="24"/>
              </w:rPr>
            </w:pPr>
            <w:r>
              <w:rPr>
                <w:color w:val="auto"/>
                <w:spacing w:val="0"/>
                <w:kern w:val="0"/>
                <w:sz w:val="24"/>
                <w:szCs w:val="24"/>
              </w:rPr>
              <w:drawing>
                <wp:anchor distT="0" distB="0" distL="114300" distR="114300" simplePos="0" relativeHeight="251660288" behindDoc="0" locked="0" layoutInCell="1" allowOverlap="1">
                  <wp:simplePos x="0" y="0"/>
                  <wp:positionH relativeFrom="column">
                    <wp:posOffset>1564640</wp:posOffset>
                  </wp:positionH>
                  <wp:positionV relativeFrom="paragraph">
                    <wp:posOffset>43815</wp:posOffset>
                  </wp:positionV>
                  <wp:extent cx="1992630" cy="381000"/>
                  <wp:effectExtent l="0" t="0" r="7620" b="0"/>
                  <wp:wrapTopAndBottom/>
                  <wp:docPr id="3" name="图片 29473" descr="C:\Users\ADMINI~1\AppData\Local\Temp\ksohtml11864\wps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9473" descr="C:\Users\ADMINI~1\AppData\Local\Temp\ksohtml11864\wps2.wmf"/>
                          <pic:cNvPicPr>
                            <a:picLocks noChangeAspect="1"/>
                          </pic:cNvPicPr>
                        </pic:nvPicPr>
                        <pic:blipFill>
                          <a:blip r:embed="rId18"/>
                          <a:stretch>
                            <a:fillRect/>
                          </a:stretch>
                        </pic:blipFill>
                        <pic:spPr>
                          <a:xfrm>
                            <a:off x="0" y="0"/>
                            <a:ext cx="1992630" cy="381000"/>
                          </a:xfrm>
                          <a:prstGeom prst="rect">
                            <a:avLst/>
                          </a:prstGeom>
                          <a:noFill/>
                          <a:ln>
                            <a:noFill/>
                          </a:ln>
                        </pic:spPr>
                      </pic:pic>
                    </a:graphicData>
                  </a:graphic>
                </wp:anchor>
              </w:drawing>
            </w:r>
            <w:r>
              <w:rPr>
                <w:color w:val="auto"/>
                <w:spacing w:val="0"/>
                <w:kern w:val="0"/>
                <w:sz w:val="24"/>
                <w:szCs w:val="24"/>
              </w:rPr>
              <w:t>式中：Leqg——建设项目声源在预测的产生的噪声贡献值，dB；</w:t>
            </w:r>
          </w:p>
          <w:p w14:paraId="316179B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color w:val="auto"/>
                <w:spacing w:val="0"/>
                <w:kern w:val="0"/>
                <w:sz w:val="24"/>
              </w:rPr>
            </w:pPr>
            <w:r>
              <w:rPr>
                <w:color w:val="auto"/>
                <w:spacing w:val="0"/>
                <w:kern w:val="0"/>
                <w:sz w:val="24"/>
                <w:szCs w:val="24"/>
              </w:rPr>
              <w:t xml:space="preserve">        T——用于计算等效声级的时间，s；</w:t>
            </w:r>
          </w:p>
          <w:p w14:paraId="4A00CAD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color w:val="auto"/>
                <w:spacing w:val="0"/>
                <w:kern w:val="0"/>
                <w:sz w:val="24"/>
              </w:rPr>
            </w:pPr>
            <w:r>
              <w:rPr>
                <w:color w:val="auto"/>
                <w:spacing w:val="0"/>
                <w:kern w:val="0"/>
                <w:sz w:val="24"/>
                <w:szCs w:val="24"/>
              </w:rPr>
              <w:t xml:space="preserve">        N——室外声源个数；</w:t>
            </w:r>
          </w:p>
          <w:p w14:paraId="49BAB5B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color w:val="auto"/>
                <w:spacing w:val="0"/>
                <w:kern w:val="0"/>
                <w:sz w:val="24"/>
              </w:rPr>
            </w:pPr>
            <w:r>
              <w:rPr>
                <w:color w:val="auto"/>
                <w:spacing w:val="0"/>
                <w:kern w:val="0"/>
                <w:sz w:val="24"/>
                <w:szCs w:val="24"/>
              </w:rPr>
              <w:t xml:space="preserve">        ti——在T时间内i声源内工作时间，s；</w:t>
            </w:r>
          </w:p>
          <w:p w14:paraId="30189A8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color w:val="auto"/>
                <w:spacing w:val="0"/>
                <w:kern w:val="0"/>
                <w:sz w:val="24"/>
              </w:rPr>
            </w:pPr>
            <w:r>
              <w:rPr>
                <w:color w:val="auto"/>
                <w:spacing w:val="0"/>
                <w:kern w:val="0"/>
                <w:sz w:val="24"/>
                <w:szCs w:val="24"/>
              </w:rPr>
              <w:t xml:space="preserve">        M——等效室外声源个数；</w:t>
            </w:r>
          </w:p>
          <w:p w14:paraId="6408A1D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color w:val="auto"/>
                <w:spacing w:val="0"/>
                <w:kern w:val="0"/>
                <w:sz w:val="24"/>
              </w:rPr>
            </w:pPr>
            <w:r>
              <w:rPr>
                <w:color w:val="auto"/>
                <w:spacing w:val="0"/>
                <w:kern w:val="0"/>
                <w:sz w:val="24"/>
                <w:szCs w:val="24"/>
              </w:rPr>
              <w:t xml:space="preserve">        ti——在T时间内j声源内工作时间，s；</w:t>
            </w:r>
          </w:p>
          <w:p w14:paraId="74EE1C2F">
            <w:pPr>
              <w:keepNext w:val="0"/>
              <w:keepLines w:val="0"/>
              <w:pageBreakBefore w:val="0"/>
              <w:widowControl w:val="0"/>
              <w:suppressLineNumbers w:val="0"/>
              <w:tabs>
                <w:tab w:val="left" w:pos="8370"/>
                <w:tab w:val="left" w:pos="8600"/>
              </w:tabs>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rFonts w:hint="default" w:ascii="Times New Roman" w:hAnsi="Times New Roman" w:eastAsia="黑体" w:cs="Times New Roman"/>
                <w:b w:val="0"/>
                <w:bCs/>
                <w:color w:val="auto"/>
                <w:spacing w:val="0"/>
                <w:kern w:val="0"/>
                <w:sz w:val="24"/>
                <w:szCs w:val="24"/>
              </w:rPr>
            </w:pPr>
            <w:r>
              <w:rPr>
                <w:color w:val="auto"/>
                <w:spacing w:val="0"/>
                <w:kern w:val="0"/>
                <w:sz w:val="24"/>
                <w:szCs w:val="24"/>
              </w:rPr>
              <w:t>根据本</w:t>
            </w:r>
            <w:r>
              <w:rPr>
                <w:rFonts w:hint="eastAsia"/>
                <w:color w:val="auto"/>
                <w:spacing w:val="0"/>
                <w:kern w:val="0"/>
                <w:sz w:val="24"/>
                <w:szCs w:val="24"/>
              </w:rPr>
              <w:t>项目</w:t>
            </w:r>
            <w:r>
              <w:rPr>
                <w:color w:val="auto"/>
                <w:spacing w:val="0"/>
                <w:kern w:val="0"/>
                <w:sz w:val="24"/>
                <w:szCs w:val="24"/>
              </w:rPr>
              <w:t>噪声源的分布，对项目四周厂界噪声</w:t>
            </w:r>
            <w:r>
              <w:rPr>
                <w:rFonts w:hint="eastAsia"/>
                <w:color w:val="auto"/>
                <w:spacing w:val="0"/>
                <w:kern w:val="0"/>
                <w:sz w:val="24"/>
                <w:szCs w:val="24"/>
              </w:rPr>
              <w:t>贡献值</w:t>
            </w:r>
            <w:r>
              <w:rPr>
                <w:color w:val="auto"/>
                <w:spacing w:val="0"/>
                <w:kern w:val="0"/>
                <w:sz w:val="24"/>
                <w:szCs w:val="24"/>
              </w:rPr>
              <w:t>进行计算，</w:t>
            </w:r>
            <w:r>
              <w:rPr>
                <w:rFonts w:hint="eastAsia"/>
                <w:color w:val="auto"/>
                <w:spacing w:val="0"/>
                <w:kern w:val="0"/>
                <w:sz w:val="24"/>
                <w:szCs w:val="24"/>
              </w:rPr>
              <w:t>本次评价</w:t>
            </w:r>
            <w:r>
              <w:rPr>
                <w:color w:val="auto"/>
                <w:spacing w:val="0"/>
                <w:kern w:val="0"/>
                <w:sz w:val="24"/>
                <w:szCs w:val="24"/>
              </w:rPr>
              <w:t>厂界噪声的预测结果见</w:t>
            </w:r>
            <w:r>
              <w:rPr>
                <w:rFonts w:hint="eastAsia"/>
                <w:color w:val="auto"/>
                <w:spacing w:val="0"/>
                <w:kern w:val="0"/>
                <w:sz w:val="24"/>
                <w:szCs w:val="24"/>
              </w:rPr>
              <w:t>下</w:t>
            </w:r>
            <w:r>
              <w:rPr>
                <w:color w:val="auto"/>
                <w:spacing w:val="0"/>
                <w:kern w:val="0"/>
                <w:sz w:val="24"/>
                <w:szCs w:val="24"/>
              </w:rPr>
              <w:t>表。</w:t>
            </w:r>
          </w:p>
          <w:p w14:paraId="0D48CD99">
            <w:pPr>
              <w:keepNext w:val="0"/>
              <w:keepLines w:val="0"/>
              <w:suppressLineNumbers w:val="0"/>
              <w:tabs>
                <w:tab w:val="left" w:pos="8370"/>
                <w:tab w:val="left" w:pos="8600"/>
              </w:tabs>
              <w:spacing w:before="0" w:beforeAutospacing="0" w:after="0" w:afterAutospacing="0" w:line="440" w:lineRule="exact"/>
              <w:ind w:left="0" w:right="0" w:firstLine="480" w:firstLineChars="200"/>
              <w:rPr>
                <w:rFonts w:hint="default" w:ascii="Times New Roman" w:hAnsi="Times New Roman" w:eastAsia="黑体" w:cs="Times New Roman"/>
                <w:b w:val="0"/>
                <w:bCs/>
                <w:color w:val="auto"/>
                <w:spacing w:val="0"/>
                <w:kern w:val="0"/>
                <w:sz w:val="24"/>
              </w:rPr>
            </w:pPr>
            <w:r>
              <w:rPr>
                <w:rFonts w:hint="default" w:ascii="Times New Roman" w:hAnsi="Times New Roman" w:eastAsia="黑体" w:cs="Times New Roman"/>
                <w:b w:val="0"/>
                <w:bCs/>
                <w:color w:val="auto"/>
                <w:spacing w:val="0"/>
                <w:kern w:val="0"/>
                <w:sz w:val="24"/>
                <w:szCs w:val="24"/>
              </w:rPr>
              <w:t>表</w:t>
            </w:r>
            <w:r>
              <w:rPr>
                <w:rFonts w:hint="default" w:ascii="Times New Roman" w:hAnsi="Times New Roman" w:eastAsia="黑体" w:cs="Times New Roman"/>
                <w:b w:val="0"/>
                <w:bCs/>
                <w:color w:val="auto"/>
                <w:spacing w:val="0"/>
                <w:kern w:val="0"/>
                <w:sz w:val="24"/>
                <w:szCs w:val="24"/>
                <w:lang w:val="en-US" w:eastAsia="zh-CN"/>
              </w:rPr>
              <w:t>4-</w:t>
            </w:r>
            <w:r>
              <w:rPr>
                <w:rFonts w:hint="eastAsia" w:eastAsia="黑体" w:cs="Times New Roman"/>
                <w:b w:val="0"/>
                <w:bCs/>
                <w:color w:val="auto"/>
                <w:spacing w:val="0"/>
                <w:kern w:val="0"/>
                <w:sz w:val="24"/>
                <w:szCs w:val="24"/>
                <w:lang w:val="en-US" w:eastAsia="zh-CN"/>
              </w:rPr>
              <w:t>5</w:t>
            </w:r>
            <w:r>
              <w:rPr>
                <w:rFonts w:hint="default" w:ascii="Times New Roman" w:hAnsi="Times New Roman" w:eastAsia="黑体" w:cs="Times New Roman"/>
                <w:b w:val="0"/>
                <w:bCs/>
                <w:color w:val="auto"/>
                <w:spacing w:val="0"/>
                <w:kern w:val="0"/>
                <w:sz w:val="24"/>
                <w:szCs w:val="24"/>
              </w:rPr>
              <w:t xml:space="preserve">          </w:t>
            </w:r>
            <w:r>
              <w:rPr>
                <w:rFonts w:hint="eastAsia" w:ascii="Times New Roman" w:hAnsi="Times New Roman" w:eastAsia="黑体" w:cs="Times New Roman"/>
                <w:b w:val="0"/>
                <w:bCs/>
                <w:color w:val="auto"/>
                <w:spacing w:val="0"/>
                <w:kern w:val="0"/>
                <w:sz w:val="24"/>
                <w:szCs w:val="24"/>
                <w:lang w:val="en-US" w:eastAsia="zh-CN"/>
              </w:rPr>
              <w:t xml:space="preserve">   </w:t>
            </w:r>
            <w:r>
              <w:rPr>
                <w:rFonts w:hint="default" w:ascii="Times New Roman" w:hAnsi="Times New Roman" w:eastAsia="黑体" w:cs="Times New Roman"/>
                <w:b w:val="0"/>
                <w:bCs/>
                <w:color w:val="auto"/>
                <w:spacing w:val="0"/>
                <w:kern w:val="0"/>
                <w:sz w:val="24"/>
                <w:szCs w:val="24"/>
              </w:rPr>
              <w:t xml:space="preserve">  各厂界噪声预测值     </w:t>
            </w:r>
            <w:r>
              <w:rPr>
                <w:rFonts w:hint="eastAsia" w:ascii="Times New Roman" w:hAnsi="Times New Roman" w:eastAsia="黑体" w:cs="Times New Roman"/>
                <w:b w:val="0"/>
                <w:bCs/>
                <w:color w:val="auto"/>
                <w:spacing w:val="0"/>
                <w:kern w:val="0"/>
                <w:sz w:val="24"/>
                <w:szCs w:val="24"/>
                <w:lang w:val="en-US" w:eastAsia="zh-CN"/>
              </w:rPr>
              <w:t xml:space="preserve">  </w:t>
            </w:r>
            <w:r>
              <w:rPr>
                <w:rFonts w:hint="default" w:ascii="Times New Roman" w:hAnsi="Times New Roman" w:eastAsia="黑体" w:cs="Times New Roman"/>
                <w:b w:val="0"/>
                <w:bCs/>
                <w:color w:val="auto"/>
                <w:spacing w:val="0"/>
                <w:kern w:val="0"/>
                <w:sz w:val="24"/>
                <w:szCs w:val="24"/>
              </w:rPr>
              <w:t xml:space="preserve"> </w:t>
            </w:r>
            <w:r>
              <w:rPr>
                <w:rFonts w:hint="eastAsia" w:ascii="Times New Roman" w:hAnsi="Times New Roman" w:eastAsia="黑体" w:cs="Times New Roman"/>
                <w:b w:val="0"/>
                <w:bCs/>
                <w:color w:val="auto"/>
                <w:spacing w:val="0"/>
                <w:kern w:val="0"/>
                <w:sz w:val="24"/>
                <w:szCs w:val="24"/>
                <w:lang w:val="en-US" w:eastAsia="zh-CN"/>
              </w:rPr>
              <w:t xml:space="preserve">   </w:t>
            </w:r>
            <w:r>
              <w:rPr>
                <w:rFonts w:hint="default" w:ascii="Times New Roman" w:hAnsi="Times New Roman" w:eastAsia="黑体" w:cs="Times New Roman"/>
                <w:b w:val="0"/>
                <w:bCs/>
                <w:color w:val="auto"/>
                <w:spacing w:val="0"/>
                <w:kern w:val="0"/>
                <w:sz w:val="24"/>
                <w:szCs w:val="24"/>
              </w:rPr>
              <w:t xml:space="preserve">   单位：dB(A)</w:t>
            </w:r>
          </w:p>
          <w:tbl>
            <w:tblPr>
              <w:tblStyle w:val="25"/>
              <w:tblW w:w="4999"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423"/>
              <w:gridCol w:w="763"/>
              <w:gridCol w:w="1231"/>
              <w:gridCol w:w="1618"/>
              <w:gridCol w:w="1000"/>
              <w:gridCol w:w="1080"/>
              <w:gridCol w:w="995"/>
            </w:tblGrid>
            <w:tr w14:paraId="32DCC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77" w:type="pct"/>
                  <w:tcBorders>
                    <w:tl2br w:val="nil"/>
                    <w:tr2bl w:val="nil"/>
                  </w:tcBorders>
                  <w:noWrap w:val="0"/>
                  <w:vAlign w:val="center"/>
                </w:tcPr>
                <w:p w14:paraId="206F862C">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预测点位</w:t>
                  </w:r>
                </w:p>
              </w:tc>
              <w:tc>
                <w:tcPr>
                  <w:tcW w:w="1229" w:type="pct"/>
                  <w:gridSpan w:val="2"/>
                  <w:tcBorders>
                    <w:tl2br w:val="nil"/>
                    <w:tr2bl w:val="nil"/>
                  </w:tcBorders>
                  <w:noWrap w:val="0"/>
                  <w:vAlign w:val="center"/>
                </w:tcPr>
                <w:p w14:paraId="5A53F383">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处理后源强</w:t>
                  </w:r>
                </w:p>
              </w:tc>
              <w:tc>
                <w:tcPr>
                  <w:tcW w:w="997" w:type="pct"/>
                  <w:tcBorders>
                    <w:tl2br w:val="nil"/>
                    <w:tr2bl w:val="nil"/>
                  </w:tcBorders>
                  <w:noWrap w:val="0"/>
                  <w:vAlign w:val="center"/>
                </w:tcPr>
                <w:p w14:paraId="3A48072B">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与噪声源距离</w:t>
                  </w:r>
                </w:p>
              </w:tc>
              <w:tc>
                <w:tcPr>
                  <w:tcW w:w="616" w:type="pct"/>
                  <w:tcBorders>
                    <w:tl2br w:val="nil"/>
                    <w:tr2bl w:val="nil"/>
                  </w:tcBorders>
                  <w:noWrap w:val="0"/>
                  <w:vAlign w:val="center"/>
                </w:tcPr>
                <w:p w14:paraId="5A663C70">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贡献值</w:t>
                  </w:r>
                </w:p>
              </w:tc>
              <w:tc>
                <w:tcPr>
                  <w:tcW w:w="665" w:type="pct"/>
                  <w:tcBorders>
                    <w:tl2br w:val="nil"/>
                    <w:tr2bl w:val="nil"/>
                  </w:tcBorders>
                  <w:noWrap w:val="0"/>
                  <w:vAlign w:val="center"/>
                </w:tcPr>
                <w:p w14:paraId="4F8CF20C">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标准</w:t>
                  </w:r>
                </w:p>
              </w:tc>
              <w:tc>
                <w:tcPr>
                  <w:tcW w:w="613" w:type="pct"/>
                  <w:tcBorders>
                    <w:tl2br w:val="nil"/>
                    <w:tr2bl w:val="nil"/>
                  </w:tcBorders>
                  <w:noWrap w:val="0"/>
                  <w:vAlign w:val="center"/>
                </w:tcPr>
                <w:p w14:paraId="266F6504">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达标</w:t>
                  </w:r>
                </w:p>
                <w:p w14:paraId="0A9C18F0">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情况</w:t>
                  </w:r>
                </w:p>
              </w:tc>
            </w:tr>
            <w:tr w14:paraId="32948A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77" w:type="pct"/>
                  <w:tcBorders>
                    <w:tl2br w:val="nil"/>
                    <w:tr2bl w:val="nil"/>
                  </w:tcBorders>
                  <w:noWrap w:val="0"/>
                  <w:vAlign w:val="center"/>
                </w:tcPr>
                <w:p w14:paraId="50E56B87">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东厂界</w:t>
                  </w:r>
                </w:p>
              </w:tc>
              <w:tc>
                <w:tcPr>
                  <w:tcW w:w="470" w:type="pct"/>
                  <w:vMerge w:val="restart"/>
                  <w:tcBorders>
                    <w:tl2br w:val="nil"/>
                    <w:tr2bl w:val="nil"/>
                  </w:tcBorders>
                  <w:noWrap w:val="0"/>
                  <w:vAlign w:val="center"/>
                </w:tcPr>
                <w:p w14:paraId="53617F9E">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生产车间</w:t>
                  </w:r>
                </w:p>
              </w:tc>
              <w:tc>
                <w:tcPr>
                  <w:tcW w:w="758" w:type="pct"/>
                  <w:tcBorders>
                    <w:tl2br w:val="nil"/>
                    <w:tr2bl w:val="nil"/>
                  </w:tcBorders>
                  <w:noWrap w:val="0"/>
                  <w:vAlign w:val="center"/>
                </w:tcPr>
                <w:p w14:paraId="2BFE35BE">
                  <w:pPr>
                    <w:pStyle w:val="79"/>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67.4</w:t>
                  </w:r>
                </w:p>
              </w:tc>
              <w:tc>
                <w:tcPr>
                  <w:tcW w:w="997" w:type="pct"/>
                  <w:tcBorders>
                    <w:tl2br w:val="nil"/>
                    <w:tr2bl w:val="nil"/>
                  </w:tcBorders>
                  <w:noWrap w:val="0"/>
                  <w:vAlign w:val="center"/>
                </w:tcPr>
                <w:p w14:paraId="52CED12C">
                  <w:pPr>
                    <w:pStyle w:val="79"/>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1m</w:t>
                  </w:r>
                </w:p>
              </w:tc>
              <w:tc>
                <w:tcPr>
                  <w:tcW w:w="616" w:type="pct"/>
                  <w:tcBorders>
                    <w:tl2br w:val="nil"/>
                    <w:tr2bl w:val="nil"/>
                  </w:tcBorders>
                  <w:noWrap w:val="0"/>
                  <w:vAlign w:val="center"/>
                </w:tcPr>
                <w:p w14:paraId="14930CDD">
                  <w:pPr>
                    <w:pStyle w:val="79"/>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59.4</w:t>
                  </w:r>
                </w:p>
              </w:tc>
              <w:tc>
                <w:tcPr>
                  <w:tcW w:w="665" w:type="pct"/>
                  <w:vMerge w:val="restart"/>
                  <w:tcBorders>
                    <w:tl2br w:val="nil"/>
                    <w:tr2bl w:val="nil"/>
                  </w:tcBorders>
                  <w:noWrap w:val="0"/>
                  <w:vAlign w:val="center"/>
                </w:tcPr>
                <w:p w14:paraId="418F50EB">
                  <w:pPr>
                    <w:pStyle w:val="79"/>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昼间6</w:t>
                  </w:r>
                  <w:r>
                    <w:rPr>
                      <w:rFonts w:hint="eastAsia" w:cs="Times New Roman"/>
                      <w:b w:val="0"/>
                      <w:bCs w:val="0"/>
                      <w:color w:val="auto"/>
                      <w:sz w:val="21"/>
                      <w:szCs w:val="21"/>
                      <w:lang w:val="en-US" w:eastAsia="zh-CN"/>
                    </w:rPr>
                    <w:t>0</w:t>
                  </w:r>
                  <w:r>
                    <w:rPr>
                      <w:rFonts w:hint="eastAsia" w:ascii="Times New Roman" w:hAnsi="Times New Roman" w:eastAsia="宋体" w:cs="Times New Roman"/>
                      <w:b w:val="0"/>
                      <w:bCs w:val="0"/>
                      <w:color w:val="auto"/>
                      <w:sz w:val="21"/>
                      <w:szCs w:val="21"/>
                      <w:lang w:val="en-US" w:eastAsia="zh-CN"/>
                    </w:rPr>
                    <w:t>dB（A）</w:t>
                  </w:r>
                </w:p>
              </w:tc>
              <w:tc>
                <w:tcPr>
                  <w:tcW w:w="613" w:type="pct"/>
                  <w:tcBorders>
                    <w:tl2br w:val="nil"/>
                    <w:tr2bl w:val="nil"/>
                  </w:tcBorders>
                  <w:noWrap w:val="0"/>
                  <w:vAlign w:val="center"/>
                </w:tcPr>
                <w:p w14:paraId="63CA3903">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达标</w:t>
                  </w:r>
                </w:p>
              </w:tc>
            </w:tr>
            <w:tr w14:paraId="389C69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77" w:type="pct"/>
                  <w:tcBorders>
                    <w:tl2br w:val="nil"/>
                    <w:tr2bl w:val="nil"/>
                  </w:tcBorders>
                  <w:noWrap w:val="0"/>
                  <w:vAlign w:val="center"/>
                </w:tcPr>
                <w:p w14:paraId="6E9A7BAC">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南厂界</w:t>
                  </w:r>
                </w:p>
              </w:tc>
              <w:tc>
                <w:tcPr>
                  <w:tcW w:w="470" w:type="pct"/>
                  <w:vMerge w:val="continue"/>
                  <w:tcBorders>
                    <w:tl2br w:val="nil"/>
                    <w:tr2bl w:val="nil"/>
                  </w:tcBorders>
                  <w:noWrap w:val="0"/>
                  <w:vAlign w:val="center"/>
                </w:tcPr>
                <w:p w14:paraId="45DD7C8F">
                  <w:pPr>
                    <w:pStyle w:val="79"/>
                    <w:rPr>
                      <w:rFonts w:hint="eastAsia" w:ascii="Times New Roman" w:hAnsi="Times New Roman" w:eastAsia="宋体" w:cs="Times New Roman"/>
                      <w:b w:val="0"/>
                      <w:bCs w:val="0"/>
                      <w:color w:val="auto"/>
                      <w:sz w:val="21"/>
                      <w:szCs w:val="21"/>
                      <w:lang w:val="en-US" w:eastAsia="zh-CN"/>
                    </w:rPr>
                  </w:pPr>
                </w:p>
              </w:tc>
              <w:tc>
                <w:tcPr>
                  <w:tcW w:w="758" w:type="pct"/>
                  <w:tcBorders>
                    <w:tl2br w:val="nil"/>
                    <w:tr2bl w:val="nil"/>
                  </w:tcBorders>
                  <w:noWrap w:val="0"/>
                  <w:vAlign w:val="center"/>
                </w:tcPr>
                <w:p w14:paraId="2EC9080E">
                  <w:pPr>
                    <w:pStyle w:val="79"/>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67.4</w:t>
                  </w:r>
                </w:p>
              </w:tc>
              <w:tc>
                <w:tcPr>
                  <w:tcW w:w="997" w:type="pct"/>
                  <w:tcBorders>
                    <w:tl2br w:val="nil"/>
                    <w:tr2bl w:val="nil"/>
                  </w:tcBorders>
                  <w:noWrap w:val="0"/>
                  <w:vAlign w:val="center"/>
                </w:tcPr>
                <w:p w14:paraId="22294045">
                  <w:pPr>
                    <w:pStyle w:val="79"/>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1m</w:t>
                  </w:r>
                </w:p>
              </w:tc>
              <w:tc>
                <w:tcPr>
                  <w:tcW w:w="616" w:type="pct"/>
                  <w:tcBorders>
                    <w:tl2br w:val="nil"/>
                    <w:tr2bl w:val="nil"/>
                  </w:tcBorders>
                  <w:noWrap w:val="0"/>
                  <w:vAlign w:val="center"/>
                </w:tcPr>
                <w:p w14:paraId="1D690F9B">
                  <w:pPr>
                    <w:pStyle w:val="79"/>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59.4</w:t>
                  </w:r>
                </w:p>
              </w:tc>
              <w:tc>
                <w:tcPr>
                  <w:tcW w:w="665" w:type="pct"/>
                  <w:vMerge w:val="continue"/>
                  <w:tcBorders>
                    <w:tl2br w:val="nil"/>
                    <w:tr2bl w:val="nil"/>
                  </w:tcBorders>
                  <w:noWrap w:val="0"/>
                  <w:vAlign w:val="center"/>
                </w:tcPr>
                <w:p w14:paraId="6DD5A892">
                  <w:pPr>
                    <w:pStyle w:val="79"/>
                    <w:rPr>
                      <w:rFonts w:hint="eastAsia" w:ascii="Times New Roman" w:hAnsi="Times New Roman" w:eastAsia="宋体" w:cs="Times New Roman"/>
                      <w:b w:val="0"/>
                      <w:bCs w:val="0"/>
                      <w:color w:val="auto"/>
                      <w:sz w:val="21"/>
                      <w:szCs w:val="21"/>
                      <w:lang w:val="en-US" w:eastAsia="zh-CN"/>
                    </w:rPr>
                  </w:pPr>
                </w:p>
              </w:tc>
              <w:tc>
                <w:tcPr>
                  <w:tcW w:w="613" w:type="pct"/>
                  <w:tcBorders>
                    <w:tl2br w:val="nil"/>
                    <w:tr2bl w:val="nil"/>
                  </w:tcBorders>
                  <w:noWrap w:val="0"/>
                  <w:vAlign w:val="center"/>
                </w:tcPr>
                <w:p w14:paraId="7E68CAD3">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达标</w:t>
                  </w:r>
                </w:p>
              </w:tc>
            </w:tr>
            <w:tr w14:paraId="6F09B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77" w:type="pct"/>
                  <w:tcBorders>
                    <w:tl2br w:val="nil"/>
                    <w:tr2bl w:val="nil"/>
                  </w:tcBorders>
                  <w:noWrap w:val="0"/>
                  <w:vAlign w:val="center"/>
                </w:tcPr>
                <w:p w14:paraId="17AAA3F9">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西厂界</w:t>
                  </w:r>
                </w:p>
              </w:tc>
              <w:tc>
                <w:tcPr>
                  <w:tcW w:w="470" w:type="pct"/>
                  <w:vMerge w:val="continue"/>
                  <w:tcBorders>
                    <w:tl2br w:val="nil"/>
                    <w:tr2bl w:val="nil"/>
                  </w:tcBorders>
                  <w:noWrap w:val="0"/>
                  <w:vAlign w:val="center"/>
                </w:tcPr>
                <w:p w14:paraId="2037A603">
                  <w:pPr>
                    <w:pStyle w:val="79"/>
                    <w:rPr>
                      <w:rFonts w:hint="eastAsia" w:ascii="Times New Roman" w:hAnsi="Times New Roman" w:eastAsia="宋体" w:cs="Times New Roman"/>
                      <w:b w:val="0"/>
                      <w:bCs w:val="0"/>
                      <w:color w:val="auto"/>
                      <w:sz w:val="21"/>
                      <w:szCs w:val="21"/>
                      <w:lang w:val="en-US" w:eastAsia="zh-CN"/>
                    </w:rPr>
                  </w:pPr>
                </w:p>
              </w:tc>
              <w:tc>
                <w:tcPr>
                  <w:tcW w:w="758" w:type="pct"/>
                  <w:tcBorders>
                    <w:tl2br w:val="nil"/>
                    <w:tr2bl w:val="nil"/>
                  </w:tcBorders>
                  <w:noWrap w:val="0"/>
                  <w:vAlign w:val="center"/>
                </w:tcPr>
                <w:p w14:paraId="728F0BE2">
                  <w:pPr>
                    <w:pStyle w:val="79"/>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67.4</w:t>
                  </w:r>
                </w:p>
              </w:tc>
              <w:tc>
                <w:tcPr>
                  <w:tcW w:w="997" w:type="pct"/>
                  <w:tcBorders>
                    <w:tl2br w:val="nil"/>
                    <w:tr2bl w:val="nil"/>
                  </w:tcBorders>
                  <w:noWrap w:val="0"/>
                  <w:vAlign w:val="center"/>
                </w:tcPr>
                <w:p w14:paraId="2E816AA0">
                  <w:pPr>
                    <w:pStyle w:val="79"/>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1m</w:t>
                  </w:r>
                </w:p>
              </w:tc>
              <w:tc>
                <w:tcPr>
                  <w:tcW w:w="616" w:type="pct"/>
                  <w:tcBorders>
                    <w:tl2br w:val="nil"/>
                    <w:tr2bl w:val="nil"/>
                  </w:tcBorders>
                  <w:noWrap w:val="0"/>
                  <w:vAlign w:val="center"/>
                </w:tcPr>
                <w:p w14:paraId="74A28E2F">
                  <w:pPr>
                    <w:pStyle w:val="79"/>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59.4</w:t>
                  </w:r>
                </w:p>
              </w:tc>
              <w:tc>
                <w:tcPr>
                  <w:tcW w:w="665" w:type="pct"/>
                  <w:vMerge w:val="continue"/>
                  <w:tcBorders>
                    <w:tl2br w:val="nil"/>
                    <w:tr2bl w:val="nil"/>
                  </w:tcBorders>
                  <w:noWrap w:val="0"/>
                  <w:vAlign w:val="center"/>
                </w:tcPr>
                <w:p w14:paraId="02DD2F1F">
                  <w:pPr>
                    <w:pStyle w:val="79"/>
                    <w:rPr>
                      <w:rFonts w:hint="eastAsia" w:ascii="Times New Roman" w:hAnsi="Times New Roman" w:eastAsia="宋体" w:cs="Times New Roman"/>
                      <w:b w:val="0"/>
                      <w:bCs w:val="0"/>
                      <w:color w:val="auto"/>
                      <w:sz w:val="21"/>
                      <w:szCs w:val="21"/>
                      <w:lang w:val="en-US" w:eastAsia="zh-CN"/>
                    </w:rPr>
                  </w:pPr>
                </w:p>
              </w:tc>
              <w:tc>
                <w:tcPr>
                  <w:tcW w:w="613" w:type="pct"/>
                  <w:tcBorders>
                    <w:tl2br w:val="nil"/>
                    <w:tr2bl w:val="nil"/>
                  </w:tcBorders>
                  <w:noWrap w:val="0"/>
                  <w:vAlign w:val="center"/>
                </w:tcPr>
                <w:p w14:paraId="16568839">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达标</w:t>
                  </w:r>
                </w:p>
              </w:tc>
            </w:tr>
            <w:tr w14:paraId="3901B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877" w:type="pct"/>
                  <w:tcBorders>
                    <w:tl2br w:val="nil"/>
                    <w:tr2bl w:val="nil"/>
                  </w:tcBorders>
                  <w:noWrap w:val="0"/>
                  <w:vAlign w:val="center"/>
                </w:tcPr>
                <w:p w14:paraId="44C0FDE0">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北厂界</w:t>
                  </w:r>
                </w:p>
              </w:tc>
              <w:tc>
                <w:tcPr>
                  <w:tcW w:w="470" w:type="pct"/>
                  <w:vMerge w:val="continue"/>
                  <w:tcBorders>
                    <w:tl2br w:val="nil"/>
                    <w:tr2bl w:val="nil"/>
                  </w:tcBorders>
                  <w:noWrap w:val="0"/>
                  <w:vAlign w:val="center"/>
                </w:tcPr>
                <w:p w14:paraId="2DDA20D6">
                  <w:pPr>
                    <w:pStyle w:val="79"/>
                    <w:rPr>
                      <w:rFonts w:hint="eastAsia" w:ascii="Times New Roman" w:hAnsi="Times New Roman" w:eastAsia="宋体" w:cs="Times New Roman"/>
                      <w:b w:val="0"/>
                      <w:bCs w:val="0"/>
                      <w:color w:val="auto"/>
                      <w:sz w:val="21"/>
                      <w:szCs w:val="21"/>
                      <w:lang w:val="en-US" w:eastAsia="zh-CN"/>
                    </w:rPr>
                  </w:pPr>
                </w:p>
              </w:tc>
              <w:tc>
                <w:tcPr>
                  <w:tcW w:w="758" w:type="pct"/>
                  <w:tcBorders>
                    <w:tl2br w:val="nil"/>
                    <w:tr2bl w:val="nil"/>
                  </w:tcBorders>
                  <w:noWrap w:val="0"/>
                  <w:vAlign w:val="center"/>
                </w:tcPr>
                <w:p w14:paraId="20D857F6">
                  <w:pPr>
                    <w:pStyle w:val="79"/>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67.4</w:t>
                  </w:r>
                </w:p>
              </w:tc>
              <w:tc>
                <w:tcPr>
                  <w:tcW w:w="997" w:type="pct"/>
                  <w:tcBorders>
                    <w:tl2br w:val="nil"/>
                    <w:tr2bl w:val="nil"/>
                  </w:tcBorders>
                  <w:noWrap w:val="0"/>
                  <w:vAlign w:val="center"/>
                </w:tcPr>
                <w:p w14:paraId="135976B1">
                  <w:pPr>
                    <w:pStyle w:val="79"/>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1m</w:t>
                  </w:r>
                </w:p>
              </w:tc>
              <w:tc>
                <w:tcPr>
                  <w:tcW w:w="616" w:type="pct"/>
                  <w:tcBorders>
                    <w:tl2br w:val="nil"/>
                    <w:tr2bl w:val="nil"/>
                  </w:tcBorders>
                  <w:noWrap w:val="0"/>
                  <w:vAlign w:val="center"/>
                </w:tcPr>
                <w:p w14:paraId="705DF76E">
                  <w:pPr>
                    <w:pStyle w:val="79"/>
                    <w:rPr>
                      <w:rFonts w:hint="default"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59.4</w:t>
                  </w:r>
                </w:p>
              </w:tc>
              <w:tc>
                <w:tcPr>
                  <w:tcW w:w="665" w:type="pct"/>
                  <w:vMerge w:val="continue"/>
                  <w:tcBorders>
                    <w:tl2br w:val="nil"/>
                    <w:tr2bl w:val="nil"/>
                  </w:tcBorders>
                  <w:noWrap w:val="0"/>
                  <w:vAlign w:val="center"/>
                </w:tcPr>
                <w:p w14:paraId="737E5549">
                  <w:pPr>
                    <w:pStyle w:val="79"/>
                    <w:rPr>
                      <w:rFonts w:hint="eastAsia" w:ascii="Times New Roman" w:hAnsi="Times New Roman" w:eastAsia="宋体" w:cs="Times New Roman"/>
                      <w:b w:val="0"/>
                      <w:bCs w:val="0"/>
                      <w:color w:val="auto"/>
                      <w:sz w:val="21"/>
                      <w:szCs w:val="21"/>
                      <w:lang w:val="en-US" w:eastAsia="zh-CN"/>
                    </w:rPr>
                  </w:pPr>
                </w:p>
              </w:tc>
              <w:tc>
                <w:tcPr>
                  <w:tcW w:w="613" w:type="pct"/>
                  <w:tcBorders>
                    <w:tl2br w:val="nil"/>
                    <w:tr2bl w:val="nil"/>
                  </w:tcBorders>
                  <w:noWrap w:val="0"/>
                  <w:vAlign w:val="center"/>
                </w:tcPr>
                <w:p w14:paraId="6D2E9B51">
                  <w:pPr>
                    <w:pStyle w:val="79"/>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达标</w:t>
                  </w:r>
                </w:p>
              </w:tc>
            </w:tr>
          </w:tbl>
          <w:p w14:paraId="625BDFE6">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textAlignment w:val="auto"/>
              <w:rPr>
                <w:color w:val="auto"/>
                <w:spacing w:val="0"/>
                <w:kern w:val="0"/>
                <w:sz w:val="24"/>
              </w:rPr>
            </w:pPr>
            <w:r>
              <w:rPr>
                <w:rFonts w:hint="eastAsia"/>
                <w:color w:val="auto"/>
                <w:spacing w:val="0"/>
                <w:kern w:val="0"/>
                <w:sz w:val="24"/>
                <w:szCs w:val="24"/>
              </w:rPr>
              <w:t>由上表可知，</w:t>
            </w:r>
            <w:r>
              <w:rPr>
                <w:color w:val="auto"/>
                <w:spacing w:val="0"/>
                <w:kern w:val="0"/>
                <w:sz w:val="24"/>
                <w:szCs w:val="24"/>
              </w:rPr>
              <w:t>经过车间密闭、距离衰减等措施后，项目厂区四周噪声值</w:t>
            </w:r>
            <w:r>
              <w:rPr>
                <w:rFonts w:hint="eastAsia"/>
                <w:color w:val="auto"/>
                <w:spacing w:val="0"/>
                <w:kern w:val="0"/>
                <w:sz w:val="24"/>
                <w:szCs w:val="24"/>
              </w:rPr>
              <w:t>均</w:t>
            </w:r>
            <w:r>
              <w:rPr>
                <w:color w:val="auto"/>
                <w:spacing w:val="0"/>
                <w:kern w:val="0"/>
                <w:sz w:val="24"/>
                <w:szCs w:val="24"/>
              </w:rPr>
              <w:t>满足《工业企业厂界环境噪声排放标准》（GB12348-2008）</w:t>
            </w:r>
            <w:r>
              <w:rPr>
                <w:rFonts w:hint="eastAsia"/>
                <w:color w:val="auto"/>
                <w:spacing w:val="0"/>
                <w:kern w:val="0"/>
                <w:sz w:val="24"/>
                <w:szCs w:val="24"/>
                <w:lang w:val="en-US" w:eastAsia="zh-CN"/>
              </w:rPr>
              <w:t>2</w:t>
            </w:r>
            <w:r>
              <w:rPr>
                <w:color w:val="auto"/>
                <w:spacing w:val="0"/>
                <w:kern w:val="0"/>
                <w:sz w:val="24"/>
                <w:szCs w:val="24"/>
              </w:rPr>
              <w:t>类标准昼间</w:t>
            </w:r>
            <w:r>
              <w:rPr>
                <w:rFonts w:hint="eastAsia"/>
                <w:color w:val="auto"/>
                <w:spacing w:val="0"/>
                <w:kern w:val="0"/>
                <w:sz w:val="24"/>
                <w:szCs w:val="24"/>
                <w:lang w:val="en-US" w:eastAsia="zh-CN"/>
              </w:rPr>
              <w:t>60</w:t>
            </w:r>
            <w:r>
              <w:rPr>
                <w:color w:val="auto"/>
                <w:spacing w:val="0"/>
                <w:kern w:val="0"/>
                <w:sz w:val="24"/>
                <w:szCs w:val="24"/>
              </w:rPr>
              <w:t>dB（A）的要求</w:t>
            </w:r>
            <w:r>
              <w:rPr>
                <w:rFonts w:hint="eastAsia"/>
                <w:color w:val="auto"/>
                <w:spacing w:val="0"/>
                <w:kern w:val="0"/>
                <w:sz w:val="24"/>
                <w:szCs w:val="24"/>
              </w:rPr>
              <w:t>。</w:t>
            </w:r>
          </w:p>
          <w:p w14:paraId="0DE3B8C5">
            <w:pPr>
              <w:keepNext w:val="0"/>
              <w:keepLines w:val="0"/>
              <w:pageBreakBefore w:val="0"/>
              <w:widowControl w:val="0"/>
              <w:kinsoku/>
              <w:wordWrap/>
              <w:overflowPunct/>
              <w:topLinePunct w:val="0"/>
              <w:autoSpaceDE w:val="0"/>
              <w:autoSpaceDN w:val="0"/>
              <w:bidi w:val="0"/>
              <w:adjustRightInd w:val="0"/>
              <w:spacing w:line="520" w:lineRule="exact"/>
              <w:ind w:firstLine="480" w:firstLineChars="200"/>
              <w:rPr>
                <w:rFonts w:hint="default" w:ascii="Times New Roman" w:hAnsi="Times New Roman"/>
              </w:rPr>
            </w:pPr>
            <w:r>
              <w:rPr>
                <w:rFonts w:hint="eastAsia" w:ascii="Times New Roman" w:hAnsi="Times New Roman" w:eastAsia="宋体" w:cs="Times New Roman"/>
                <w:b w:val="0"/>
                <w:bCs w:val="0"/>
                <w:color w:val="000000"/>
                <w:sz w:val="24"/>
              </w:rPr>
              <w:t>根据《排污单位自行监测技术指南</w:t>
            </w:r>
            <w:r>
              <w:rPr>
                <w:rFonts w:hint="eastAsia" w:ascii="Times New Roman" w:hAnsi="Times New Roman" w:eastAsia="宋体" w:cs="Times New Roman"/>
                <w:b w:val="0"/>
                <w:bCs w:val="0"/>
                <w:color w:val="000000"/>
                <w:sz w:val="24"/>
                <w:lang w:val="en-US" w:eastAsia="zh-CN"/>
              </w:rPr>
              <w:t xml:space="preserve"> </w:t>
            </w:r>
            <w:r>
              <w:rPr>
                <w:rFonts w:hint="eastAsia" w:ascii="Times New Roman" w:hAnsi="Times New Roman" w:eastAsia="宋体" w:cs="Times New Roman"/>
                <w:b w:val="0"/>
                <w:bCs w:val="0"/>
                <w:color w:val="000000"/>
                <w:sz w:val="24"/>
              </w:rPr>
              <w:t>总则》（HJ819-2017）</w:t>
            </w:r>
            <w:r>
              <w:rPr>
                <w:rFonts w:hint="eastAsia" w:ascii="Times New Roman" w:hAnsi="Times New Roman" w:eastAsia="宋体" w:cs="Times New Roman"/>
                <w:b w:val="0"/>
                <w:bCs w:val="0"/>
                <w:color w:val="000000"/>
                <w:sz w:val="24"/>
                <w:lang w:eastAsia="zh-CN"/>
              </w:rPr>
              <w:t>、</w:t>
            </w:r>
            <w:r>
              <w:rPr>
                <w:rFonts w:hint="eastAsia" w:ascii="Times New Roman" w:hAnsi="Times New Roman" w:eastAsia="宋体" w:cs="Times New Roman"/>
                <w:b w:val="0"/>
                <w:bCs w:val="0"/>
                <w:color w:val="000000"/>
                <w:sz w:val="24"/>
              </w:rPr>
              <w:t>《排污许可证申请与核发技术规范 工业噪声》（HJ 1301-2023），本项目噪声监测要求见下表。</w:t>
            </w:r>
          </w:p>
          <w:p w14:paraId="1292EFA2">
            <w:pPr>
              <w:pStyle w:val="2"/>
              <w:ind w:left="0" w:leftChars="0" w:firstLine="0" w:firstLineChars="0"/>
              <w:rPr>
                <w:rFonts w:hint="default"/>
              </w:rPr>
            </w:pPr>
          </w:p>
          <w:p w14:paraId="6CB2BDE9">
            <w:pPr>
              <w:keepNext w:val="0"/>
              <w:keepLines w:val="0"/>
              <w:suppressLineNumbers w:val="0"/>
              <w:tabs>
                <w:tab w:val="left" w:pos="3620"/>
              </w:tabs>
              <w:adjustRightInd w:val="0"/>
              <w:snapToGrid w:val="0"/>
              <w:spacing w:before="0" w:beforeAutospacing="0" w:after="0" w:afterAutospacing="0" w:line="440" w:lineRule="exact"/>
              <w:ind w:left="0" w:right="0" w:firstLine="480" w:firstLineChars="200"/>
              <w:rPr>
                <w:rFonts w:hint="default" w:ascii="Times New Roman" w:hAnsi="Times New Roman" w:eastAsia="黑体" w:cs="Times New Roman"/>
                <w:b w:val="0"/>
                <w:bCs/>
                <w:color w:val="auto"/>
                <w:spacing w:val="0"/>
                <w:kern w:val="0"/>
                <w:sz w:val="24"/>
              </w:rPr>
            </w:pPr>
            <w:r>
              <w:rPr>
                <w:rFonts w:hint="default" w:ascii="Times New Roman" w:hAnsi="Times New Roman" w:eastAsia="黑体" w:cs="Times New Roman"/>
                <w:b w:val="0"/>
                <w:bCs/>
                <w:color w:val="auto"/>
                <w:spacing w:val="0"/>
                <w:kern w:val="0"/>
                <w:sz w:val="24"/>
                <w:szCs w:val="24"/>
              </w:rPr>
              <w:t>表</w:t>
            </w:r>
            <w:r>
              <w:rPr>
                <w:rFonts w:hint="default" w:ascii="Times New Roman" w:hAnsi="Times New Roman" w:eastAsia="黑体" w:cs="Times New Roman"/>
                <w:b w:val="0"/>
                <w:bCs/>
                <w:color w:val="auto"/>
                <w:spacing w:val="0"/>
                <w:kern w:val="0"/>
                <w:sz w:val="24"/>
                <w:szCs w:val="24"/>
                <w:lang w:val="en-US" w:eastAsia="zh-CN"/>
              </w:rPr>
              <w:t>4-</w:t>
            </w:r>
            <w:r>
              <w:rPr>
                <w:rFonts w:hint="eastAsia" w:eastAsia="黑体" w:cs="Times New Roman"/>
                <w:b w:val="0"/>
                <w:bCs/>
                <w:color w:val="auto"/>
                <w:spacing w:val="0"/>
                <w:kern w:val="0"/>
                <w:sz w:val="24"/>
                <w:szCs w:val="24"/>
                <w:lang w:val="en-US" w:eastAsia="zh-CN"/>
              </w:rPr>
              <w:t>6</w:t>
            </w:r>
            <w:r>
              <w:rPr>
                <w:rFonts w:hint="default" w:ascii="Times New Roman" w:hAnsi="Times New Roman" w:eastAsia="黑体" w:cs="Times New Roman"/>
                <w:b w:val="0"/>
                <w:bCs/>
                <w:color w:val="auto"/>
                <w:spacing w:val="0"/>
                <w:kern w:val="0"/>
                <w:sz w:val="24"/>
                <w:szCs w:val="24"/>
              </w:rPr>
              <w:t xml:space="preserve">                本项目噪声监测要求</w:t>
            </w:r>
          </w:p>
          <w:tbl>
            <w:tblPr>
              <w:tblStyle w:val="25"/>
              <w:tblW w:w="814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2"/>
              <w:gridCol w:w="1781"/>
              <w:gridCol w:w="1957"/>
              <w:gridCol w:w="2620"/>
            </w:tblGrid>
            <w:tr w14:paraId="3C681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exact"/>
              </w:trPr>
              <w:tc>
                <w:tcPr>
                  <w:tcW w:w="1782" w:type="dxa"/>
                  <w:noWrap/>
                  <w:vAlign w:val="center"/>
                </w:tcPr>
                <w:p w14:paraId="2DAD82C6">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color w:val="auto"/>
                      <w:spacing w:val="0"/>
                      <w:kern w:val="0"/>
                      <w:sz w:val="21"/>
                      <w:szCs w:val="21"/>
                      <w:highlight w:val="none"/>
                      <w:lang w:val="en-US" w:eastAsia="zh-CN"/>
                    </w:rPr>
                  </w:pPr>
                  <w:r>
                    <w:rPr>
                      <w:rFonts w:hint="eastAsia" w:ascii="Times New Roman" w:hAnsi="Times New Roman" w:eastAsia="宋体" w:cs="Times New Roman"/>
                      <w:b w:val="0"/>
                      <w:bCs/>
                      <w:color w:val="auto"/>
                      <w:spacing w:val="0"/>
                      <w:kern w:val="0"/>
                      <w:sz w:val="21"/>
                      <w:szCs w:val="21"/>
                      <w:highlight w:val="none"/>
                      <w:lang w:val="en-US" w:eastAsia="zh-CN"/>
                    </w:rPr>
                    <w:t>污染物</w:t>
                  </w:r>
                </w:p>
              </w:tc>
              <w:tc>
                <w:tcPr>
                  <w:tcW w:w="1781" w:type="dxa"/>
                  <w:noWrap/>
                  <w:vAlign w:val="center"/>
                </w:tcPr>
                <w:p w14:paraId="4E85A96C">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color w:val="auto"/>
                      <w:spacing w:val="0"/>
                      <w:kern w:val="0"/>
                      <w:sz w:val="21"/>
                      <w:szCs w:val="21"/>
                      <w:highlight w:val="none"/>
                      <w:lang w:val="en-US" w:eastAsia="zh-CN"/>
                    </w:rPr>
                  </w:pPr>
                  <w:r>
                    <w:rPr>
                      <w:rFonts w:hint="eastAsia" w:ascii="Times New Roman" w:hAnsi="Times New Roman" w:eastAsia="宋体" w:cs="Times New Roman"/>
                      <w:b w:val="0"/>
                      <w:bCs/>
                      <w:color w:val="auto"/>
                      <w:spacing w:val="0"/>
                      <w:kern w:val="0"/>
                      <w:sz w:val="21"/>
                      <w:szCs w:val="21"/>
                      <w:highlight w:val="none"/>
                      <w:lang w:val="en-US" w:eastAsia="zh-CN"/>
                    </w:rPr>
                    <w:t>监测点位</w:t>
                  </w:r>
                </w:p>
              </w:tc>
              <w:tc>
                <w:tcPr>
                  <w:tcW w:w="1957" w:type="dxa"/>
                  <w:noWrap/>
                  <w:vAlign w:val="center"/>
                </w:tcPr>
                <w:p w14:paraId="279FA6D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color w:val="auto"/>
                      <w:spacing w:val="0"/>
                      <w:kern w:val="0"/>
                      <w:sz w:val="21"/>
                      <w:szCs w:val="21"/>
                      <w:highlight w:val="none"/>
                      <w:lang w:val="en-US" w:eastAsia="zh-CN"/>
                    </w:rPr>
                  </w:pPr>
                  <w:r>
                    <w:rPr>
                      <w:rFonts w:hint="eastAsia" w:ascii="Times New Roman" w:hAnsi="Times New Roman" w:eastAsia="宋体" w:cs="Times New Roman"/>
                      <w:b w:val="0"/>
                      <w:bCs/>
                      <w:color w:val="auto"/>
                      <w:spacing w:val="0"/>
                      <w:kern w:val="0"/>
                      <w:sz w:val="21"/>
                      <w:szCs w:val="21"/>
                      <w:highlight w:val="none"/>
                      <w:lang w:val="en-US" w:eastAsia="zh-CN"/>
                    </w:rPr>
                    <w:t>监测因子</w:t>
                  </w:r>
                </w:p>
              </w:tc>
              <w:tc>
                <w:tcPr>
                  <w:tcW w:w="2620" w:type="dxa"/>
                  <w:noWrap/>
                  <w:vAlign w:val="center"/>
                </w:tcPr>
                <w:p w14:paraId="11F19369">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color w:val="auto"/>
                      <w:spacing w:val="0"/>
                      <w:kern w:val="0"/>
                      <w:sz w:val="21"/>
                      <w:szCs w:val="21"/>
                      <w:highlight w:val="none"/>
                      <w:lang w:val="en-US" w:eastAsia="zh-CN"/>
                    </w:rPr>
                  </w:pPr>
                  <w:r>
                    <w:rPr>
                      <w:rFonts w:hint="eastAsia" w:ascii="Times New Roman" w:hAnsi="Times New Roman" w:eastAsia="宋体" w:cs="Times New Roman"/>
                      <w:b w:val="0"/>
                      <w:bCs/>
                      <w:color w:val="auto"/>
                      <w:spacing w:val="0"/>
                      <w:kern w:val="0"/>
                      <w:sz w:val="21"/>
                      <w:szCs w:val="21"/>
                      <w:highlight w:val="none"/>
                      <w:lang w:val="en-US" w:eastAsia="zh-CN"/>
                    </w:rPr>
                    <w:t>监测频率</w:t>
                  </w:r>
                </w:p>
              </w:tc>
            </w:tr>
            <w:tr w14:paraId="0E478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exact"/>
              </w:trPr>
              <w:tc>
                <w:tcPr>
                  <w:tcW w:w="1782" w:type="dxa"/>
                  <w:noWrap/>
                  <w:vAlign w:val="center"/>
                </w:tcPr>
                <w:p w14:paraId="53F66DDF">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color w:val="auto"/>
                      <w:spacing w:val="0"/>
                      <w:kern w:val="0"/>
                      <w:sz w:val="21"/>
                      <w:szCs w:val="21"/>
                      <w:highlight w:val="none"/>
                      <w:lang w:val="en-US" w:eastAsia="zh-CN"/>
                    </w:rPr>
                  </w:pPr>
                  <w:r>
                    <w:rPr>
                      <w:rFonts w:hint="eastAsia" w:ascii="Times New Roman" w:hAnsi="Times New Roman" w:eastAsia="宋体" w:cs="Times New Roman"/>
                      <w:b w:val="0"/>
                      <w:bCs/>
                      <w:color w:val="auto"/>
                      <w:spacing w:val="0"/>
                      <w:kern w:val="0"/>
                      <w:sz w:val="21"/>
                      <w:szCs w:val="21"/>
                      <w:highlight w:val="none"/>
                      <w:lang w:val="en-US" w:eastAsia="zh-CN"/>
                    </w:rPr>
                    <w:t>噪声</w:t>
                  </w:r>
                </w:p>
              </w:tc>
              <w:tc>
                <w:tcPr>
                  <w:tcW w:w="1781" w:type="dxa"/>
                  <w:noWrap/>
                  <w:vAlign w:val="center"/>
                </w:tcPr>
                <w:p w14:paraId="4A552945">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color w:val="auto"/>
                      <w:spacing w:val="0"/>
                      <w:kern w:val="0"/>
                      <w:sz w:val="21"/>
                      <w:szCs w:val="21"/>
                      <w:highlight w:val="none"/>
                      <w:lang w:val="en-GB" w:eastAsia="zh-CN"/>
                    </w:rPr>
                  </w:pPr>
                  <w:r>
                    <w:rPr>
                      <w:rFonts w:hint="eastAsia" w:ascii="Times New Roman" w:hAnsi="Times New Roman" w:eastAsia="宋体" w:cs="Times New Roman"/>
                      <w:b w:val="0"/>
                      <w:bCs/>
                      <w:color w:val="auto"/>
                      <w:spacing w:val="0"/>
                      <w:kern w:val="0"/>
                      <w:sz w:val="21"/>
                      <w:szCs w:val="21"/>
                      <w:highlight w:val="none"/>
                      <w:lang w:val="en-GB" w:eastAsia="zh-CN"/>
                    </w:rPr>
                    <w:t>厂界四周外1米</w:t>
                  </w:r>
                </w:p>
              </w:tc>
              <w:tc>
                <w:tcPr>
                  <w:tcW w:w="1957" w:type="dxa"/>
                  <w:noWrap/>
                  <w:vAlign w:val="center"/>
                </w:tcPr>
                <w:p w14:paraId="44C943B7">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color w:val="auto"/>
                      <w:spacing w:val="0"/>
                      <w:kern w:val="0"/>
                      <w:sz w:val="21"/>
                      <w:szCs w:val="21"/>
                      <w:highlight w:val="none"/>
                      <w:lang w:val="en-GB" w:eastAsia="zh-CN"/>
                    </w:rPr>
                  </w:pPr>
                  <w:r>
                    <w:rPr>
                      <w:rFonts w:hint="eastAsia" w:ascii="Times New Roman" w:hAnsi="Times New Roman" w:eastAsia="宋体" w:cs="Times New Roman"/>
                      <w:b w:val="0"/>
                      <w:bCs/>
                      <w:color w:val="auto"/>
                      <w:spacing w:val="0"/>
                      <w:kern w:val="0"/>
                      <w:sz w:val="21"/>
                      <w:szCs w:val="21"/>
                      <w:highlight w:val="none"/>
                      <w:lang w:val="en-GB" w:eastAsia="zh-CN"/>
                    </w:rPr>
                    <w:t>等效连续A声级</w:t>
                  </w:r>
                </w:p>
              </w:tc>
              <w:tc>
                <w:tcPr>
                  <w:tcW w:w="2620" w:type="dxa"/>
                  <w:noWrap/>
                  <w:vAlign w:val="center"/>
                </w:tcPr>
                <w:p w14:paraId="422E5DA3">
                  <w:pPr>
                    <w:keepNext w:val="0"/>
                    <w:keepLines w:val="0"/>
                    <w:pageBreakBefore w:val="0"/>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firstLine="0" w:firstLineChars="0"/>
                    <w:jc w:val="center"/>
                    <w:rPr>
                      <w:rFonts w:hint="eastAsia" w:ascii="Times New Roman" w:hAnsi="Times New Roman" w:eastAsia="宋体" w:cs="Times New Roman"/>
                      <w:b w:val="0"/>
                      <w:bCs/>
                      <w:color w:val="auto"/>
                      <w:spacing w:val="0"/>
                      <w:kern w:val="0"/>
                      <w:sz w:val="21"/>
                      <w:szCs w:val="21"/>
                      <w:highlight w:val="none"/>
                      <w:lang w:val="en-GB" w:eastAsia="zh-CN"/>
                    </w:rPr>
                  </w:pPr>
                  <w:r>
                    <w:rPr>
                      <w:rFonts w:hint="eastAsia" w:ascii="Times New Roman" w:hAnsi="Times New Roman" w:eastAsia="宋体" w:cs="Times New Roman"/>
                      <w:b w:val="0"/>
                      <w:bCs/>
                      <w:color w:val="auto"/>
                      <w:spacing w:val="0"/>
                      <w:kern w:val="0"/>
                      <w:sz w:val="21"/>
                      <w:szCs w:val="21"/>
                      <w:highlight w:val="none"/>
                      <w:lang w:val="en-GB" w:eastAsia="zh-CN"/>
                    </w:rPr>
                    <w:t>每季度</w:t>
                  </w:r>
                  <w:r>
                    <w:rPr>
                      <w:rFonts w:hint="eastAsia" w:ascii="Times New Roman" w:hAnsi="Times New Roman" w:eastAsia="宋体" w:cs="Times New Roman"/>
                      <w:b w:val="0"/>
                      <w:bCs/>
                      <w:color w:val="auto"/>
                      <w:spacing w:val="0"/>
                      <w:kern w:val="0"/>
                      <w:sz w:val="21"/>
                      <w:szCs w:val="21"/>
                      <w:highlight w:val="none"/>
                      <w:lang w:val="en-US" w:eastAsia="zh-CN"/>
                    </w:rPr>
                    <w:t>一</w:t>
                  </w:r>
                  <w:r>
                    <w:rPr>
                      <w:rFonts w:hint="eastAsia" w:ascii="Times New Roman" w:hAnsi="Times New Roman" w:eastAsia="宋体" w:cs="Times New Roman"/>
                      <w:b w:val="0"/>
                      <w:bCs/>
                      <w:color w:val="auto"/>
                      <w:spacing w:val="0"/>
                      <w:kern w:val="0"/>
                      <w:sz w:val="21"/>
                      <w:szCs w:val="21"/>
                      <w:highlight w:val="none"/>
                      <w:lang w:val="en-GB" w:eastAsia="zh-CN"/>
                    </w:rPr>
                    <w:t>次</w:t>
                  </w:r>
                </w:p>
              </w:tc>
            </w:tr>
          </w:tbl>
          <w:p w14:paraId="50D143B7">
            <w:pPr>
              <w:spacing w:line="460" w:lineRule="exact"/>
              <w:ind w:firstLine="482" w:firstLineChars="200"/>
              <w:jc w:val="left"/>
              <w:rPr>
                <w:rFonts w:hint="eastAsia" w:ascii="Times New Roman" w:hAnsi="Times New Roman" w:eastAsia="宋体" w:cs="Times New Roman"/>
                <w:b/>
                <w:color w:val="auto"/>
                <w:sz w:val="24"/>
              </w:rPr>
            </w:pPr>
            <w:r>
              <w:rPr>
                <w:rFonts w:hint="eastAsia" w:cs="Times New Roman"/>
                <w:b/>
                <w:color w:val="auto"/>
                <w:sz w:val="24"/>
                <w:lang w:val="en-US" w:eastAsia="zh-CN"/>
              </w:rPr>
              <w:t>三</w:t>
            </w:r>
            <w:r>
              <w:rPr>
                <w:rFonts w:hint="eastAsia" w:ascii="Times New Roman" w:hAnsi="Times New Roman" w:eastAsia="宋体" w:cs="Times New Roman"/>
                <w:b/>
                <w:color w:val="auto"/>
                <w:sz w:val="24"/>
                <w:lang w:val="en-US" w:eastAsia="zh-CN"/>
              </w:rPr>
              <w:t>、</w:t>
            </w:r>
            <w:r>
              <w:rPr>
                <w:rFonts w:hint="eastAsia" w:ascii="Times New Roman" w:hAnsi="Times New Roman" w:eastAsia="宋体" w:cs="Times New Roman"/>
                <w:b/>
                <w:color w:val="auto"/>
                <w:sz w:val="24"/>
              </w:rPr>
              <w:t>固废</w:t>
            </w:r>
          </w:p>
          <w:p w14:paraId="0551AE65">
            <w:pPr>
              <w:keepNext w:val="0"/>
              <w:keepLines w:val="0"/>
              <w:pageBreakBefore w:val="0"/>
              <w:widowControl w:val="0"/>
              <w:kinsoku/>
              <w:wordWrap/>
              <w:overflowPunct/>
              <w:topLinePunct w:val="0"/>
              <w:autoSpaceDE w:val="0"/>
              <w:autoSpaceDN w:val="0"/>
              <w:bidi w:val="0"/>
              <w:adjustRightInd/>
              <w:snapToGrid/>
              <w:spacing w:line="520" w:lineRule="exact"/>
              <w:ind w:left="0" w:leftChars="0" w:firstLine="480" w:firstLineChars="200"/>
              <w:textAlignment w:val="auto"/>
              <w:rPr>
                <w:color w:val="auto"/>
                <w:sz w:val="24"/>
                <w:szCs w:val="24"/>
              </w:rPr>
            </w:pPr>
            <w:r>
              <w:rPr>
                <w:rFonts w:hint="eastAsia"/>
                <w:color w:val="auto"/>
                <w:sz w:val="24"/>
              </w:rPr>
              <w:t>本项目运营期固体废物包括一般固废和危险废物。一般固废主要为</w:t>
            </w:r>
            <w:r>
              <w:rPr>
                <w:rFonts w:hint="eastAsia"/>
                <w:color w:val="auto"/>
                <w:sz w:val="24"/>
                <w:lang w:eastAsia="zh-CN"/>
              </w:rPr>
              <w:t>不合格产品、废边角料、废包装膜</w:t>
            </w:r>
            <w:r>
              <w:rPr>
                <w:rFonts w:hint="eastAsia"/>
                <w:color w:val="auto"/>
                <w:sz w:val="24"/>
                <w:szCs w:val="24"/>
              </w:rPr>
              <w:t>；</w:t>
            </w:r>
            <w:r>
              <w:rPr>
                <w:rFonts w:hint="eastAsia"/>
                <w:color w:val="auto"/>
                <w:sz w:val="24"/>
              </w:rPr>
              <w:t>危险废物为</w:t>
            </w:r>
            <w:r>
              <w:rPr>
                <w:rFonts w:hint="eastAsia"/>
                <w:color w:val="auto"/>
                <w:sz w:val="24"/>
                <w:lang w:eastAsia="zh-CN"/>
              </w:rPr>
              <w:t>废切削液</w:t>
            </w:r>
            <w:r>
              <w:rPr>
                <w:rFonts w:hint="eastAsia"/>
                <w:color w:val="auto"/>
                <w:sz w:val="24"/>
                <w:szCs w:val="24"/>
              </w:rPr>
              <w:t>。</w:t>
            </w:r>
          </w:p>
          <w:p w14:paraId="632556AB">
            <w:pPr>
              <w:keepNext w:val="0"/>
              <w:keepLines w:val="0"/>
              <w:pageBreakBefore w:val="0"/>
              <w:widowControl w:val="0"/>
              <w:kinsoku/>
              <w:wordWrap/>
              <w:overflowPunct/>
              <w:topLinePunct w:val="0"/>
              <w:bidi w:val="0"/>
              <w:adjustRightInd w:val="0"/>
              <w:snapToGrid w:val="0"/>
              <w:spacing w:line="520" w:lineRule="exact"/>
              <w:ind w:left="0" w:leftChars="0" w:firstLine="480" w:firstLineChars="200"/>
              <w:textAlignment w:val="auto"/>
              <w:rPr>
                <w:b w:val="0"/>
                <w:bCs w:val="0"/>
                <w:color w:val="auto"/>
                <w:sz w:val="24"/>
                <w:szCs w:val="24"/>
                <w:u w:val="none"/>
              </w:rPr>
            </w:pPr>
            <w:r>
              <w:rPr>
                <w:rFonts w:hint="eastAsia"/>
                <w:b w:val="0"/>
                <w:bCs w:val="0"/>
                <w:color w:val="auto"/>
                <w:sz w:val="24"/>
                <w:szCs w:val="24"/>
                <w:u w:val="none"/>
              </w:rPr>
              <w:t>1、一般固体废物：</w:t>
            </w:r>
          </w:p>
          <w:p w14:paraId="3FD6398C">
            <w:pPr>
              <w:keepNext w:val="0"/>
              <w:keepLines w:val="0"/>
              <w:pageBreakBefore w:val="0"/>
              <w:widowControl w:val="0"/>
              <w:kinsoku/>
              <w:wordWrap/>
              <w:overflowPunct/>
              <w:topLinePunct w:val="0"/>
              <w:autoSpaceDE w:val="0"/>
              <w:autoSpaceDN w:val="0"/>
              <w:bidi w:val="0"/>
              <w:adjustRightInd/>
              <w:snapToGrid/>
              <w:spacing w:line="520" w:lineRule="exact"/>
              <w:ind w:left="0" w:leftChars="0" w:firstLine="480" w:firstLineChars="200"/>
              <w:textAlignment w:val="auto"/>
              <w:rPr>
                <w:rFonts w:hint="eastAsia" w:eastAsia="宋体"/>
                <w:b w:val="0"/>
                <w:bCs w:val="0"/>
                <w:color w:val="auto"/>
                <w:sz w:val="24"/>
                <w:u w:val="none"/>
                <w:lang w:eastAsia="zh-CN"/>
              </w:rPr>
            </w:pPr>
            <w:r>
              <w:rPr>
                <w:rFonts w:hint="eastAsia"/>
                <w:b w:val="0"/>
                <w:bCs w:val="0"/>
                <w:color w:val="auto"/>
                <w:sz w:val="24"/>
                <w:u w:val="none"/>
                <w:lang w:eastAsia="zh-CN"/>
              </w:rPr>
              <w:t>（</w:t>
            </w:r>
            <w:r>
              <w:rPr>
                <w:rFonts w:hint="eastAsia"/>
                <w:b w:val="0"/>
                <w:bCs w:val="0"/>
                <w:color w:val="auto"/>
                <w:sz w:val="24"/>
                <w:u w:val="none"/>
                <w:lang w:val="en-US" w:eastAsia="zh-CN"/>
              </w:rPr>
              <w:t>1</w:t>
            </w:r>
            <w:r>
              <w:rPr>
                <w:rFonts w:hint="eastAsia"/>
                <w:b w:val="0"/>
                <w:bCs w:val="0"/>
                <w:color w:val="auto"/>
                <w:sz w:val="24"/>
                <w:u w:val="none"/>
                <w:lang w:eastAsia="zh-CN"/>
              </w:rPr>
              <w:t>）不合格产品</w:t>
            </w:r>
          </w:p>
          <w:p w14:paraId="1C30F0D2">
            <w:pPr>
              <w:keepNext w:val="0"/>
              <w:keepLines w:val="0"/>
              <w:pageBreakBefore w:val="0"/>
              <w:widowControl w:val="0"/>
              <w:kinsoku/>
              <w:wordWrap/>
              <w:overflowPunct/>
              <w:topLinePunct w:val="0"/>
              <w:bidi w:val="0"/>
              <w:adjustRightInd w:val="0"/>
              <w:snapToGrid w:val="0"/>
              <w:spacing w:line="520" w:lineRule="exact"/>
              <w:ind w:left="0" w:leftChars="0" w:firstLine="480" w:firstLineChars="200"/>
              <w:textAlignment w:val="auto"/>
              <w:rPr>
                <w:rFonts w:hint="default" w:eastAsia="宋体"/>
                <w:b w:val="0"/>
                <w:bCs w:val="0"/>
                <w:color w:val="auto"/>
                <w:sz w:val="24"/>
                <w:szCs w:val="24"/>
                <w:u w:val="none"/>
                <w:lang w:val="en-US" w:eastAsia="zh-CN"/>
              </w:rPr>
            </w:pPr>
            <w:r>
              <w:rPr>
                <w:rFonts w:hint="eastAsia"/>
                <w:b w:val="0"/>
                <w:bCs w:val="0"/>
                <w:color w:val="auto"/>
                <w:sz w:val="24"/>
                <w:szCs w:val="24"/>
                <w:u w:val="none"/>
                <w:lang w:eastAsia="zh-CN"/>
              </w:rPr>
              <w:t>本项目原料检验、三坐标检测工序会产生不合格产品</w:t>
            </w:r>
            <w:r>
              <w:rPr>
                <w:rFonts w:hint="eastAsia"/>
                <w:b w:val="0"/>
                <w:bCs w:val="0"/>
                <w:color w:val="auto"/>
                <w:sz w:val="24"/>
                <w:szCs w:val="24"/>
                <w:u w:val="none"/>
                <w:lang w:val="en-US" w:eastAsia="zh-CN"/>
              </w:rPr>
              <w:t>，不合格产品的产生量为原料用量的1%，本项目碳钢板、不锈钢板、焊接毛坯年用量合计910t/a，项目产生不合格产品约9.1t/a，属于一般固废，集中收集后外售。</w:t>
            </w:r>
          </w:p>
          <w:p w14:paraId="33455937">
            <w:pPr>
              <w:keepNext w:val="0"/>
              <w:keepLines w:val="0"/>
              <w:pageBreakBefore w:val="0"/>
              <w:widowControl w:val="0"/>
              <w:kinsoku/>
              <w:wordWrap/>
              <w:overflowPunct/>
              <w:topLinePunct w:val="0"/>
              <w:bidi w:val="0"/>
              <w:adjustRightInd w:val="0"/>
              <w:snapToGrid w:val="0"/>
              <w:spacing w:line="520" w:lineRule="exact"/>
              <w:ind w:left="0" w:leftChars="0" w:firstLine="480" w:firstLineChars="200"/>
              <w:textAlignment w:val="auto"/>
              <w:rPr>
                <w:rFonts w:hint="eastAsia"/>
                <w:b w:val="0"/>
                <w:bCs w:val="0"/>
                <w:color w:val="auto"/>
                <w:sz w:val="24"/>
                <w:szCs w:val="24"/>
                <w:u w:val="none"/>
              </w:rPr>
            </w:pPr>
            <w:r>
              <w:rPr>
                <w:rFonts w:hint="eastAsia"/>
                <w:b w:val="0"/>
                <w:bCs w:val="0"/>
                <w:color w:val="auto"/>
                <w:sz w:val="24"/>
                <w:szCs w:val="24"/>
                <w:u w:val="none"/>
              </w:rPr>
              <w:t>（</w:t>
            </w:r>
            <w:r>
              <w:rPr>
                <w:rFonts w:hint="eastAsia"/>
                <w:b w:val="0"/>
                <w:bCs w:val="0"/>
                <w:color w:val="auto"/>
                <w:sz w:val="24"/>
                <w:szCs w:val="24"/>
                <w:u w:val="none"/>
                <w:lang w:val="en-US" w:eastAsia="zh-CN"/>
              </w:rPr>
              <w:t>2</w:t>
            </w:r>
            <w:r>
              <w:rPr>
                <w:rFonts w:hint="eastAsia"/>
                <w:b w:val="0"/>
                <w:bCs w:val="0"/>
                <w:color w:val="auto"/>
                <w:sz w:val="24"/>
                <w:szCs w:val="24"/>
                <w:u w:val="none"/>
              </w:rPr>
              <w:t>）废边角料</w:t>
            </w:r>
          </w:p>
          <w:p w14:paraId="39706D1E">
            <w:pPr>
              <w:keepNext w:val="0"/>
              <w:keepLines w:val="0"/>
              <w:pageBreakBefore w:val="0"/>
              <w:widowControl w:val="0"/>
              <w:kinsoku/>
              <w:wordWrap/>
              <w:overflowPunct/>
              <w:topLinePunct w:val="0"/>
              <w:bidi w:val="0"/>
              <w:adjustRightInd w:val="0"/>
              <w:snapToGrid w:val="0"/>
              <w:spacing w:line="520" w:lineRule="exact"/>
              <w:ind w:left="0" w:leftChars="0" w:firstLine="480" w:firstLineChars="200"/>
              <w:textAlignment w:val="auto"/>
              <w:rPr>
                <w:b w:val="0"/>
                <w:bCs w:val="0"/>
                <w:color w:val="auto"/>
                <w:sz w:val="24"/>
                <w:szCs w:val="24"/>
                <w:u w:val="none"/>
              </w:rPr>
            </w:pPr>
            <w:r>
              <w:rPr>
                <w:b w:val="0"/>
                <w:bCs w:val="0"/>
                <w:color w:val="auto"/>
                <w:sz w:val="24"/>
                <w:szCs w:val="24"/>
                <w:u w:val="none"/>
              </w:rPr>
              <w:t>项目在</w:t>
            </w:r>
            <w:r>
              <w:rPr>
                <w:rFonts w:hint="eastAsia"/>
                <w:b w:val="0"/>
                <w:bCs w:val="0"/>
                <w:color w:val="auto"/>
                <w:sz w:val="24"/>
                <w:szCs w:val="24"/>
                <w:u w:val="none"/>
                <w:lang w:eastAsia="zh-CN"/>
              </w:rPr>
              <w:t>粗、半精、精加工工序</w:t>
            </w:r>
            <w:r>
              <w:rPr>
                <w:b w:val="0"/>
                <w:bCs w:val="0"/>
                <w:color w:val="auto"/>
                <w:sz w:val="24"/>
                <w:szCs w:val="24"/>
                <w:u w:val="none"/>
              </w:rPr>
              <w:t>切割过程中会产生废边角料，产生量为</w:t>
            </w:r>
            <w:r>
              <w:rPr>
                <w:rFonts w:hint="eastAsia"/>
                <w:b w:val="0"/>
                <w:bCs w:val="0"/>
                <w:color w:val="auto"/>
                <w:sz w:val="24"/>
                <w:szCs w:val="24"/>
                <w:u w:val="none"/>
                <w:lang w:val="en-US" w:eastAsia="zh-CN"/>
              </w:rPr>
              <w:t>约</w:t>
            </w:r>
            <w:r>
              <w:rPr>
                <w:b w:val="0"/>
                <w:bCs w:val="0"/>
                <w:color w:val="auto"/>
                <w:sz w:val="24"/>
                <w:szCs w:val="24"/>
                <w:u w:val="none"/>
              </w:rPr>
              <w:t>占原料用量的</w:t>
            </w:r>
            <w:r>
              <w:rPr>
                <w:rFonts w:hint="eastAsia"/>
                <w:b w:val="0"/>
                <w:bCs w:val="0"/>
                <w:color w:val="auto"/>
                <w:sz w:val="24"/>
                <w:szCs w:val="24"/>
                <w:u w:val="none"/>
                <w:lang w:val="en-US" w:eastAsia="zh-CN"/>
              </w:rPr>
              <w:t>1</w:t>
            </w:r>
            <w:r>
              <w:rPr>
                <w:rFonts w:hint="default" w:ascii="Times New Roman" w:hAnsi="Times New Roman" w:cs="Times New Roman"/>
                <w:b w:val="0"/>
                <w:bCs w:val="0"/>
                <w:color w:val="auto"/>
                <w:sz w:val="24"/>
                <w:szCs w:val="24"/>
                <w:u w:val="none"/>
                <w:lang w:val="en-US" w:eastAsia="zh-CN"/>
              </w:rPr>
              <w:t>‰</w:t>
            </w:r>
            <w:r>
              <w:rPr>
                <w:b w:val="0"/>
                <w:bCs w:val="0"/>
                <w:color w:val="auto"/>
                <w:sz w:val="24"/>
                <w:szCs w:val="24"/>
                <w:u w:val="none"/>
              </w:rPr>
              <w:t>，</w:t>
            </w:r>
            <w:r>
              <w:rPr>
                <w:rFonts w:hint="eastAsia"/>
                <w:b w:val="0"/>
                <w:bCs w:val="0"/>
                <w:color w:val="auto"/>
                <w:sz w:val="24"/>
                <w:szCs w:val="24"/>
                <w:u w:val="none"/>
              </w:rPr>
              <w:t>约为</w:t>
            </w:r>
            <w:r>
              <w:rPr>
                <w:rFonts w:hint="eastAsia"/>
                <w:b w:val="0"/>
                <w:bCs w:val="0"/>
                <w:color w:val="auto"/>
                <w:sz w:val="24"/>
                <w:szCs w:val="24"/>
                <w:u w:val="none"/>
                <w:lang w:val="en-US" w:eastAsia="zh-CN"/>
              </w:rPr>
              <w:t>0.91</w:t>
            </w:r>
            <w:r>
              <w:rPr>
                <w:rFonts w:hint="eastAsia"/>
                <w:b w:val="0"/>
                <w:bCs w:val="0"/>
                <w:color w:val="auto"/>
                <w:sz w:val="24"/>
                <w:szCs w:val="24"/>
                <w:u w:val="none"/>
              </w:rPr>
              <w:t>t/a。废</w:t>
            </w:r>
            <w:r>
              <w:rPr>
                <w:b w:val="0"/>
                <w:bCs w:val="0"/>
                <w:color w:val="auto"/>
                <w:sz w:val="24"/>
                <w:szCs w:val="24"/>
                <w:u w:val="none"/>
              </w:rPr>
              <w:t>边角料经收集后定期外售。</w:t>
            </w:r>
          </w:p>
          <w:p w14:paraId="62920F75">
            <w:pPr>
              <w:keepNext w:val="0"/>
              <w:keepLines w:val="0"/>
              <w:pageBreakBefore w:val="0"/>
              <w:widowControl w:val="0"/>
              <w:kinsoku/>
              <w:wordWrap/>
              <w:overflowPunct/>
              <w:topLinePunct w:val="0"/>
              <w:bidi w:val="0"/>
              <w:adjustRightInd w:val="0"/>
              <w:snapToGrid w:val="0"/>
              <w:spacing w:line="520" w:lineRule="exact"/>
              <w:ind w:left="0" w:leftChars="0" w:firstLine="480" w:firstLineChars="200"/>
              <w:textAlignment w:val="auto"/>
              <w:rPr>
                <w:rFonts w:hint="eastAsia" w:eastAsia="宋体"/>
                <w:b w:val="0"/>
                <w:bCs w:val="0"/>
                <w:color w:val="auto"/>
                <w:sz w:val="24"/>
                <w:szCs w:val="24"/>
                <w:u w:val="none"/>
                <w:lang w:val="en-US" w:eastAsia="zh-CN"/>
              </w:rPr>
            </w:pPr>
            <w:r>
              <w:rPr>
                <w:rFonts w:hint="eastAsia"/>
                <w:b w:val="0"/>
                <w:bCs w:val="0"/>
                <w:color w:val="auto"/>
                <w:sz w:val="24"/>
                <w:szCs w:val="24"/>
                <w:u w:val="none"/>
              </w:rPr>
              <w:t>（</w:t>
            </w:r>
            <w:r>
              <w:rPr>
                <w:rFonts w:hint="eastAsia"/>
                <w:b w:val="0"/>
                <w:bCs w:val="0"/>
                <w:color w:val="auto"/>
                <w:sz w:val="24"/>
                <w:szCs w:val="24"/>
                <w:u w:val="none"/>
                <w:lang w:val="en-US" w:eastAsia="zh-CN"/>
              </w:rPr>
              <w:t>3</w:t>
            </w:r>
            <w:r>
              <w:rPr>
                <w:rFonts w:hint="eastAsia"/>
                <w:b w:val="0"/>
                <w:bCs w:val="0"/>
                <w:color w:val="auto"/>
                <w:sz w:val="24"/>
                <w:szCs w:val="24"/>
                <w:u w:val="none"/>
              </w:rPr>
              <w:t>）</w:t>
            </w:r>
            <w:r>
              <w:rPr>
                <w:rFonts w:hint="eastAsia"/>
                <w:b w:val="0"/>
                <w:bCs w:val="0"/>
                <w:color w:val="auto"/>
                <w:sz w:val="24"/>
                <w:szCs w:val="24"/>
                <w:u w:val="none"/>
                <w:lang w:eastAsia="zh-CN"/>
              </w:rPr>
              <w:t>废包装膜</w:t>
            </w:r>
          </w:p>
          <w:p w14:paraId="075954F0">
            <w:pPr>
              <w:keepNext w:val="0"/>
              <w:keepLines w:val="0"/>
              <w:pageBreakBefore w:val="0"/>
              <w:widowControl w:val="0"/>
              <w:kinsoku/>
              <w:wordWrap/>
              <w:overflowPunct/>
              <w:topLinePunct w:val="0"/>
              <w:autoSpaceDE/>
              <w:autoSpaceDN/>
              <w:bidi w:val="0"/>
              <w:adjustRightInd w:val="0"/>
              <w:snapToGrid w:val="0"/>
              <w:spacing w:line="520" w:lineRule="exact"/>
              <w:ind w:left="0" w:leftChars="0" w:firstLine="480" w:firstLineChars="200"/>
              <w:textAlignment w:val="auto"/>
              <w:rPr>
                <w:rFonts w:hint="eastAsia"/>
                <w:b w:val="0"/>
                <w:bCs w:val="0"/>
                <w:color w:val="auto"/>
                <w:sz w:val="24"/>
                <w:szCs w:val="24"/>
                <w:u w:val="none"/>
              </w:rPr>
            </w:pPr>
            <w:r>
              <w:rPr>
                <w:rFonts w:hint="eastAsia"/>
                <w:b w:val="0"/>
                <w:bCs w:val="0"/>
                <w:color w:val="auto"/>
                <w:sz w:val="24"/>
                <w:szCs w:val="24"/>
                <w:u w:val="none"/>
              </w:rPr>
              <w:t>本项目在</w:t>
            </w:r>
            <w:r>
              <w:rPr>
                <w:rFonts w:hint="eastAsia"/>
                <w:b w:val="0"/>
                <w:bCs w:val="0"/>
                <w:color w:val="auto"/>
                <w:sz w:val="24"/>
                <w:u w:val="none"/>
                <w:lang w:eastAsia="zh-CN"/>
              </w:rPr>
              <w:t>真空包装会产生废包装膜，包装膜年使用量为</w:t>
            </w:r>
            <w:r>
              <w:rPr>
                <w:rFonts w:hint="eastAsia"/>
                <w:b w:val="0"/>
                <w:bCs w:val="0"/>
                <w:color w:val="auto"/>
                <w:sz w:val="24"/>
                <w:u w:val="none"/>
                <w:lang w:val="en-US" w:eastAsia="zh-CN"/>
              </w:rPr>
              <w:t>0.1t/a</w:t>
            </w:r>
            <w:r>
              <w:rPr>
                <w:rFonts w:hint="eastAsia"/>
                <w:b w:val="0"/>
                <w:bCs w:val="0"/>
                <w:color w:val="auto"/>
                <w:sz w:val="24"/>
                <w:szCs w:val="24"/>
                <w:u w:val="none"/>
                <w:lang w:eastAsia="zh-CN"/>
              </w:rPr>
              <w:t>，则废包装膜的产生量为</w:t>
            </w:r>
            <w:r>
              <w:rPr>
                <w:rFonts w:hint="eastAsia"/>
                <w:b w:val="0"/>
                <w:bCs w:val="0"/>
                <w:color w:val="auto"/>
                <w:sz w:val="24"/>
                <w:szCs w:val="24"/>
                <w:u w:val="none"/>
                <w:lang w:val="en-US" w:eastAsia="zh-CN"/>
              </w:rPr>
              <w:t>0.003t/a</w:t>
            </w:r>
            <w:r>
              <w:rPr>
                <w:rFonts w:hint="eastAsia"/>
                <w:b w:val="0"/>
                <w:bCs w:val="0"/>
                <w:color w:val="auto"/>
                <w:sz w:val="24"/>
                <w:szCs w:val="24"/>
                <w:u w:val="none"/>
              </w:rPr>
              <w:t>，</w:t>
            </w:r>
            <w:r>
              <w:rPr>
                <w:rFonts w:hint="eastAsia"/>
                <w:b w:val="0"/>
                <w:bCs w:val="0"/>
                <w:color w:val="auto"/>
                <w:sz w:val="24"/>
                <w:szCs w:val="24"/>
                <w:u w:val="none"/>
                <w:lang w:eastAsia="zh-CN"/>
              </w:rPr>
              <w:t>经</w:t>
            </w:r>
            <w:r>
              <w:rPr>
                <w:rFonts w:hint="eastAsia"/>
                <w:b w:val="0"/>
                <w:bCs w:val="0"/>
                <w:color w:val="auto"/>
                <w:sz w:val="24"/>
                <w:szCs w:val="24"/>
                <w:u w:val="none"/>
              </w:rPr>
              <w:t>收集后</w:t>
            </w:r>
            <w:r>
              <w:rPr>
                <w:rFonts w:hint="eastAsia"/>
                <w:b w:val="0"/>
                <w:bCs w:val="0"/>
                <w:color w:val="auto"/>
                <w:sz w:val="24"/>
                <w:szCs w:val="24"/>
                <w:u w:val="none"/>
                <w:lang w:eastAsia="zh-CN"/>
              </w:rPr>
              <w:t>暂存于一般固废暂存建，定期</w:t>
            </w:r>
            <w:r>
              <w:rPr>
                <w:rFonts w:hint="eastAsia"/>
                <w:b w:val="0"/>
                <w:bCs w:val="0"/>
                <w:color w:val="auto"/>
                <w:sz w:val="24"/>
                <w:szCs w:val="24"/>
                <w:u w:val="none"/>
              </w:rPr>
              <w:t>外售。</w:t>
            </w:r>
          </w:p>
          <w:p w14:paraId="5949C03D">
            <w:pPr>
              <w:pStyle w:val="7"/>
              <w:keepNext w:val="0"/>
              <w:keepLines w:val="0"/>
              <w:pageBreakBefore w:val="0"/>
              <w:widowControl w:val="0"/>
              <w:kinsoku/>
              <w:wordWrap/>
              <w:overflowPunct/>
              <w:topLinePunct w:val="0"/>
              <w:autoSpaceDE/>
              <w:autoSpaceDN/>
              <w:bidi w:val="0"/>
              <w:spacing w:line="520" w:lineRule="exact"/>
              <w:textAlignment w:val="auto"/>
              <w:rPr>
                <w:rFonts w:hint="eastAsia"/>
                <w:b/>
                <w:bCs/>
                <w:color w:val="auto"/>
                <w:sz w:val="24"/>
              </w:rPr>
            </w:pPr>
            <w:r>
              <w:rPr>
                <w:rFonts w:hint="eastAsia" w:ascii="Times New Roman" w:hAnsi="Times New Roman" w:eastAsia="宋体" w:cs="Times New Roman"/>
                <w:b w:val="0"/>
                <w:bCs w:val="0"/>
                <w:color w:val="000000"/>
                <w:spacing w:val="0"/>
                <w:kern w:val="0"/>
                <w:sz w:val="24"/>
                <w:szCs w:val="24"/>
                <w:lang w:val="en-US" w:eastAsia="zh-CN"/>
              </w:rPr>
              <w:t>本项目新建一般固废暂存间一处（建筑面积10m</w:t>
            </w:r>
            <w:r>
              <w:rPr>
                <w:rFonts w:hint="eastAsia" w:ascii="Times New Roman" w:hAnsi="Times New Roman" w:eastAsia="宋体" w:cs="Times New Roman"/>
                <w:b w:val="0"/>
                <w:bCs w:val="0"/>
                <w:color w:val="000000"/>
                <w:spacing w:val="0"/>
                <w:kern w:val="0"/>
                <w:sz w:val="24"/>
                <w:szCs w:val="24"/>
                <w:vertAlign w:val="superscript"/>
                <w:lang w:val="en-US" w:eastAsia="zh-CN"/>
              </w:rPr>
              <w:t>2</w:t>
            </w:r>
            <w:r>
              <w:rPr>
                <w:rFonts w:hint="eastAsia" w:ascii="Times New Roman" w:hAnsi="Times New Roman" w:eastAsia="宋体" w:cs="Times New Roman"/>
                <w:b w:val="0"/>
                <w:bCs w:val="0"/>
                <w:color w:val="000000"/>
                <w:spacing w:val="0"/>
                <w:kern w:val="0"/>
                <w:sz w:val="24"/>
                <w:szCs w:val="24"/>
                <w:lang w:val="en-US" w:eastAsia="zh-CN"/>
              </w:rPr>
              <w:t>），可满足厂区一般存放需求。项目一般固废场所建设应满足《一般工业固体废物贮存和填埋污染控制标准》（GB 18599-2020）中防渗漏、防雨淋、防扬尘等环境保护要求。本项目一般固废处置应满足《中华人民共和国固体废物污染环境防治法（2020修订）》第三十七条“产生工业固体废物的单位委托他人运输、利用、处置工业固体废物的，应当对受托方的主体资格和技术能力进行核实，依法签订书面合同，在合同中约定污染防治要求”。</w:t>
            </w:r>
          </w:p>
          <w:p w14:paraId="32C91F2D">
            <w:pPr>
              <w:keepNext w:val="0"/>
              <w:keepLines w:val="0"/>
              <w:pageBreakBefore w:val="0"/>
              <w:widowControl w:val="0"/>
              <w:kinsoku/>
              <w:wordWrap/>
              <w:overflowPunct/>
              <w:topLinePunct w:val="0"/>
              <w:bidi w:val="0"/>
              <w:adjustRightInd w:val="0"/>
              <w:snapToGrid w:val="0"/>
              <w:spacing w:line="520" w:lineRule="exact"/>
              <w:ind w:left="0" w:leftChars="0" w:firstLine="480" w:firstLineChars="200"/>
              <w:textAlignment w:val="auto"/>
              <w:rPr>
                <w:color w:val="auto"/>
                <w:sz w:val="24"/>
                <w:szCs w:val="24"/>
              </w:rPr>
            </w:pPr>
            <w:r>
              <w:rPr>
                <w:rFonts w:hint="eastAsia"/>
                <w:color w:val="auto"/>
                <w:sz w:val="24"/>
                <w:szCs w:val="24"/>
              </w:rPr>
              <w:t>2、危险废物：</w:t>
            </w:r>
          </w:p>
          <w:p w14:paraId="6EBCA908">
            <w:pPr>
              <w:keepNext w:val="0"/>
              <w:keepLines w:val="0"/>
              <w:pageBreakBefore w:val="0"/>
              <w:widowControl w:val="0"/>
              <w:kinsoku/>
              <w:wordWrap/>
              <w:overflowPunct/>
              <w:topLinePunct w:val="0"/>
              <w:autoSpaceDE w:val="0"/>
              <w:autoSpaceDN w:val="0"/>
              <w:bidi w:val="0"/>
              <w:adjustRightInd/>
              <w:snapToGrid/>
              <w:spacing w:line="520" w:lineRule="exact"/>
              <w:ind w:left="0" w:leftChars="0" w:firstLine="480" w:firstLineChars="200"/>
              <w:textAlignment w:val="auto"/>
              <w:rPr>
                <w:rFonts w:hint="eastAsia"/>
                <w:b w:val="0"/>
                <w:bCs w:val="0"/>
                <w:color w:val="auto"/>
                <w:sz w:val="24"/>
                <w:szCs w:val="24"/>
                <w:highlight w:val="none"/>
                <w:u w:val="none"/>
                <w:lang w:eastAsia="zh-CN"/>
              </w:rPr>
            </w:pPr>
            <w:r>
              <w:rPr>
                <w:rFonts w:hint="eastAsia"/>
                <w:b w:val="0"/>
                <w:bCs w:val="0"/>
                <w:color w:val="auto"/>
                <w:sz w:val="24"/>
                <w:szCs w:val="24"/>
                <w:highlight w:val="none"/>
                <w:u w:val="none"/>
                <w:lang w:eastAsia="zh-CN"/>
              </w:rPr>
              <w:t>（</w:t>
            </w:r>
            <w:r>
              <w:rPr>
                <w:rFonts w:hint="eastAsia"/>
                <w:b w:val="0"/>
                <w:bCs w:val="0"/>
                <w:color w:val="auto"/>
                <w:sz w:val="24"/>
                <w:szCs w:val="24"/>
                <w:highlight w:val="none"/>
                <w:u w:val="none"/>
                <w:lang w:val="en-US" w:eastAsia="zh-CN"/>
              </w:rPr>
              <w:t>1</w:t>
            </w:r>
            <w:r>
              <w:rPr>
                <w:rFonts w:hint="eastAsia"/>
                <w:b w:val="0"/>
                <w:bCs w:val="0"/>
                <w:color w:val="auto"/>
                <w:sz w:val="24"/>
                <w:szCs w:val="24"/>
                <w:highlight w:val="none"/>
                <w:u w:val="none"/>
                <w:lang w:eastAsia="zh-CN"/>
              </w:rPr>
              <w:t>）废切削液</w:t>
            </w:r>
          </w:p>
          <w:p w14:paraId="000666A2">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0" w:firstLineChars="200"/>
              <w:jc w:val="both"/>
              <w:textAlignment w:val="auto"/>
              <w:rPr>
                <w:rFonts w:hint="eastAsia"/>
                <w:sz w:val="24"/>
                <w:highlight w:val="none"/>
                <w:lang w:val="en-US" w:eastAsia="zh-CN"/>
              </w:rPr>
            </w:pPr>
            <w:r>
              <w:rPr>
                <w:rFonts w:hint="eastAsia"/>
                <w:sz w:val="24"/>
                <w:highlight w:val="none"/>
                <w:lang w:val="en-US" w:eastAsia="zh-CN"/>
              </w:rPr>
              <w:t>本项</w:t>
            </w:r>
            <w:r>
              <w:rPr>
                <w:rFonts w:hint="eastAsia" w:ascii="Times New Roman" w:hAnsi="Times New Roman" w:eastAsia="宋体" w:cs="Times New Roman"/>
                <w:sz w:val="24"/>
                <w:highlight w:val="none"/>
                <w:lang w:val="en-US" w:eastAsia="zh-CN"/>
              </w:rPr>
              <w:t>目攻丝机、卧式加工中心等设</w:t>
            </w:r>
            <w:r>
              <w:rPr>
                <w:rFonts w:hint="eastAsia" w:cs="Times New Roman"/>
                <w:bCs/>
                <w:color w:val="000000"/>
                <w:sz w:val="24"/>
                <w:szCs w:val="24"/>
                <w:lang w:val="en-US" w:eastAsia="zh-CN"/>
              </w:rPr>
              <w:t>备机加工过程中会使用切削液，切削液循环使用，定期更换，废切削液产生量约为0.05t/a。</w:t>
            </w:r>
            <w:r>
              <w:rPr>
                <w:rFonts w:hint="eastAsia"/>
                <w:sz w:val="24"/>
                <w:highlight w:val="none"/>
                <w:lang w:val="en-US" w:eastAsia="zh-CN"/>
              </w:rPr>
              <w:t>根据《国家危险废物名录》（2025年），废切削液属于危废编号HW09“油/水、烃/水混合物或者乳化液”，代码为“900-006-09”：“使用切削油或者切削液进行机械加工过程中产生的油/水、烃/水混合物或者乳化液”，集中收集后暂存于危险废物暂存间，定期委托有资质的危废单位处置。</w:t>
            </w:r>
          </w:p>
          <w:p w14:paraId="680D6D7C">
            <w:pPr>
              <w:pStyle w:val="7"/>
              <w:keepNext w:val="0"/>
              <w:keepLines w:val="0"/>
              <w:pageBreakBefore w:val="0"/>
              <w:widowControl w:val="0"/>
              <w:kinsoku/>
              <w:wordWrap/>
              <w:overflowPunct/>
              <w:topLinePunct w:val="0"/>
              <w:autoSpaceDE/>
              <w:autoSpaceDN/>
              <w:bidi w:val="0"/>
              <w:spacing w:line="520" w:lineRule="exact"/>
              <w:textAlignment w:val="auto"/>
              <w:rPr>
                <w:rFonts w:hint="eastAsia" w:hAnsi="黑体" w:eastAsia="黑体"/>
                <w:color w:val="auto"/>
                <w:sz w:val="24"/>
              </w:rPr>
            </w:pPr>
            <w:r>
              <w:rPr>
                <w:rFonts w:hint="eastAsia" w:ascii="Times New Roman" w:hAnsi="Times New Roman" w:eastAsia="宋体" w:cs="Times New Roman"/>
                <w:b w:val="0"/>
                <w:bCs/>
                <w:snapToGrid w:val="0"/>
                <w:color w:val="000000"/>
                <w:spacing w:val="0"/>
                <w:kern w:val="0"/>
                <w:position w:val="0"/>
                <w:sz w:val="24"/>
                <w:szCs w:val="24"/>
                <w:u w:val="none"/>
                <w:lang w:val="en-US" w:eastAsia="zh-CN"/>
              </w:rPr>
              <w:t>本项目新建危废暂存间一处（建筑面积5m</w:t>
            </w:r>
            <w:r>
              <w:rPr>
                <w:rFonts w:hint="eastAsia" w:ascii="Times New Roman" w:hAnsi="Times New Roman" w:eastAsia="宋体" w:cs="Times New Roman"/>
                <w:b w:val="0"/>
                <w:bCs/>
                <w:snapToGrid w:val="0"/>
                <w:color w:val="000000"/>
                <w:spacing w:val="0"/>
                <w:kern w:val="0"/>
                <w:position w:val="0"/>
                <w:sz w:val="24"/>
                <w:szCs w:val="24"/>
                <w:u w:val="none"/>
                <w:vertAlign w:val="superscript"/>
                <w:lang w:val="en-US" w:eastAsia="zh-CN"/>
              </w:rPr>
              <w:t>2</w:t>
            </w:r>
            <w:r>
              <w:rPr>
                <w:rFonts w:hint="eastAsia" w:ascii="Times New Roman" w:hAnsi="Times New Roman" w:eastAsia="宋体" w:cs="Times New Roman"/>
                <w:b w:val="0"/>
                <w:bCs/>
                <w:snapToGrid w:val="0"/>
                <w:color w:val="000000"/>
                <w:spacing w:val="0"/>
                <w:kern w:val="0"/>
                <w:position w:val="0"/>
                <w:sz w:val="24"/>
                <w:szCs w:val="24"/>
                <w:u w:val="none"/>
                <w:lang w:val="en-US" w:eastAsia="zh-CN"/>
              </w:rPr>
              <w:t>），</w:t>
            </w:r>
            <w:r>
              <w:rPr>
                <w:rFonts w:hint="default" w:ascii="Times New Roman" w:hAnsi="Times New Roman" w:eastAsia="宋体" w:cs="Times New Roman"/>
                <w:b w:val="0"/>
                <w:bCs/>
                <w:snapToGrid w:val="0"/>
                <w:color w:val="000000"/>
                <w:spacing w:val="0"/>
                <w:kern w:val="0"/>
                <w:position w:val="0"/>
                <w:sz w:val="24"/>
                <w:szCs w:val="24"/>
                <w:u w:val="none"/>
                <w:vertAlign w:val="baseline"/>
                <w:lang w:val="en-US" w:eastAsia="zh-CN"/>
              </w:rPr>
              <w:t>可满足</w:t>
            </w:r>
            <w:r>
              <w:rPr>
                <w:rFonts w:hint="eastAsia" w:ascii="Times New Roman" w:hAnsi="Times New Roman" w:eastAsia="宋体" w:cs="Times New Roman"/>
                <w:b w:val="0"/>
                <w:bCs/>
                <w:snapToGrid w:val="0"/>
                <w:color w:val="000000"/>
                <w:spacing w:val="0"/>
                <w:kern w:val="0"/>
                <w:position w:val="0"/>
                <w:sz w:val="24"/>
                <w:szCs w:val="24"/>
                <w:u w:val="none"/>
                <w:vertAlign w:val="baseline"/>
                <w:lang w:val="en-US" w:eastAsia="zh-CN"/>
              </w:rPr>
              <w:t>危废</w:t>
            </w:r>
            <w:r>
              <w:rPr>
                <w:rFonts w:hint="default" w:ascii="Times New Roman" w:hAnsi="Times New Roman" w:eastAsia="宋体" w:cs="Times New Roman"/>
                <w:b w:val="0"/>
                <w:bCs/>
                <w:snapToGrid w:val="0"/>
                <w:color w:val="000000"/>
                <w:spacing w:val="0"/>
                <w:kern w:val="0"/>
                <w:position w:val="0"/>
                <w:sz w:val="24"/>
                <w:szCs w:val="24"/>
                <w:u w:val="none"/>
                <w:vertAlign w:val="baseline"/>
                <w:lang w:val="en-US" w:eastAsia="zh-CN"/>
              </w:rPr>
              <w:t>存放需求。</w:t>
            </w:r>
            <w:r>
              <w:rPr>
                <w:rFonts w:hint="default" w:ascii="Times New Roman" w:hAnsi="Times New Roman" w:cs="Times New Roman"/>
                <w:snapToGrid w:val="0"/>
                <w:color w:val="000000"/>
                <w:spacing w:val="0"/>
                <w:kern w:val="0"/>
                <w:position w:val="0"/>
                <w:sz w:val="24"/>
                <w:szCs w:val="24"/>
                <w:lang w:eastAsia="zh-CN"/>
              </w:rPr>
              <w:t>危废</w:t>
            </w:r>
            <w:r>
              <w:rPr>
                <w:rFonts w:hint="default" w:ascii="Times New Roman" w:hAnsi="Times New Roman" w:cs="Times New Roman"/>
                <w:snapToGrid w:val="0"/>
                <w:spacing w:val="0"/>
                <w:kern w:val="0"/>
                <w:position w:val="0"/>
                <w:sz w:val="24"/>
                <w:szCs w:val="24"/>
                <w:lang w:eastAsia="zh-CN"/>
              </w:rPr>
              <w:t>间进行地面硬化、防渗等措施，内置危废暂存桶，用于危废暂存，并委托有危险废物处理资质的单位处理。</w:t>
            </w:r>
          </w:p>
          <w:p w14:paraId="36174425">
            <w:pPr>
              <w:tabs>
                <w:tab w:val="left" w:pos="3620"/>
              </w:tabs>
              <w:adjustRightInd w:val="0"/>
              <w:snapToGrid w:val="0"/>
              <w:spacing w:line="440" w:lineRule="exact"/>
              <w:ind w:firstLine="480" w:firstLineChars="200"/>
              <w:rPr>
                <w:rFonts w:hint="eastAsia" w:hAnsi="黑体" w:eastAsia="黑体"/>
                <w:color w:val="auto"/>
                <w:sz w:val="24"/>
              </w:rPr>
            </w:pPr>
            <w:r>
              <w:rPr>
                <w:rFonts w:hint="eastAsia" w:hAnsi="黑体" w:eastAsia="黑体"/>
                <w:color w:val="auto"/>
                <w:sz w:val="24"/>
              </w:rPr>
              <w:t>表</w:t>
            </w:r>
            <w:r>
              <w:rPr>
                <w:rFonts w:hint="eastAsia" w:hAnsi="黑体" w:eastAsia="黑体"/>
                <w:color w:val="auto"/>
                <w:sz w:val="24"/>
                <w:lang w:val="en-US" w:eastAsia="zh-CN"/>
              </w:rPr>
              <w:t>4-7</w:t>
            </w:r>
            <w:r>
              <w:rPr>
                <w:rFonts w:hint="eastAsia" w:hAnsi="黑体" w:eastAsia="黑体"/>
                <w:color w:val="auto"/>
                <w:sz w:val="24"/>
              </w:rPr>
              <w:t xml:space="preserve">        </w:t>
            </w:r>
            <w:r>
              <w:rPr>
                <w:rFonts w:hint="eastAsia" w:hAnsi="黑体" w:eastAsia="黑体"/>
                <w:color w:val="auto"/>
                <w:sz w:val="24"/>
                <w:lang w:val="en-US" w:eastAsia="zh-CN"/>
              </w:rPr>
              <w:t xml:space="preserve">  </w:t>
            </w:r>
            <w:r>
              <w:rPr>
                <w:rFonts w:hint="eastAsia" w:hAnsi="黑体" w:eastAsia="黑体"/>
                <w:color w:val="auto"/>
                <w:sz w:val="24"/>
              </w:rPr>
              <w:t>固废产排情况及处理措施一览表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34"/>
              <w:gridCol w:w="1100"/>
              <w:gridCol w:w="1298"/>
              <w:gridCol w:w="1006"/>
              <w:gridCol w:w="2147"/>
              <w:gridCol w:w="1932"/>
            </w:tblGrid>
            <w:tr w14:paraId="2275ECD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34" w:type="dxa"/>
                  <w:tcBorders>
                    <w:bottom w:val="single" w:color="auto" w:sz="8" w:space="0"/>
                    <w:right w:val="single" w:color="auto" w:sz="6" w:space="0"/>
                  </w:tcBorders>
                  <w:noWrap w:val="0"/>
                  <w:tcMar>
                    <w:top w:w="0" w:type="dxa"/>
                    <w:left w:w="0" w:type="dxa"/>
                    <w:bottom w:w="0" w:type="dxa"/>
                    <w:right w:w="0" w:type="dxa"/>
                  </w:tcMar>
                  <w:vAlign w:val="center"/>
                </w:tcPr>
                <w:p w14:paraId="19A94D1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b/>
                      <w:bCs/>
                      <w:color w:val="auto"/>
                      <w:sz w:val="21"/>
                      <w:szCs w:val="21"/>
                    </w:rPr>
                  </w:pPr>
                  <w:r>
                    <w:rPr>
                      <w:rFonts w:hint="eastAsia" w:hAnsi="宋体"/>
                      <w:b/>
                      <w:bCs/>
                      <w:color w:val="auto"/>
                      <w:sz w:val="21"/>
                      <w:szCs w:val="21"/>
                    </w:rPr>
                    <w:t>序号</w:t>
                  </w:r>
                </w:p>
              </w:tc>
              <w:tc>
                <w:tcPr>
                  <w:tcW w:w="1100" w:type="dxa"/>
                  <w:tcBorders>
                    <w:left w:val="single" w:color="auto" w:sz="6" w:space="0"/>
                    <w:bottom w:val="single" w:color="auto" w:sz="8" w:space="0"/>
                    <w:right w:val="single" w:color="auto" w:sz="6" w:space="0"/>
                  </w:tcBorders>
                  <w:noWrap w:val="0"/>
                  <w:tcMar>
                    <w:top w:w="0" w:type="dxa"/>
                    <w:left w:w="0" w:type="dxa"/>
                    <w:bottom w:w="0" w:type="dxa"/>
                    <w:right w:w="0" w:type="dxa"/>
                  </w:tcMar>
                  <w:vAlign w:val="center"/>
                </w:tcPr>
                <w:p w14:paraId="5D3D2B3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b/>
                      <w:bCs/>
                      <w:color w:val="auto"/>
                      <w:sz w:val="21"/>
                      <w:szCs w:val="21"/>
                    </w:rPr>
                  </w:pPr>
                  <w:r>
                    <w:rPr>
                      <w:rFonts w:hint="eastAsia" w:hAnsi="宋体"/>
                      <w:b/>
                      <w:bCs/>
                      <w:color w:val="auto"/>
                      <w:sz w:val="21"/>
                      <w:szCs w:val="21"/>
                    </w:rPr>
                    <w:t>产生环节</w:t>
                  </w:r>
                </w:p>
              </w:tc>
              <w:tc>
                <w:tcPr>
                  <w:tcW w:w="1298" w:type="dxa"/>
                  <w:tcBorders>
                    <w:left w:val="single" w:color="auto" w:sz="6" w:space="0"/>
                    <w:bottom w:val="single" w:color="auto" w:sz="8" w:space="0"/>
                    <w:right w:val="single" w:color="auto" w:sz="6" w:space="0"/>
                  </w:tcBorders>
                  <w:noWrap w:val="0"/>
                  <w:tcMar>
                    <w:top w:w="0" w:type="dxa"/>
                    <w:left w:w="0" w:type="dxa"/>
                    <w:bottom w:w="0" w:type="dxa"/>
                    <w:right w:w="0" w:type="dxa"/>
                  </w:tcMar>
                  <w:vAlign w:val="center"/>
                </w:tcPr>
                <w:p w14:paraId="162EB9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b/>
                      <w:bCs/>
                      <w:color w:val="auto"/>
                      <w:sz w:val="21"/>
                      <w:szCs w:val="21"/>
                    </w:rPr>
                  </w:pPr>
                  <w:r>
                    <w:rPr>
                      <w:rFonts w:hint="eastAsia" w:hAnsi="宋体"/>
                      <w:b/>
                      <w:bCs/>
                      <w:color w:val="auto"/>
                      <w:sz w:val="21"/>
                      <w:szCs w:val="21"/>
                    </w:rPr>
                    <w:t>固废名称</w:t>
                  </w:r>
                </w:p>
              </w:tc>
              <w:tc>
                <w:tcPr>
                  <w:tcW w:w="1006" w:type="dxa"/>
                  <w:tcBorders>
                    <w:left w:val="single" w:color="auto" w:sz="6" w:space="0"/>
                    <w:bottom w:val="single" w:color="auto" w:sz="8" w:space="0"/>
                    <w:right w:val="single" w:color="auto" w:sz="6" w:space="0"/>
                  </w:tcBorders>
                  <w:noWrap w:val="0"/>
                  <w:vAlign w:val="center"/>
                </w:tcPr>
                <w:p w14:paraId="596820F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b/>
                      <w:bCs/>
                      <w:color w:val="auto"/>
                      <w:sz w:val="21"/>
                      <w:szCs w:val="21"/>
                    </w:rPr>
                  </w:pPr>
                  <w:r>
                    <w:rPr>
                      <w:rFonts w:hint="eastAsia" w:hAnsi="宋体"/>
                      <w:b/>
                      <w:bCs/>
                      <w:color w:val="auto"/>
                      <w:sz w:val="21"/>
                      <w:szCs w:val="21"/>
                    </w:rPr>
                    <w:t>产生量t/a</w:t>
                  </w:r>
                </w:p>
              </w:tc>
              <w:tc>
                <w:tcPr>
                  <w:tcW w:w="2147" w:type="dxa"/>
                  <w:tcBorders>
                    <w:left w:val="single" w:color="auto" w:sz="6" w:space="0"/>
                    <w:bottom w:val="single" w:color="auto" w:sz="8" w:space="0"/>
                    <w:right w:val="single" w:color="auto" w:sz="6" w:space="0"/>
                  </w:tcBorders>
                  <w:noWrap w:val="0"/>
                  <w:tcMar>
                    <w:top w:w="0" w:type="dxa"/>
                    <w:left w:w="0" w:type="dxa"/>
                    <w:bottom w:w="0" w:type="dxa"/>
                    <w:right w:w="0" w:type="dxa"/>
                  </w:tcMar>
                  <w:vAlign w:val="center"/>
                </w:tcPr>
                <w:p w14:paraId="17AFD6A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b/>
                      <w:bCs/>
                      <w:color w:val="auto"/>
                      <w:sz w:val="21"/>
                      <w:szCs w:val="21"/>
                    </w:rPr>
                  </w:pPr>
                  <w:r>
                    <w:rPr>
                      <w:rFonts w:hint="eastAsia" w:hAnsi="宋体"/>
                      <w:b/>
                      <w:bCs/>
                      <w:color w:val="auto"/>
                      <w:sz w:val="21"/>
                      <w:szCs w:val="21"/>
                    </w:rPr>
                    <w:t>属性</w:t>
                  </w:r>
                </w:p>
              </w:tc>
              <w:tc>
                <w:tcPr>
                  <w:tcW w:w="1932" w:type="dxa"/>
                  <w:tcBorders>
                    <w:left w:val="single" w:color="auto" w:sz="6" w:space="0"/>
                    <w:bottom w:val="single" w:color="auto" w:sz="8" w:space="0"/>
                  </w:tcBorders>
                  <w:noWrap w:val="0"/>
                  <w:vAlign w:val="center"/>
                </w:tcPr>
                <w:p w14:paraId="1D10B51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b/>
                      <w:bCs/>
                      <w:color w:val="auto"/>
                      <w:sz w:val="21"/>
                      <w:szCs w:val="21"/>
                    </w:rPr>
                  </w:pPr>
                  <w:r>
                    <w:rPr>
                      <w:rFonts w:hint="eastAsia" w:hAnsi="宋体"/>
                      <w:b/>
                      <w:bCs/>
                      <w:color w:val="auto"/>
                      <w:sz w:val="21"/>
                      <w:szCs w:val="21"/>
                    </w:rPr>
                    <w:t>处理措施</w:t>
                  </w:r>
                </w:p>
              </w:tc>
            </w:tr>
            <w:tr w14:paraId="25D0AD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69" w:hRule="atLeast"/>
                <w:jc w:val="center"/>
              </w:trPr>
              <w:tc>
                <w:tcPr>
                  <w:tcW w:w="634" w:type="dxa"/>
                  <w:tcBorders>
                    <w:top w:val="single" w:color="auto" w:sz="8" w:space="0"/>
                    <w:bottom w:val="single" w:color="auto" w:sz="4" w:space="0"/>
                    <w:right w:val="single" w:color="auto" w:sz="6" w:space="0"/>
                  </w:tcBorders>
                  <w:noWrap w:val="0"/>
                  <w:tcMar>
                    <w:top w:w="0" w:type="dxa"/>
                    <w:left w:w="0" w:type="dxa"/>
                    <w:bottom w:w="0" w:type="dxa"/>
                    <w:right w:w="0" w:type="dxa"/>
                  </w:tcMar>
                  <w:vAlign w:val="center"/>
                </w:tcPr>
                <w:p w14:paraId="4814524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rPr>
                  </w:pPr>
                  <w:r>
                    <w:rPr>
                      <w:rFonts w:hint="eastAsia"/>
                      <w:color w:val="auto"/>
                      <w:sz w:val="21"/>
                      <w:szCs w:val="21"/>
                    </w:rPr>
                    <w:t>1</w:t>
                  </w:r>
                </w:p>
              </w:tc>
              <w:tc>
                <w:tcPr>
                  <w:tcW w:w="1100" w:type="dxa"/>
                  <w:tcBorders>
                    <w:top w:val="single" w:color="auto" w:sz="8" w:space="0"/>
                    <w:left w:val="single" w:color="auto" w:sz="6" w:space="0"/>
                    <w:bottom w:val="single" w:color="auto" w:sz="4" w:space="0"/>
                    <w:right w:val="single" w:color="auto" w:sz="6" w:space="0"/>
                  </w:tcBorders>
                  <w:noWrap w:val="0"/>
                  <w:tcMar>
                    <w:top w:w="0" w:type="dxa"/>
                    <w:left w:w="0" w:type="dxa"/>
                    <w:bottom w:w="0" w:type="dxa"/>
                    <w:right w:w="0" w:type="dxa"/>
                  </w:tcMar>
                  <w:vAlign w:val="center"/>
                </w:tcPr>
                <w:p w14:paraId="4E6F4C8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hAnsi="宋体" w:eastAsia="宋体"/>
                      <w:color w:val="auto"/>
                      <w:sz w:val="21"/>
                      <w:szCs w:val="21"/>
                      <w:lang w:eastAsia="zh-CN"/>
                    </w:rPr>
                  </w:pPr>
                  <w:r>
                    <w:rPr>
                      <w:rFonts w:hint="eastAsia" w:hAnsi="宋体"/>
                      <w:color w:val="auto"/>
                      <w:sz w:val="21"/>
                      <w:szCs w:val="21"/>
                      <w:lang w:eastAsia="zh-CN"/>
                    </w:rPr>
                    <w:t>原料检验、三坐标检测</w:t>
                  </w:r>
                </w:p>
              </w:tc>
              <w:tc>
                <w:tcPr>
                  <w:tcW w:w="1298" w:type="dxa"/>
                  <w:tcBorders>
                    <w:top w:val="single" w:color="auto" w:sz="8" w:space="0"/>
                    <w:left w:val="single" w:color="auto" w:sz="6" w:space="0"/>
                    <w:bottom w:val="single" w:color="auto" w:sz="4" w:space="0"/>
                    <w:right w:val="single" w:color="auto" w:sz="6" w:space="0"/>
                  </w:tcBorders>
                  <w:noWrap w:val="0"/>
                  <w:tcMar>
                    <w:top w:w="0" w:type="dxa"/>
                    <w:left w:w="0" w:type="dxa"/>
                    <w:bottom w:w="0" w:type="dxa"/>
                    <w:right w:w="0" w:type="dxa"/>
                  </w:tcMar>
                  <w:vAlign w:val="center"/>
                </w:tcPr>
                <w:p w14:paraId="584DE18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hAnsi="宋体" w:eastAsia="宋体"/>
                      <w:color w:val="auto"/>
                      <w:sz w:val="21"/>
                      <w:szCs w:val="21"/>
                      <w:lang w:eastAsia="zh-CN"/>
                    </w:rPr>
                  </w:pPr>
                  <w:r>
                    <w:rPr>
                      <w:rFonts w:hint="eastAsia" w:hAnsi="宋体"/>
                      <w:color w:val="auto"/>
                      <w:sz w:val="21"/>
                      <w:szCs w:val="21"/>
                      <w:lang w:eastAsia="zh-CN"/>
                    </w:rPr>
                    <w:t>不合格产品</w:t>
                  </w:r>
                </w:p>
              </w:tc>
              <w:tc>
                <w:tcPr>
                  <w:tcW w:w="1006" w:type="dxa"/>
                  <w:tcBorders>
                    <w:top w:val="single" w:color="auto" w:sz="8" w:space="0"/>
                    <w:left w:val="single" w:color="auto" w:sz="6" w:space="0"/>
                    <w:bottom w:val="single" w:color="auto" w:sz="4" w:space="0"/>
                    <w:right w:val="single" w:color="auto" w:sz="6" w:space="0"/>
                  </w:tcBorders>
                  <w:noWrap w:val="0"/>
                  <w:vAlign w:val="center"/>
                </w:tcPr>
                <w:p w14:paraId="6E45544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hAnsi="宋体" w:eastAsia="宋体"/>
                      <w:color w:val="auto"/>
                      <w:sz w:val="21"/>
                      <w:szCs w:val="21"/>
                      <w:lang w:val="en-US" w:eastAsia="zh-CN"/>
                    </w:rPr>
                  </w:pPr>
                  <w:r>
                    <w:rPr>
                      <w:rFonts w:hint="eastAsia" w:hAnsi="宋体"/>
                      <w:color w:val="auto"/>
                      <w:sz w:val="21"/>
                      <w:szCs w:val="21"/>
                      <w:lang w:val="en-US" w:eastAsia="zh-CN"/>
                    </w:rPr>
                    <w:t>9.1</w:t>
                  </w:r>
                </w:p>
              </w:tc>
              <w:tc>
                <w:tcPr>
                  <w:tcW w:w="2147" w:type="dxa"/>
                  <w:tcBorders>
                    <w:top w:val="single" w:color="auto" w:sz="8" w:space="0"/>
                    <w:left w:val="single" w:color="auto" w:sz="6" w:space="0"/>
                    <w:bottom w:val="single" w:color="auto" w:sz="4" w:space="0"/>
                    <w:right w:val="single" w:color="auto" w:sz="6" w:space="0"/>
                  </w:tcBorders>
                  <w:noWrap w:val="0"/>
                  <w:tcMar>
                    <w:top w:w="0" w:type="dxa"/>
                    <w:left w:w="0" w:type="dxa"/>
                    <w:bottom w:w="0" w:type="dxa"/>
                    <w:right w:w="0" w:type="dxa"/>
                  </w:tcMar>
                  <w:vAlign w:val="center"/>
                </w:tcPr>
                <w:p w14:paraId="3665AD4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hAnsi="宋体"/>
                      <w:b/>
                      <w:bCs/>
                      <w:color w:val="auto"/>
                      <w:sz w:val="21"/>
                      <w:szCs w:val="21"/>
                    </w:rPr>
                  </w:pPr>
                  <w:r>
                    <w:rPr>
                      <w:rFonts w:hint="eastAsia"/>
                      <w:color w:val="auto"/>
                      <w:sz w:val="21"/>
                      <w:szCs w:val="21"/>
                    </w:rPr>
                    <w:t>一般工业固体废物</w:t>
                  </w:r>
                </w:p>
              </w:tc>
              <w:tc>
                <w:tcPr>
                  <w:tcW w:w="1932" w:type="dxa"/>
                  <w:vMerge w:val="restart"/>
                  <w:tcBorders>
                    <w:top w:val="single" w:color="auto" w:sz="8" w:space="0"/>
                    <w:left w:val="single" w:color="auto" w:sz="6" w:space="0"/>
                  </w:tcBorders>
                  <w:noWrap w:val="0"/>
                  <w:vAlign w:val="center"/>
                </w:tcPr>
                <w:p w14:paraId="540D6D3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Ansi="宋体"/>
                      <w:b/>
                      <w:bCs/>
                      <w:color w:val="auto"/>
                      <w:sz w:val="21"/>
                      <w:szCs w:val="21"/>
                    </w:rPr>
                  </w:pPr>
                  <w:r>
                    <w:rPr>
                      <w:rFonts w:hint="eastAsia"/>
                      <w:color w:val="auto"/>
                      <w:sz w:val="21"/>
                      <w:szCs w:val="21"/>
                    </w:rPr>
                    <w:t>收集后暂存于一般固废暂存间，定期外</w:t>
                  </w:r>
                  <w:r>
                    <w:rPr>
                      <w:rFonts w:hint="eastAsia"/>
                      <w:color w:val="auto"/>
                      <w:sz w:val="21"/>
                      <w:szCs w:val="21"/>
                      <w:lang w:eastAsia="zh-CN"/>
                    </w:rPr>
                    <w:t>售</w:t>
                  </w:r>
                  <w:r>
                    <w:rPr>
                      <w:rFonts w:hint="eastAsia"/>
                      <w:color w:val="auto"/>
                      <w:sz w:val="21"/>
                      <w:szCs w:val="21"/>
                    </w:rPr>
                    <w:t>。</w:t>
                  </w:r>
                </w:p>
              </w:tc>
            </w:tr>
            <w:tr w14:paraId="3AA4026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34" w:type="dxa"/>
                  <w:tcBorders>
                    <w:top w:val="single" w:color="auto" w:sz="4" w:space="0"/>
                    <w:bottom w:val="single" w:color="auto" w:sz="6" w:space="0"/>
                    <w:right w:val="single" w:color="auto" w:sz="6" w:space="0"/>
                  </w:tcBorders>
                  <w:noWrap w:val="0"/>
                  <w:tcMar>
                    <w:top w:w="0" w:type="dxa"/>
                    <w:left w:w="0" w:type="dxa"/>
                    <w:bottom w:w="0" w:type="dxa"/>
                    <w:right w:w="0" w:type="dxa"/>
                  </w:tcMar>
                  <w:vAlign w:val="center"/>
                </w:tcPr>
                <w:p w14:paraId="030DEA2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rPr>
                  </w:pPr>
                  <w:r>
                    <w:rPr>
                      <w:rFonts w:hint="eastAsia"/>
                      <w:color w:val="auto"/>
                      <w:sz w:val="21"/>
                      <w:szCs w:val="21"/>
                    </w:rPr>
                    <w:t>2</w:t>
                  </w:r>
                </w:p>
              </w:tc>
              <w:tc>
                <w:tcPr>
                  <w:tcW w:w="1100" w:type="dxa"/>
                  <w:tcBorders>
                    <w:top w:val="single" w:color="auto" w:sz="4" w:space="0"/>
                    <w:left w:val="single" w:color="auto" w:sz="6" w:space="0"/>
                    <w:bottom w:val="single" w:color="auto" w:sz="6" w:space="0"/>
                    <w:right w:val="single" w:color="auto" w:sz="6" w:space="0"/>
                  </w:tcBorders>
                  <w:noWrap w:val="0"/>
                  <w:tcMar>
                    <w:top w:w="0" w:type="dxa"/>
                    <w:left w:w="0" w:type="dxa"/>
                    <w:bottom w:w="0" w:type="dxa"/>
                    <w:right w:w="0" w:type="dxa"/>
                  </w:tcMar>
                  <w:vAlign w:val="center"/>
                </w:tcPr>
                <w:p w14:paraId="78FC79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lang w:eastAsia="zh-CN"/>
                    </w:rPr>
                  </w:pPr>
                  <w:r>
                    <w:rPr>
                      <w:rFonts w:hint="eastAsia"/>
                      <w:color w:val="auto"/>
                      <w:sz w:val="21"/>
                      <w:szCs w:val="21"/>
                      <w:lang w:eastAsia="zh-CN"/>
                    </w:rPr>
                    <w:t>粗、半精、精加工</w:t>
                  </w:r>
                </w:p>
              </w:tc>
              <w:tc>
                <w:tcPr>
                  <w:tcW w:w="1298" w:type="dxa"/>
                  <w:tcBorders>
                    <w:top w:val="single" w:color="auto" w:sz="4" w:space="0"/>
                    <w:left w:val="single" w:color="auto" w:sz="6" w:space="0"/>
                    <w:right w:val="single" w:color="auto" w:sz="6" w:space="0"/>
                  </w:tcBorders>
                  <w:noWrap w:val="0"/>
                  <w:tcMar>
                    <w:top w:w="0" w:type="dxa"/>
                    <w:left w:w="0" w:type="dxa"/>
                    <w:bottom w:w="0" w:type="dxa"/>
                    <w:right w:w="0" w:type="dxa"/>
                  </w:tcMar>
                  <w:vAlign w:val="center"/>
                </w:tcPr>
                <w:p w14:paraId="50CE13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lang w:eastAsia="zh-CN"/>
                    </w:rPr>
                  </w:pPr>
                  <w:r>
                    <w:rPr>
                      <w:rFonts w:hint="eastAsia"/>
                      <w:color w:val="auto"/>
                      <w:sz w:val="21"/>
                      <w:szCs w:val="21"/>
                      <w:lang w:eastAsia="zh-CN"/>
                    </w:rPr>
                    <w:t>废边角料</w:t>
                  </w:r>
                </w:p>
              </w:tc>
              <w:tc>
                <w:tcPr>
                  <w:tcW w:w="1006" w:type="dxa"/>
                  <w:tcBorders>
                    <w:top w:val="single" w:color="auto" w:sz="4" w:space="0"/>
                    <w:left w:val="single" w:color="auto" w:sz="6" w:space="0"/>
                    <w:bottom w:val="single" w:color="auto" w:sz="6" w:space="0"/>
                    <w:right w:val="single" w:color="auto" w:sz="6" w:space="0"/>
                  </w:tcBorders>
                  <w:noWrap w:val="0"/>
                  <w:vAlign w:val="center"/>
                </w:tcPr>
                <w:p w14:paraId="3882CE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0.91</w:t>
                  </w:r>
                </w:p>
              </w:tc>
              <w:tc>
                <w:tcPr>
                  <w:tcW w:w="2147" w:type="dxa"/>
                  <w:tcBorders>
                    <w:top w:val="single" w:color="auto" w:sz="4" w:space="0"/>
                    <w:left w:val="single" w:color="auto" w:sz="6" w:space="0"/>
                    <w:bottom w:val="single" w:color="auto" w:sz="4" w:space="0"/>
                    <w:right w:val="single" w:color="auto" w:sz="6" w:space="0"/>
                  </w:tcBorders>
                  <w:noWrap w:val="0"/>
                  <w:tcMar>
                    <w:top w:w="0" w:type="dxa"/>
                    <w:left w:w="0" w:type="dxa"/>
                    <w:bottom w:w="0" w:type="dxa"/>
                    <w:right w:w="0" w:type="dxa"/>
                  </w:tcMar>
                  <w:vAlign w:val="center"/>
                </w:tcPr>
                <w:p w14:paraId="63EDD1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rPr>
                  </w:pPr>
                  <w:r>
                    <w:rPr>
                      <w:rFonts w:hint="eastAsia"/>
                      <w:color w:val="auto"/>
                      <w:sz w:val="21"/>
                      <w:szCs w:val="21"/>
                    </w:rPr>
                    <w:t>一般工业固体废物</w:t>
                  </w:r>
                </w:p>
              </w:tc>
              <w:tc>
                <w:tcPr>
                  <w:tcW w:w="1932" w:type="dxa"/>
                  <w:vMerge w:val="continue"/>
                  <w:tcBorders>
                    <w:left w:val="single" w:color="auto" w:sz="6" w:space="0"/>
                  </w:tcBorders>
                  <w:noWrap w:val="0"/>
                  <w:vAlign w:val="center"/>
                </w:tcPr>
                <w:p w14:paraId="378AFDB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rPr>
                  </w:pPr>
                </w:p>
              </w:tc>
            </w:tr>
            <w:tr w14:paraId="357AE11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34" w:type="dxa"/>
                  <w:tcBorders>
                    <w:top w:val="single" w:color="auto" w:sz="6" w:space="0"/>
                    <w:bottom w:val="single" w:color="auto" w:sz="6" w:space="0"/>
                    <w:right w:val="single" w:color="auto" w:sz="6" w:space="0"/>
                  </w:tcBorders>
                  <w:noWrap w:val="0"/>
                  <w:tcMar>
                    <w:top w:w="0" w:type="dxa"/>
                    <w:left w:w="0" w:type="dxa"/>
                    <w:bottom w:w="0" w:type="dxa"/>
                    <w:right w:w="0" w:type="dxa"/>
                  </w:tcMar>
                  <w:vAlign w:val="center"/>
                </w:tcPr>
                <w:p w14:paraId="7A7CC8E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rPr>
                  </w:pPr>
                  <w:r>
                    <w:rPr>
                      <w:rFonts w:hint="eastAsia"/>
                      <w:color w:val="auto"/>
                      <w:sz w:val="21"/>
                      <w:szCs w:val="21"/>
                    </w:rPr>
                    <w:t>3</w:t>
                  </w:r>
                </w:p>
              </w:tc>
              <w:tc>
                <w:tcPr>
                  <w:tcW w:w="1100" w:type="dxa"/>
                  <w:tcBorders>
                    <w:top w:val="single" w:color="auto" w:sz="6" w:space="0"/>
                    <w:left w:val="single" w:color="auto" w:sz="6" w:space="0"/>
                    <w:bottom w:val="single" w:color="auto" w:sz="6" w:space="0"/>
                    <w:right w:val="single" w:color="auto" w:sz="6" w:space="0"/>
                  </w:tcBorders>
                  <w:noWrap w:val="0"/>
                  <w:tcMar>
                    <w:top w:w="0" w:type="dxa"/>
                    <w:left w:w="0" w:type="dxa"/>
                    <w:bottom w:w="0" w:type="dxa"/>
                    <w:right w:w="0" w:type="dxa"/>
                  </w:tcMar>
                  <w:vAlign w:val="center"/>
                </w:tcPr>
                <w:p w14:paraId="0F0D7D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lang w:eastAsia="zh-CN"/>
                    </w:rPr>
                  </w:pPr>
                  <w:r>
                    <w:rPr>
                      <w:rFonts w:hint="eastAsia"/>
                      <w:color w:val="auto"/>
                      <w:sz w:val="21"/>
                      <w:szCs w:val="21"/>
                      <w:lang w:eastAsia="zh-CN"/>
                    </w:rPr>
                    <w:t>真空包装</w:t>
                  </w:r>
                </w:p>
              </w:tc>
              <w:tc>
                <w:tcPr>
                  <w:tcW w:w="1298" w:type="dxa"/>
                  <w:tcBorders>
                    <w:left w:val="single" w:color="auto" w:sz="6" w:space="0"/>
                    <w:right w:val="single" w:color="auto" w:sz="6" w:space="0"/>
                  </w:tcBorders>
                  <w:noWrap w:val="0"/>
                  <w:tcMar>
                    <w:top w:w="0" w:type="dxa"/>
                    <w:left w:w="0" w:type="dxa"/>
                    <w:bottom w:w="0" w:type="dxa"/>
                    <w:right w:w="0" w:type="dxa"/>
                  </w:tcMar>
                  <w:vAlign w:val="center"/>
                </w:tcPr>
                <w:p w14:paraId="2852B19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lang w:eastAsia="zh-CN"/>
                    </w:rPr>
                  </w:pPr>
                  <w:r>
                    <w:rPr>
                      <w:rFonts w:hint="eastAsia"/>
                      <w:color w:val="auto"/>
                      <w:sz w:val="21"/>
                      <w:szCs w:val="21"/>
                      <w:lang w:eastAsia="zh-CN"/>
                    </w:rPr>
                    <w:t>废包装膜</w:t>
                  </w:r>
                </w:p>
              </w:tc>
              <w:tc>
                <w:tcPr>
                  <w:tcW w:w="1006" w:type="dxa"/>
                  <w:tcBorders>
                    <w:top w:val="single" w:color="auto" w:sz="6" w:space="0"/>
                    <w:left w:val="single" w:color="auto" w:sz="6" w:space="0"/>
                    <w:bottom w:val="single" w:color="auto" w:sz="6" w:space="0"/>
                    <w:right w:val="single" w:color="auto" w:sz="6" w:space="0"/>
                  </w:tcBorders>
                  <w:noWrap w:val="0"/>
                  <w:vAlign w:val="center"/>
                </w:tcPr>
                <w:p w14:paraId="79E6AD0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rPr>
                    <w:t>0.</w:t>
                  </w:r>
                  <w:r>
                    <w:rPr>
                      <w:rFonts w:hint="eastAsia"/>
                      <w:color w:val="auto"/>
                      <w:sz w:val="21"/>
                      <w:szCs w:val="21"/>
                      <w:lang w:val="en-US" w:eastAsia="zh-CN"/>
                    </w:rPr>
                    <w:t>003</w:t>
                  </w:r>
                </w:p>
              </w:tc>
              <w:tc>
                <w:tcPr>
                  <w:tcW w:w="2147" w:type="dxa"/>
                  <w:tcBorders>
                    <w:top w:val="single" w:color="auto" w:sz="4" w:space="0"/>
                    <w:left w:val="single" w:color="auto" w:sz="6" w:space="0"/>
                    <w:bottom w:val="single" w:color="auto" w:sz="4" w:space="0"/>
                    <w:right w:val="single" w:color="auto" w:sz="6" w:space="0"/>
                  </w:tcBorders>
                  <w:noWrap w:val="0"/>
                  <w:tcMar>
                    <w:top w:w="0" w:type="dxa"/>
                    <w:left w:w="0" w:type="dxa"/>
                    <w:bottom w:w="0" w:type="dxa"/>
                    <w:right w:w="0" w:type="dxa"/>
                  </w:tcMar>
                  <w:vAlign w:val="center"/>
                </w:tcPr>
                <w:p w14:paraId="07D3057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rPr>
                  </w:pPr>
                  <w:r>
                    <w:rPr>
                      <w:rFonts w:hint="eastAsia"/>
                      <w:color w:val="auto"/>
                      <w:sz w:val="21"/>
                      <w:szCs w:val="21"/>
                    </w:rPr>
                    <w:t>一般工业固体废物</w:t>
                  </w:r>
                </w:p>
              </w:tc>
              <w:tc>
                <w:tcPr>
                  <w:tcW w:w="1932" w:type="dxa"/>
                  <w:vMerge w:val="continue"/>
                  <w:tcBorders>
                    <w:left w:val="single" w:color="auto" w:sz="6" w:space="0"/>
                  </w:tcBorders>
                  <w:noWrap w:val="0"/>
                  <w:vAlign w:val="center"/>
                </w:tcPr>
                <w:p w14:paraId="21959A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rPr>
                  </w:pPr>
                </w:p>
              </w:tc>
            </w:tr>
            <w:tr w14:paraId="296FB00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634" w:type="dxa"/>
                  <w:tcBorders>
                    <w:top w:val="single" w:color="auto" w:sz="6" w:space="0"/>
                    <w:bottom w:val="single" w:color="auto" w:sz="6" w:space="0"/>
                    <w:right w:val="single" w:color="auto" w:sz="6" w:space="0"/>
                  </w:tcBorders>
                  <w:noWrap w:val="0"/>
                  <w:tcMar>
                    <w:top w:w="0" w:type="dxa"/>
                    <w:left w:w="0" w:type="dxa"/>
                    <w:bottom w:w="0" w:type="dxa"/>
                    <w:right w:w="0" w:type="dxa"/>
                  </w:tcMar>
                  <w:vAlign w:val="center"/>
                </w:tcPr>
                <w:p w14:paraId="6A787A5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lang w:eastAsia="zh-CN"/>
                    </w:rPr>
                  </w:pPr>
                  <w:r>
                    <w:rPr>
                      <w:rFonts w:hint="eastAsia"/>
                      <w:color w:val="auto"/>
                      <w:sz w:val="21"/>
                      <w:szCs w:val="21"/>
                      <w:lang w:val="en-US" w:eastAsia="zh-CN"/>
                    </w:rPr>
                    <w:t>4</w:t>
                  </w:r>
                </w:p>
              </w:tc>
              <w:tc>
                <w:tcPr>
                  <w:tcW w:w="1100" w:type="dxa"/>
                  <w:tcBorders>
                    <w:top w:val="single" w:color="auto" w:sz="6" w:space="0"/>
                    <w:left w:val="single" w:color="auto" w:sz="6" w:space="0"/>
                    <w:right w:val="single" w:color="auto" w:sz="6" w:space="0"/>
                  </w:tcBorders>
                  <w:noWrap w:val="0"/>
                  <w:tcMar>
                    <w:top w:w="0" w:type="dxa"/>
                    <w:left w:w="0" w:type="dxa"/>
                    <w:bottom w:w="0" w:type="dxa"/>
                    <w:right w:w="0" w:type="dxa"/>
                  </w:tcMar>
                  <w:vAlign w:val="center"/>
                </w:tcPr>
                <w:p w14:paraId="2202BB4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rPr>
                  </w:pPr>
                  <w:r>
                    <w:rPr>
                      <w:rFonts w:hint="eastAsia"/>
                      <w:color w:val="auto"/>
                      <w:sz w:val="21"/>
                      <w:szCs w:val="21"/>
                    </w:rPr>
                    <w:t>生产过程</w:t>
                  </w:r>
                </w:p>
              </w:tc>
              <w:tc>
                <w:tcPr>
                  <w:tcW w:w="1298" w:type="dxa"/>
                  <w:tcBorders>
                    <w:left w:val="single" w:color="auto" w:sz="6" w:space="0"/>
                    <w:right w:val="single" w:color="auto" w:sz="6" w:space="0"/>
                  </w:tcBorders>
                  <w:noWrap w:val="0"/>
                  <w:tcMar>
                    <w:top w:w="0" w:type="dxa"/>
                    <w:left w:w="0" w:type="dxa"/>
                    <w:bottom w:w="0" w:type="dxa"/>
                    <w:right w:w="0" w:type="dxa"/>
                  </w:tcMar>
                  <w:vAlign w:val="center"/>
                </w:tcPr>
                <w:p w14:paraId="09F588A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lang w:eastAsia="zh-CN"/>
                    </w:rPr>
                  </w:pPr>
                  <w:r>
                    <w:rPr>
                      <w:rFonts w:hint="eastAsia"/>
                      <w:color w:val="auto"/>
                      <w:sz w:val="21"/>
                      <w:szCs w:val="21"/>
                      <w:lang w:eastAsia="zh-CN"/>
                    </w:rPr>
                    <w:t>废切削液</w:t>
                  </w:r>
                </w:p>
              </w:tc>
              <w:tc>
                <w:tcPr>
                  <w:tcW w:w="1006" w:type="dxa"/>
                  <w:tcBorders>
                    <w:top w:val="single" w:color="auto" w:sz="6" w:space="0"/>
                    <w:left w:val="single" w:color="auto" w:sz="6" w:space="0"/>
                    <w:bottom w:val="single" w:color="auto" w:sz="6" w:space="0"/>
                    <w:right w:val="single" w:color="auto" w:sz="6" w:space="0"/>
                  </w:tcBorders>
                  <w:noWrap w:val="0"/>
                  <w:vAlign w:val="center"/>
                </w:tcPr>
                <w:p w14:paraId="453651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lang w:val="en-US" w:eastAsia="zh-CN"/>
                    </w:rPr>
                  </w:pPr>
                  <w:r>
                    <w:rPr>
                      <w:rFonts w:hint="eastAsia"/>
                      <w:color w:val="auto"/>
                      <w:sz w:val="21"/>
                      <w:szCs w:val="21"/>
                      <w:lang w:val="en-US" w:eastAsia="zh-CN"/>
                    </w:rPr>
                    <w:t>0.05</w:t>
                  </w:r>
                </w:p>
              </w:tc>
              <w:tc>
                <w:tcPr>
                  <w:tcW w:w="2147" w:type="dxa"/>
                  <w:tcBorders>
                    <w:top w:val="single" w:color="auto" w:sz="4" w:space="0"/>
                    <w:left w:val="single" w:color="auto" w:sz="6" w:space="0"/>
                    <w:bottom w:val="single" w:color="auto" w:sz="4" w:space="0"/>
                    <w:right w:val="single" w:color="auto" w:sz="6" w:space="0"/>
                  </w:tcBorders>
                  <w:noWrap w:val="0"/>
                  <w:tcMar>
                    <w:top w:w="0" w:type="dxa"/>
                    <w:left w:w="0" w:type="dxa"/>
                    <w:bottom w:w="0" w:type="dxa"/>
                    <w:right w:w="0" w:type="dxa"/>
                  </w:tcMar>
                  <w:vAlign w:val="center"/>
                </w:tcPr>
                <w:p w14:paraId="12C036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lang w:eastAsia="zh-CN"/>
                    </w:rPr>
                  </w:pPr>
                  <w:r>
                    <w:rPr>
                      <w:rFonts w:hint="eastAsia"/>
                      <w:color w:val="auto"/>
                      <w:sz w:val="21"/>
                      <w:szCs w:val="21"/>
                      <w:lang w:eastAsia="zh-CN"/>
                    </w:rPr>
                    <w:t>危险废物</w:t>
                  </w:r>
                </w:p>
              </w:tc>
              <w:tc>
                <w:tcPr>
                  <w:tcW w:w="1932" w:type="dxa"/>
                  <w:tcBorders>
                    <w:left w:val="single" w:color="auto" w:sz="6" w:space="0"/>
                  </w:tcBorders>
                  <w:noWrap w:val="0"/>
                  <w:vAlign w:val="center"/>
                </w:tcPr>
                <w:p w14:paraId="1BF8A0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rPr>
                  </w:pPr>
                  <w:r>
                    <w:rPr>
                      <w:rFonts w:hint="eastAsia"/>
                      <w:color w:val="auto"/>
                      <w:sz w:val="21"/>
                      <w:szCs w:val="21"/>
                      <w:lang w:eastAsia="zh-CN"/>
                    </w:rPr>
                    <w:t>暂存</w:t>
                  </w:r>
                  <w:r>
                    <w:rPr>
                      <w:rFonts w:hint="eastAsia"/>
                      <w:color w:val="auto"/>
                      <w:sz w:val="21"/>
                      <w:szCs w:val="21"/>
                    </w:rPr>
                    <w:t>于危险废物暂存间，定期有资质单位处理</w:t>
                  </w:r>
                </w:p>
              </w:tc>
            </w:tr>
          </w:tbl>
          <w:p w14:paraId="218D9036">
            <w:pPr>
              <w:keepNext w:val="0"/>
              <w:keepLines w:val="0"/>
              <w:pageBreakBefore w:val="0"/>
              <w:widowControl w:val="0"/>
              <w:kinsoku/>
              <w:wordWrap/>
              <w:overflowPunct/>
              <w:topLinePunct w:val="0"/>
              <w:autoSpaceDE/>
              <w:autoSpaceDN/>
              <w:bidi w:val="0"/>
              <w:adjustRightInd w:val="0"/>
              <w:snapToGrid w:val="0"/>
              <w:spacing w:line="520" w:lineRule="exact"/>
              <w:ind w:firstLine="480" w:firstLineChars="200"/>
              <w:jc w:val="left"/>
              <w:textAlignment w:val="auto"/>
              <w:rPr>
                <w:color w:val="auto"/>
                <w:sz w:val="24"/>
                <w:szCs w:val="24"/>
              </w:rPr>
            </w:pPr>
            <w:r>
              <w:rPr>
                <w:rFonts w:hint="eastAsia"/>
                <w:color w:val="auto"/>
                <w:sz w:val="24"/>
                <w:szCs w:val="24"/>
              </w:rPr>
              <w:t>建设单位按要求在厂区内新建一般工业固废暂存间</w:t>
            </w:r>
            <w:r>
              <w:rPr>
                <w:color w:val="auto"/>
                <w:sz w:val="24"/>
                <w:szCs w:val="24"/>
              </w:rPr>
              <w:t>1座，面积</w:t>
            </w:r>
            <w:r>
              <w:rPr>
                <w:rFonts w:hint="eastAsia"/>
                <w:color w:val="auto"/>
                <w:sz w:val="24"/>
                <w:szCs w:val="24"/>
              </w:rPr>
              <w:t>不小于</w:t>
            </w:r>
            <w:r>
              <w:rPr>
                <w:rFonts w:hint="eastAsia"/>
                <w:color w:val="auto"/>
                <w:sz w:val="24"/>
                <w:szCs w:val="24"/>
                <w:lang w:val="en-US" w:eastAsia="zh-CN"/>
              </w:rPr>
              <w:t>10</w:t>
            </w:r>
            <w:r>
              <w:rPr>
                <w:color w:val="auto"/>
                <w:sz w:val="24"/>
                <w:szCs w:val="24"/>
              </w:rPr>
              <w:t>m</w:t>
            </w:r>
            <w:r>
              <w:rPr>
                <w:color w:val="auto"/>
                <w:sz w:val="24"/>
                <w:szCs w:val="24"/>
                <w:vertAlign w:val="superscript"/>
              </w:rPr>
              <w:t>2</w:t>
            </w:r>
            <w:r>
              <w:rPr>
                <w:rFonts w:hint="eastAsia"/>
                <w:color w:val="auto"/>
                <w:sz w:val="24"/>
                <w:szCs w:val="24"/>
              </w:rPr>
              <w:t>；一般固废暂存间须满足</w:t>
            </w:r>
            <w:r>
              <w:rPr>
                <w:color w:val="auto"/>
                <w:sz w:val="24"/>
                <w:szCs w:val="24"/>
              </w:rPr>
              <w:t>《一般工业固体废物贮存</w:t>
            </w:r>
            <w:r>
              <w:rPr>
                <w:rFonts w:hint="eastAsia"/>
                <w:color w:val="auto"/>
                <w:sz w:val="24"/>
                <w:szCs w:val="24"/>
              </w:rPr>
              <w:t>和填埋</w:t>
            </w:r>
            <w:r>
              <w:rPr>
                <w:color w:val="auto"/>
                <w:sz w:val="24"/>
                <w:szCs w:val="24"/>
              </w:rPr>
              <w:t>污染控制标准》（GB18599-20</w:t>
            </w:r>
            <w:r>
              <w:rPr>
                <w:rFonts w:hint="eastAsia"/>
                <w:color w:val="auto"/>
                <w:sz w:val="24"/>
                <w:szCs w:val="24"/>
              </w:rPr>
              <w:t>20</w:t>
            </w:r>
            <w:r>
              <w:rPr>
                <w:color w:val="auto"/>
                <w:sz w:val="24"/>
                <w:szCs w:val="24"/>
              </w:rPr>
              <w:t>）</w:t>
            </w:r>
            <w:r>
              <w:rPr>
                <w:rFonts w:hint="eastAsia"/>
                <w:color w:val="auto"/>
                <w:sz w:val="24"/>
                <w:szCs w:val="24"/>
              </w:rPr>
              <w:t>要求。</w:t>
            </w:r>
          </w:p>
          <w:p w14:paraId="113547F4">
            <w:pPr>
              <w:adjustRightInd w:val="0"/>
              <w:snapToGrid w:val="0"/>
              <w:spacing w:line="460" w:lineRule="exact"/>
              <w:jc w:val="left"/>
              <w:textAlignment w:val="baseline"/>
              <w:rPr>
                <w:rFonts w:hint="eastAsia" w:ascii="Times New Roman" w:hAnsi="Times New Roman" w:eastAsia="黑体" w:cs="Times New Roman"/>
                <w:b w:val="0"/>
                <w:color w:val="auto"/>
                <w:kern w:val="2"/>
                <w:sz w:val="24"/>
                <w:szCs w:val="24"/>
                <w:lang w:val="en-US" w:eastAsia="zh-CN" w:bidi="ar-SA"/>
              </w:rPr>
            </w:pPr>
            <w:r>
              <w:rPr>
                <w:rFonts w:hint="eastAsia" w:ascii="Times New Roman" w:hAnsi="Times New Roman" w:eastAsia="黑体" w:cs="Times New Roman"/>
                <w:b w:val="0"/>
                <w:color w:val="auto"/>
                <w:kern w:val="2"/>
                <w:sz w:val="24"/>
                <w:szCs w:val="24"/>
                <w:lang w:val="en-US" w:eastAsia="zh-CN" w:bidi="ar-SA"/>
              </w:rPr>
              <w:t>表</w:t>
            </w:r>
            <w:r>
              <w:rPr>
                <w:rFonts w:hint="eastAsia" w:eastAsia="黑体" w:cs="Times New Roman"/>
                <w:b w:val="0"/>
                <w:color w:val="auto"/>
                <w:kern w:val="2"/>
                <w:sz w:val="24"/>
                <w:szCs w:val="24"/>
                <w:lang w:val="en-US" w:eastAsia="zh-CN" w:bidi="ar-SA"/>
              </w:rPr>
              <w:t>4-8</w:t>
            </w:r>
            <w:r>
              <w:rPr>
                <w:rFonts w:hint="eastAsia" w:ascii="Times New Roman" w:hAnsi="Times New Roman" w:eastAsia="黑体" w:cs="Times New Roman"/>
                <w:b w:val="0"/>
                <w:color w:val="auto"/>
                <w:kern w:val="2"/>
                <w:sz w:val="24"/>
                <w:szCs w:val="24"/>
                <w:lang w:val="en-US" w:eastAsia="zh-CN" w:bidi="ar-SA"/>
              </w:rPr>
              <w:t xml:space="preserve">   建设项目危险废物贮存场所（设施）基本情况表</w:t>
            </w:r>
          </w:p>
          <w:tbl>
            <w:tblPr>
              <w:tblStyle w:val="26"/>
              <w:tblW w:w="5000" w:type="pct"/>
              <w:jc w:val="center"/>
              <w:tblBorders>
                <w:top w:val="single" w:color="auto" w:sz="4" w:space="0"/>
                <w:left w:val="single" w:color="auto" w:sz="4" w:space="0"/>
                <w:bottom w:val="single" w:color="auto" w:sz="4" w:space="0"/>
                <w:right w:val="single" w:color="auto" w:sz="4" w:space="0"/>
                <w:insideH w:val="single" w:color="000000" w:sz="4" w:space="0"/>
                <w:insideV w:val="single" w:color="auto" w:sz="4" w:space="0"/>
              </w:tblBorders>
              <w:shd w:val="clear" w:color="auto" w:fill="auto"/>
              <w:tblLayout w:type="fixed"/>
              <w:tblCellMar>
                <w:top w:w="0" w:type="dxa"/>
                <w:left w:w="108" w:type="dxa"/>
                <w:bottom w:w="0" w:type="dxa"/>
                <w:right w:w="108" w:type="dxa"/>
              </w:tblCellMar>
            </w:tblPr>
            <w:tblGrid>
              <w:gridCol w:w="504"/>
              <w:gridCol w:w="1096"/>
              <w:gridCol w:w="1463"/>
              <w:gridCol w:w="834"/>
              <w:gridCol w:w="1142"/>
              <w:gridCol w:w="836"/>
              <w:gridCol w:w="747"/>
              <w:gridCol w:w="680"/>
              <w:gridCol w:w="815"/>
            </w:tblGrid>
            <w:tr w14:paraId="7D99027A">
              <w:tblPrEx>
                <w:tblBorders>
                  <w:top w:val="single" w:color="auto" w:sz="4" w:space="0"/>
                  <w:left w:val="single" w:color="auto" w:sz="4" w:space="0"/>
                  <w:bottom w:val="single" w:color="auto" w:sz="4" w:space="0"/>
                  <w:right w:val="single" w:color="auto" w:sz="4" w:space="0"/>
                  <w:insideH w:val="single" w:color="000000" w:sz="4" w:space="0"/>
                  <w:insideV w:val="single" w:color="auto" w:sz="4" w:space="0"/>
                </w:tblBorders>
                <w:shd w:val="clear" w:color="auto" w:fill="auto"/>
                <w:tblCellMar>
                  <w:top w:w="0" w:type="dxa"/>
                  <w:left w:w="108" w:type="dxa"/>
                  <w:bottom w:w="0" w:type="dxa"/>
                  <w:right w:w="108" w:type="dxa"/>
                </w:tblCellMar>
              </w:tblPrEx>
              <w:trPr>
                <w:trHeight w:val="397" w:hRule="atLeast"/>
                <w:jc w:val="center"/>
              </w:trPr>
              <w:tc>
                <w:tcPr>
                  <w:tcW w:w="504" w:type="dxa"/>
                  <w:tcBorders>
                    <w:bottom w:val="single" w:color="auto" w:sz="8" w:space="0"/>
                  </w:tcBorders>
                  <w:shd w:val="clear" w:color="auto" w:fill="auto"/>
                  <w:noWrap w:val="0"/>
                  <w:vAlign w:val="center"/>
                </w:tcPr>
                <w:p w14:paraId="08EFB6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序号</w:t>
                  </w:r>
                </w:p>
              </w:tc>
              <w:tc>
                <w:tcPr>
                  <w:tcW w:w="1096" w:type="dxa"/>
                  <w:tcBorders>
                    <w:bottom w:val="single" w:color="auto" w:sz="8" w:space="0"/>
                  </w:tcBorders>
                  <w:shd w:val="clear" w:color="auto" w:fill="auto"/>
                  <w:noWrap w:val="0"/>
                  <w:vAlign w:val="center"/>
                </w:tcPr>
                <w:p w14:paraId="5F185C2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rPr>
                    <w:t>贮存场所(设施)名称</w:t>
                  </w:r>
                </w:p>
              </w:tc>
              <w:tc>
                <w:tcPr>
                  <w:tcW w:w="1463" w:type="dxa"/>
                  <w:tcBorders>
                    <w:bottom w:val="single" w:color="auto" w:sz="8" w:space="0"/>
                  </w:tcBorders>
                  <w:shd w:val="clear" w:color="auto" w:fill="auto"/>
                  <w:noWrap w:val="0"/>
                  <w:vAlign w:val="center"/>
                </w:tcPr>
                <w:p w14:paraId="7258DC5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rPr>
                    <w:t>危险废物</w:t>
                  </w:r>
                </w:p>
                <w:p w14:paraId="47528E9C">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rPr>
                    <w:t>名称</w:t>
                  </w:r>
                </w:p>
              </w:tc>
              <w:tc>
                <w:tcPr>
                  <w:tcW w:w="834" w:type="dxa"/>
                  <w:tcBorders>
                    <w:bottom w:val="single" w:color="auto" w:sz="8" w:space="0"/>
                  </w:tcBorders>
                  <w:shd w:val="clear" w:color="auto" w:fill="auto"/>
                  <w:noWrap w:val="0"/>
                  <w:vAlign w:val="center"/>
                </w:tcPr>
                <w:p w14:paraId="452F170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危险废物类别</w:t>
                  </w:r>
                </w:p>
              </w:tc>
              <w:tc>
                <w:tcPr>
                  <w:tcW w:w="1142" w:type="dxa"/>
                  <w:tcBorders>
                    <w:bottom w:val="single" w:color="auto" w:sz="8" w:space="0"/>
                  </w:tcBorders>
                  <w:shd w:val="clear" w:color="auto" w:fill="auto"/>
                  <w:noWrap w:val="0"/>
                  <w:vAlign w:val="center"/>
                </w:tcPr>
                <w:p w14:paraId="499AB1B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rPr>
                    <w:t>危险废物代码</w:t>
                  </w:r>
                </w:p>
              </w:tc>
              <w:tc>
                <w:tcPr>
                  <w:tcW w:w="836" w:type="dxa"/>
                  <w:tcBorders>
                    <w:bottom w:val="single" w:color="auto" w:sz="8" w:space="0"/>
                  </w:tcBorders>
                  <w:shd w:val="clear" w:color="auto" w:fill="auto"/>
                  <w:noWrap w:val="0"/>
                  <w:vAlign w:val="center"/>
                </w:tcPr>
                <w:p w14:paraId="77114A9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占地面积</w:t>
                  </w:r>
                </w:p>
              </w:tc>
              <w:tc>
                <w:tcPr>
                  <w:tcW w:w="747" w:type="dxa"/>
                  <w:tcBorders>
                    <w:bottom w:val="single" w:color="auto" w:sz="8" w:space="0"/>
                  </w:tcBorders>
                  <w:shd w:val="clear" w:color="auto" w:fill="auto"/>
                  <w:noWrap w:val="0"/>
                  <w:vAlign w:val="center"/>
                </w:tcPr>
                <w:p w14:paraId="1995206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rPr>
                    <w:t>贮存</w:t>
                  </w:r>
                </w:p>
                <w:p w14:paraId="163C627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方式</w:t>
                  </w:r>
                </w:p>
              </w:tc>
              <w:tc>
                <w:tcPr>
                  <w:tcW w:w="680" w:type="dxa"/>
                  <w:tcBorders>
                    <w:bottom w:val="single" w:color="auto" w:sz="8" w:space="0"/>
                  </w:tcBorders>
                  <w:shd w:val="clear" w:color="auto" w:fill="auto"/>
                  <w:noWrap w:val="0"/>
                  <w:vAlign w:val="center"/>
                </w:tcPr>
                <w:p w14:paraId="147D361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贮存能力</w:t>
                  </w:r>
                </w:p>
              </w:tc>
              <w:tc>
                <w:tcPr>
                  <w:tcW w:w="815" w:type="dxa"/>
                  <w:tcBorders>
                    <w:bottom w:val="single" w:color="auto" w:sz="8" w:space="0"/>
                  </w:tcBorders>
                  <w:shd w:val="clear" w:color="auto" w:fill="auto"/>
                  <w:noWrap w:val="0"/>
                  <w:vAlign w:val="center"/>
                </w:tcPr>
                <w:p w14:paraId="42200BA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rPr>
                    <w:t>贮存周期</w:t>
                  </w:r>
                </w:p>
              </w:tc>
            </w:tr>
            <w:tr w14:paraId="4A0A017B">
              <w:tblPrEx>
                <w:tblBorders>
                  <w:top w:val="single" w:color="auto" w:sz="4" w:space="0"/>
                  <w:left w:val="single" w:color="auto" w:sz="4" w:space="0"/>
                  <w:bottom w:val="single" w:color="auto" w:sz="4" w:space="0"/>
                  <w:right w:val="single" w:color="auto" w:sz="4" w:space="0"/>
                  <w:insideH w:val="single" w:color="000000" w:sz="4" w:space="0"/>
                  <w:insideV w:val="single" w:color="auto" w:sz="4" w:space="0"/>
                </w:tblBorders>
                <w:tblCellMar>
                  <w:top w:w="0" w:type="dxa"/>
                  <w:left w:w="108" w:type="dxa"/>
                  <w:bottom w:w="0" w:type="dxa"/>
                  <w:right w:w="108" w:type="dxa"/>
                </w:tblCellMar>
              </w:tblPrEx>
              <w:trPr>
                <w:trHeight w:val="397" w:hRule="atLeast"/>
                <w:jc w:val="center"/>
              </w:trPr>
              <w:tc>
                <w:tcPr>
                  <w:tcW w:w="504" w:type="dxa"/>
                  <w:tcBorders>
                    <w:top w:val="single" w:color="auto" w:sz="8" w:space="0"/>
                  </w:tcBorders>
                  <w:shd w:val="clear" w:color="auto" w:fill="auto"/>
                  <w:noWrap w:val="0"/>
                  <w:vAlign w:val="center"/>
                </w:tcPr>
                <w:p w14:paraId="11D7B64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1</w:t>
                  </w:r>
                </w:p>
              </w:tc>
              <w:tc>
                <w:tcPr>
                  <w:tcW w:w="1096" w:type="dxa"/>
                  <w:tcBorders>
                    <w:top w:val="single" w:color="auto" w:sz="8" w:space="0"/>
                  </w:tcBorders>
                  <w:shd w:val="clear" w:color="auto" w:fill="auto"/>
                  <w:noWrap w:val="0"/>
                  <w:vAlign w:val="center"/>
                </w:tcPr>
                <w:p w14:paraId="4963C5D2">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rPr>
                    <w:t>危废暂存间</w:t>
                  </w:r>
                </w:p>
              </w:tc>
              <w:tc>
                <w:tcPr>
                  <w:tcW w:w="1463" w:type="dxa"/>
                  <w:tcBorders>
                    <w:top w:val="single" w:color="auto" w:sz="8" w:space="0"/>
                  </w:tcBorders>
                  <w:shd w:val="clear" w:color="auto" w:fill="auto"/>
                  <w:noWrap w:val="0"/>
                  <w:vAlign w:val="center"/>
                </w:tcPr>
                <w:p w14:paraId="384E5EA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eastAsia="zh-CN"/>
                    </w:rPr>
                    <w:t>废切削液</w:t>
                  </w:r>
                </w:p>
              </w:tc>
              <w:tc>
                <w:tcPr>
                  <w:tcW w:w="834" w:type="dxa"/>
                  <w:tcBorders>
                    <w:top w:val="single" w:color="auto" w:sz="8" w:space="0"/>
                  </w:tcBorders>
                  <w:shd w:val="clear" w:color="auto" w:fill="auto"/>
                  <w:noWrap w:val="0"/>
                  <w:vAlign w:val="center"/>
                </w:tcPr>
                <w:p w14:paraId="7B2649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olor w:val="auto"/>
                      <w:kern w:val="0"/>
                      <w:sz w:val="21"/>
                      <w:szCs w:val="21"/>
                      <w:lang w:val="en-US" w:eastAsia="zh-CN" w:bidi="ar"/>
                    </w:rPr>
                  </w:pPr>
                  <w:r>
                    <w:rPr>
                      <w:color w:val="auto"/>
                      <w:kern w:val="0"/>
                      <w:sz w:val="21"/>
                      <w:szCs w:val="21"/>
                      <w:lang w:bidi="ar"/>
                    </w:rPr>
                    <w:t>HW</w:t>
                  </w:r>
                  <w:r>
                    <w:rPr>
                      <w:rFonts w:hint="eastAsia"/>
                      <w:color w:val="auto"/>
                      <w:kern w:val="0"/>
                      <w:sz w:val="21"/>
                      <w:szCs w:val="21"/>
                      <w:lang w:val="en-US" w:eastAsia="zh-CN" w:bidi="ar"/>
                    </w:rPr>
                    <w:t>09</w:t>
                  </w:r>
                </w:p>
              </w:tc>
              <w:tc>
                <w:tcPr>
                  <w:tcW w:w="1142" w:type="dxa"/>
                  <w:tcBorders>
                    <w:top w:val="single" w:color="auto" w:sz="8" w:space="0"/>
                  </w:tcBorders>
                  <w:shd w:val="clear" w:color="auto" w:fill="auto"/>
                  <w:noWrap w:val="0"/>
                  <w:vAlign w:val="center"/>
                </w:tcPr>
                <w:p w14:paraId="60DE7F29">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900-0</w:t>
                  </w:r>
                  <w:r>
                    <w:rPr>
                      <w:rFonts w:hint="eastAsia" w:cs="Times New Roman"/>
                      <w:color w:val="auto"/>
                      <w:sz w:val="21"/>
                      <w:szCs w:val="21"/>
                      <w:lang w:val="en-US" w:eastAsia="zh-CN"/>
                    </w:rPr>
                    <w:t>06</w:t>
                  </w:r>
                  <w:r>
                    <w:rPr>
                      <w:rFonts w:ascii="Times New Roman" w:hAnsi="Times New Roman" w:eastAsia="宋体" w:cs="Times New Roman"/>
                      <w:color w:val="auto"/>
                      <w:sz w:val="21"/>
                      <w:szCs w:val="21"/>
                    </w:rPr>
                    <w:t>-</w:t>
                  </w:r>
                  <w:r>
                    <w:rPr>
                      <w:rFonts w:hint="eastAsia" w:cs="Times New Roman"/>
                      <w:color w:val="auto"/>
                      <w:sz w:val="21"/>
                      <w:szCs w:val="21"/>
                      <w:lang w:val="en-US" w:eastAsia="zh-CN"/>
                    </w:rPr>
                    <w:t>0</w:t>
                  </w:r>
                  <w:r>
                    <w:rPr>
                      <w:rFonts w:ascii="Times New Roman" w:hAnsi="Times New Roman" w:eastAsia="宋体" w:cs="Times New Roman"/>
                      <w:color w:val="auto"/>
                      <w:sz w:val="21"/>
                      <w:szCs w:val="21"/>
                    </w:rPr>
                    <w:t>9</w:t>
                  </w:r>
                </w:p>
              </w:tc>
              <w:tc>
                <w:tcPr>
                  <w:tcW w:w="836" w:type="dxa"/>
                  <w:tcBorders>
                    <w:top w:val="single" w:color="auto" w:sz="8" w:space="0"/>
                  </w:tcBorders>
                  <w:shd w:val="clear" w:color="auto" w:fill="auto"/>
                  <w:noWrap w:val="0"/>
                  <w:vAlign w:val="center"/>
                </w:tcPr>
                <w:p w14:paraId="236B2EDB">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olor w:val="auto"/>
                      <w:sz w:val="21"/>
                      <w:szCs w:val="21"/>
                    </w:rPr>
                  </w:pPr>
                  <w:r>
                    <w:rPr>
                      <w:rFonts w:hint="eastAsia"/>
                      <w:color w:val="auto"/>
                      <w:sz w:val="21"/>
                      <w:szCs w:val="21"/>
                      <w:lang w:val="en-US" w:eastAsia="zh-CN"/>
                    </w:rPr>
                    <w:t>5</w:t>
                  </w:r>
                  <w:r>
                    <w:rPr>
                      <w:color w:val="auto"/>
                      <w:sz w:val="21"/>
                      <w:szCs w:val="21"/>
                    </w:rPr>
                    <w:t>m</w:t>
                  </w:r>
                  <w:r>
                    <w:rPr>
                      <w:color w:val="auto"/>
                      <w:sz w:val="21"/>
                      <w:szCs w:val="21"/>
                      <w:vertAlign w:val="superscript"/>
                    </w:rPr>
                    <w:t>2</w:t>
                  </w:r>
                </w:p>
              </w:tc>
              <w:tc>
                <w:tcPr>
                  <w:tcW w:w="747" w:type="dxa"/>
                  <w:tcBorders>
                    <w:top w:val="single" w:color="auto" w:sz="8" w:space="0"/>
                  </w:tcBorders>
                  <w:shd w:val="clear" w:color="auto" w:fill="auto"/>
                  <w:noWrap w:val="0"/>
                  <w:vAlign w:val="center"/>
                </w:tcPr>
                <w:p w14:paraId="1A5B57D0">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桶装</w:t>
                  </w:r>
                </w:p>
              </w:tc>
              <w:tc>
                <w:tcPr>
                  <w:tcW w:w="680" w:type="dxa"/>
                  <w:tcBorders>
                    <w:top w:val="single" w:color="auto" w:sz="8" w:space="0"/>
                  </w:tcBorders>
                  <w:shd w:val="clear" w:color="auto" w:fill="auto"/>
                  <w:noWrap w:val="0"/>
                  <w:vAlign w:val="center"/>
                </w:tcPr>
                <w:p w14:paraId="1660529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rFonts w:hint="eastAsia"/>
                      <w:color w:val="auto"/>
                      <w:sz w:val="21"/>
                      <w:szCs w:val="21"/>
                      <w:lang w:val="en-US" w:eastAsia="zh-CN"/>
                    </w:rPr>
                    <w:t>5</w:t>
                  </w:r>
                  <w:r>
                    <w:rPr>
                      <w:rFonts w:hint="eastAsia"/>
                      <w:color w:val="auto"/>
                      <w:sz w:val="21"/>
                      <w:szCs w:val="21"/>
                    </w:rPr>
                    <w:t>t</w:t>
                  </w:r>
                </w:p>
              </w:tc>
              <w:tc>
                <w:tcPr>
                  <w:tcW w:w="815" w:type="dxa"/>
                  <w:tcBorders>
                    <w:top w:val="single" w:color="auto" w:sz="8" w:space="0"/>
                  </w:tcBorders>
                  <w:shd w:val="clear" w:color="auto" w:fill="auto"/>
                  <w:noWrap w:val="0"/>
                  <w:vAlign w:val="center"/>
                </w:tcPr>
                <w:p w14:paraId="147BE671">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color w:val="auto"/>
                      <w:sz w:val="21"/>
                      <w:szCs w:val="21"/>
                    </w:rPr>
                  </w:pPr>
                  <w:r>
                    <w:rPr>
                      <w:color w:val="auto"/>
                      <w:sz w:val="21"/>
                      <w:szCs w:val="21"/>
                    </w:rPr>
                    <w:t>1年</w:t>
                  </w:r>
                </w:p>
              </w:tc>
            </w:tr>
          </w:tbl>
          <w:p w14:paraId="58F6E21A">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480" w:firstLineChars="200"/>
              <w:textAlignment w:val="auto"/>
              <w:rPr>
                <w:rFonts w:hint="default" w:ascii="Times New Roman" w:hAnsi="Times New Roman" w:cs="Times New Roman"/>
                <w:snapToGrid w:val="0"/>
                <w:color w:val="auto"/>
                <w:spacing w:val="0"/>
                <w:position w:val="0"/>
                <w:sz w:val="24"/>
                <w:szCs w:val="24"/>
                <w:lang w:eastAsia="zh-CN"/>
              </w:rPr>
            </w:pPr>
            <w:r>
              <w:rPr>
                <w:rFonts w:hint="default" w:ascii="Times New Roman" w:hAnsi="Times New Roman" w:cs="Times New Roman"/>
                <w:snapToGrid w:val="0"/>
                <w:color w:val="auto"/>
                <w:spacing w:val="0"/>
                <w:position w:val="0"/>
                <w:sz w:val="24"/>
                <w:szCs w:val="24"/>
                <w:lang w:eastAsia="zh-CN"/>
              </w:rPr>
              <w:t>危废暂存间内危险废物装入暂存桶内，并分区、分层整齐堆放，粘贴危废标签。建立严格管理制度，定期对危废贮存容器及危废储存间进行检查，若发现容器破裂或地面出现裂痕应及时采取措施，避免危废</w:t>
            </w:r>
            <w:r>
              <w:rPr>
                <w:rFonts w:hint="eastAsia" w:ascii="Times New Roman" w:hAnsi="Times New Roman" w:cs="Times New Roman"/>
                <w:snapToGrid w:val="0"/>
                <w:color w:val="auto"/>
                <w:spacing w:val="0"/>
                <w:position w:val="0"/>
                <w:sz w:val="24"/>
                <w:szCs w:val="24"/>
                <w:lang w:eastAsia="zh-CN"/>
              </w:rPr>
              <w:t>泄漏</w:t>
            </w:r>
            <w:r>
              <w:rPr>
                <w:rFonts w:hint="default" w:ascii="Times New Roman" w:hAnsi="Times New Roman" w:cs="Times New Roman"/>
                <w:snapToGrid w:val="0"/>
                <w:color w:val="auto"/>
                <w:spacing w:val="0"/>
                <w:position w:val="0"/>
                <w:sz w:val="24"/>
                <w:szCs w:val="24"/>
                <w:lang w:eastAsia="zh-CN"/>
              </w:rPr>
              <w:t>或下渗，污染区域水环境；</w:t>
            </w:r>
            <w:r>
              <w:rPr>
                <w:rFonts w:hint="eastAsia" w:ascii="Times New Roman" w:hAnsi="Times New Roman" w:cs="Times New Roman"/>
                <w:snapToGrid w:val="0"/>
                <w:color w:val="auto"/>
                <w:spacing w:val="0"/>
                <w:position w:val="0"/>
                <w:sz w:val="24"/>
                <w:szCs w:val="24"/>
                <w:lang w:eastAsia="zh-CN"/>
              </w:rPr>
              <w:t>设置</w:t>
            </w:r>
            <w:r>
              <w:rPr>
                <w:rFonts w:hint="default" w:ascii="Times New Roman" w:hAnsi="Times New Roman" w:cs="Times New Roman"/>
                <w:snapToGrid w:val="0"/>
                <w:color w:val="auto"/>
                <w:spacing w:val="0"/>
                <w:position w:val="0"/>
                <w:sz w:val="24"/>
                <w:szCs w:val="24"/>
                <w:lang w:eastAsia="zh-CN"/>
              </w:rPr>
              <w:t>安全照明设施，设置干粉灭火器，并建立严格管理制度，定期检查。危险废物的转运严格按照有关规定，实行联单制度。</w:t>
            </w:r>
          </w:p>
          <w:p w14:paraId="42E021FD">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480" w:firstLineChars="200"/>
              <w:textAlignment w:val="auto"/>
              <w:rPr>
                <w:rFonts w:hint="default" w:ascii="Times New Roman" w:hAnsi="Times New Roman" w:cs="Times New Roman"/>
                <w:snapToGrid w:val="0"/>
                <w:color w:val="auto"/>
                <w:spacing w:val="0"/>
                <w:position w:val="0"/>
                <w:sz w:val="24"/>
                <w:szCs w:val="24"/>
                <w:lang w:eastAsia="zh-CN"/>
              </w:rPr>
            </w:pPr>
            <w:r>
              <w:rPr>
                <w:rFonts w:hint="default" w:ascii="Times New Roman" w:hAnsi="Times New Roman" w:cs="Times New Roman"/>
                <w:snapToGrid w:val="0"/>
                <w:color w:val="auto"/>
                <w:spacing w:val="0"/>
                <w:position w:val="0"/>
                <w:sz w:val="24"/>
                <w:szCs w:val="24"/>
                <w:lang w:eastAsia="zh-CN"/>
              </w:rPr>
              <w:t>危险废物暂存间及危险废物管理应严格按照《危险废物贮存污染控制标准》（GB18597-20</w:t>
            </w:r>
            <w:r>
              <w:rPr>
                <w:rFonts w:hint="eastAsia" w:ascii="Times New Roman" w:hAnsi="Times New Roman" w:cs="Times New Roman"/>
                <w:snapToGrid w:val="0"/>
                <w:color w:val="auto"/>
                <w:spacing w:val="0"/>
                <w:position w:val="0"/>
                <w:sz w:val="24"/>
                <w:szCs w:val="24"/>
                <w:lang w:val="en-US" w:eastAsia="zh-CN"/>
              </w:rPr>
              <w:t>23</w:t>
            </w:r>
            <w:r>
              <w:rPr>
                <w:rFonts w:hint="default" w:ascii="Times New Roman" w:hAnsi="Times New Roman" w:cs="Times New Roman"/>
                <w:snapToGrid w:val="0"/>
                <w:color w:val="auto"/>
                <w:spacing w:val="0"/>
                <w:position w:val="0"/>
                <w:sz w:val="24"/>
                <w:szCs w:val="24"/>
                <w:lang w:eastAsia="zh-CN"/>
              </w:rPr>
              <w:t>）和《河南省环境保护厅关于印发河南省危险废物规范化管理工作指南（试行）的通知》（豫环文[2012]18号）要求设置，具体贮存、运输及管理措施如下：</w:t>
            </w:r>
          </w:p>
          <w:p w14:paraId="7E61FDAB">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480" w:firstLineChars="200"/>
              <w:textAlignment w:val="auto"/>
              <w:rPr>
                <w:rFonts w:hint="default" w:ascii="Times New Roman" w:hAnsi="Times New Roman" w:cs="Times New Roman"/>
                <w:snapToGrid w:val="0"/>
                <w:color w:val="auto"/>
                <w:spacing w:val="0"/>
                <w:position w:val="0"/>
                <w:sz w:val="24"/>
                <w:szCs w:val="24"/>
                <w:lang w:eastAsia="zh-CN"/>
              </w:rPr>
            </w:pPr>
            <w:r>
              <w:rPr>
                <w:rFonts w:hint="default" w:ascii="Times New Roman" w:hAnsi="Times New Roman" w:cs="Times New Roman"/>
                <w:snapToGrid w:val="0"/>
                <w:color w:val="auto"/>
                <w:spacing w:val="0"/>
                <w:position w:val="0"/>
                <w:sz w:val="24"/>
                <w:szCs w:val="24"/>
                <w:lang w:eastAsia="zh-CN"/>
              </w:rPr>
              <w:t>①产生危险废物的车间，必须向公司质量安全环保部门申报危险废物的种类、产生量、流向、贮存、处置等有关资料，制定危险废物管理计划，并报公司质量安全环保部门审批。管理计划应当包括减少危险废物产生量和危害性的措施，以及危险废物贮存、利用、处置措施。公司质量安全环保部门负责编制公司危险废物管理计划，危险废物管理计划每年编制一次。</w:t>
            </w:r>
          </w:p>
          <w:p w14:paraId="7EB1B230">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480" w:firstLineChars="200"/>
              <w:textAlignment w:val="auto"/>
              <w:rPr>
                <w:rFonts w:hint="default" w:ascii="Times New Roman" w:hAnsi="Times New Roman" w:cs="Times New Roman"/>
                <w:snapToGrid w:val="0"/>
                <w:color w:val="auto"/>
                <w:spacing w:val="0"/>
                <w:position w:val="0"/>
                <w:sz w:val="24"/>
                <w:szCs w:val="24"/>
                <w:lang w:eastAsia="zh-CN"/>
              </w:rPr>
            </w:pPr>
            <w:r>
              <w:rPr>
                <w:rFonts w:hint="default" w:ascii="Times New Roman" w:hAnsi="Times New Roman" w:cs="Times New Roman"/>
                <w:snapToGrid w:val="0"/>
                <w:color w:val="auto"/>
                <w:spacing w:val="0"/>
                <w:position w:val="0"/>
                <w:sz w:val="24"/>
                <w:szCs w:val="24"/>
                <w:lang w:eastAsia="zh-CN"/>
              </w:rPr>
              <w:t>②危险废物的容器和包装物以及收集、贮存、运输、处置危险废物的设施、场所，必须设置危险废物识别标志，危废临时储存室地面与墙面需涂刷防渗漆，墙面涂刷高度不低于0.5m，表层无裂痕，保证渗透系数≤10</w:t>
            </w:r>
            <w:r>
              <w:rPr>
                <w:rFonts w:hint="default" w:ascii="Times New Roman" w:hAnsi="Times New Roman" w:cs="Times New Roman"/>
                <w:snapToGrid w:val="0"/>
                <w:color w:val="auto"/>
                <w:spacing w:val="0"/>
                <w:position w:val="0"/>
                <w:sz w:val="24"/>
                <w:szCs w:val="24"/>
                <w:vertAlign w:val="superscript"/>
                <w:lang w:eastAsia="zh-CN"/>
              </w:rPr>
              <w:t>-10</w:t>
            </w:r>
            <w:r>
              <w:rPr>
                <w:rFonts w:hint="default" w:ascii="Times New Roman" w:hAnsi="Times New Roman" w:cs="Times New Roman"/>
                <w:snapToGrid w:val="0"/>
                <w:color w:val="auto"/>
                <w:spacing w:val="0"/>
                <w:position w:val="0"/>
                <w:sz w:val="24"/>
                <w:szCs w:val="24"/>
                <w:lang w:eastAsia="zh-CN"/>
              </w:rPr>
              <w:t>cm/s；存放区四周设有围挡，以免危废容器破裂，导致危险废物</w:t>
            </w:r>
            <w:r>
              <w:rPr>
                <w:rFonts w:hint="eastAsia" w:ascii="Times New Roman" w:hAnsi="Times New Roman" w:cs="Times New Roman"/>
                <w:snapToGrid w:val="0"/>
                <w:color w:val="auto"/>
                <w:spacing w:val="0"/>
                <w:position w:val="0"/>
                <w:sz w:val="24"/>
                <w:szCs w:val="24"/>
                <w:lang w:eastAsia="zh-CN"/>
              </w:rPr>
              <w:t>泄漏</w:t>
            </w:r>
            <w:r>
              <w:rPr>
                <w:rFonts w:hint="default" w:ascii="Times New Roman" w:hAnsi="Times New Roman" w:cs="Times New Roman"/>
                <w:snapToGrid w:val="0"/>
                <w:color w:val="auto"/>
                <w:spacing w:val="0"/>
                <w:position w:val="0"/>
                <w:sz w:val="24"/>
                <w:szCs w:val="24"/>
                <w:lang w:eastAsia="zh-CN"/>
              </w:rPr>
              <w:t>蔓延污染土壤和地下水。</w:t>
            </w:r>
          </w:p>
          <w:p w14:paraId="21D975C9">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480" w:firstLineChars="200"/>
              <w:textAlignment w:val="auto"/>
              <w:rPr>
                <w:rFonts w:hint="default" w:ascii="Times New Roman" w:hAnsi="Times New Roman" w:cs="Times New Roman"/>
                <w:snapToGrid w:val="0"/>
                <w:color w:val="auto"/>
                <w:spacing w:val="0"/>
                <w:position w:val="0"/>
                <w:sz w:val="24"/>
                <w:szCs w:val="24"/>
                <w:lang w:eastAsia="zh-CN"/>
              </w:rPr>
            </w:pPr>
            <w:r>
              <w:rPr>
                <w:rFonts w:hint="default" w:ascii="Times New Roman" w:hAnsi="Times New Roman" w:cs="Times New Roman"/>
                <w:snapToGrid w:val="0"/>
                <w:color w:val="auto"/>
                <w:spacing w:val="0"/>
                <w:position w:val="0"/>
                <w:sz w:val="24"/>
                <w:szCs w:val="24"/>
                <w:lang w:eastAsia="zh-CN"/>
              </w:rPr>
              <w:t>③收集、贮存危险废物，必须按照危险废物特性分类进行。禁止混合收集、贮存、运输、处置性质不相容而未经安全性处置的危险废物。</w:t>
            </w:r>
          </w:p>
          <w:p w14:paraId="3CA10379">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480" w:firstLineChars="200"/>
              <w:textAlignment w:val="auto"/>
              <w:rPr>
                <w:rFonts w:hint="default" w:ascii="Times New Roman" w:hAnsi="Times New Roman" w:cs="Times New Roman"/>
                <w:snapToGrid w:val="0"/>
                <w:color w:val="auto"/>
                <w:spacing w:val="0"/>
                <w:position w:val="0"/>
                <w:sz w:val="24"/>
                <w:szCs w:val="24"/>
                <w:lang w:eastAsia="zh-CN"/>
              </w:rPr>
            </w:pPr>
            <w:r>
              <w:rPr>
                <w:rFonts w:hint="default" w:ascii="Times New Roman" w:hAnsi="Times New Roman" w:cs="Times New Roman"/>
                <w:snapToGrid w:val="0"/>
                <w:color w:val="auto"/>
                <w:spacing w:val="0"/>
                <w:position w:val="0"/>
                <w:sz w:val="24"/>
                <w:szCs w:val="24"/>
                <w:lang w:eastAsia="zh-CN"/>
              </w:rPr>
              <w:t>④禁止将危险废物混入一般固体废物中贮存。</w:t>
            </w:r>
          </w:p>
          <w:p w14:paraId="61C65F8A">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480" w:firstLineChars="200"/>
              <w:textAlignment w:val="auto"/>
              <w:rPr>
                <w:rFonts w:hint="default" w:ascii="Times New Roman" w:hAnsi="Times New Roman" w:cs="Times New Roman"/>
                <w:snapToGrid w:val="0"/>
                <w:color w:val="auto"/>
                <w:spacing w:val="0"/>
                <w:position w:val="0"/>
                <w:sz w:val="24"/>
                <w:szCs w:val="24"/>
                <w:lang w:eastAsia="zh-CN"/>
              </w:rPr>
            </w:pPr>
            <w:r>
              <w:rPr>
                <w:rFonts w:hint="default" w:ascii="Times New Roman" w:hAnsi="Times New Roman" w:cs="Times New Roman"/>
                <w:snapToGrid w:val="0"/>
                <w:color w:val="auto"/>
                <w:spacing w:val="0"/>
                <w:position w:val="0"/>
                <w:sz w:val="24"/>
                <w:szCs w:val="24"/>
                <w:lang w:eastAsia="zh-CN"/>
              </w:rPr>
              <w:t>⑤贮存危险废物必须采取符合国家环境保护标准的防护措施，并不得超过一年；确需延长期限的，必须提前一个月报公司质量安全环保部批准。</w:t>
            </w:r>
          </w:p>
          <w:p w14:paraId="3807882C">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480" w:firstLineChars="200"/>
              <w:textAlignment w:val="auto"/>
              <w:rPr>
                <w:rFonts w:hint="default" w:ascii="Times New Roman" w:hAnsi="Times New Roman" w:cs="Times New Roman"/>
                <w:snapToGrid w:val="0"/>
                <w:color w:val="auto"/>
                <w:spacing w:val="0"/>
                <w:position w:val="0"/>
                <w:sz w:val="24"/>
                <w:szCs w:val="24"/>
                <w:lang w:eastAsia="zh-CN"/>
              </w:rPr>
            </w:pPr>
            <w:r>
              <w:rPr>
                <w:rFonts w:hint="default" w:ascii="Times New Roman" w:hAnsi="Times New Roman" w:cs="Times New Roman"/>
                <w:snapToGrid w:val="0"/>
                <w:color w:val="auto"/>
                <w:spacing w:val="0"/>
                <w:position w:val="0"/>
                <w:sz w:val="24"/>
                <w:szCs w:val="24"/>
                <w:lang w:eastAsia="zh-CN"/>
              </w:rPr>
              <w:t>⑥收集、贮存、运输、处置危险废物的场所、设施、设备和容器、包装物及其他物品转作他用时，必须经过消除污染的处理，方可使用。</w:t>
            </w:r>
          </w:p>
          <w:p w14:paraId="6D3DDB21">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480" w:firstLineChars="200"/>
              <w:textAlignment w:val="auto"/>
              <w:rPr>
                <w:rFonts w:hint="default" w:ascii="Times New Roman" w:hAnsi="Times New Roman" w:cs="Times New Roman"/>
                <w:snapToGrid w:val="0"/>
                <w:color w:val="auto"/>
                <w:spacing w:val="0"/>
                <w:position w:val="0"/>
                <w:sz w:val="24"/>
                <w:szCs w:val="24"/>
                <w:lang w:eastAsia="zh-CN"/>
              </w:rPr>
            </w:pPr>
            <w:r>
              <w:rPr>
                <w:rFonts w:hint="default" w:ascii="Times New Roman" w:hAnsi="Times New Roman" w:cs="Times New Roman"/>
                <w:snapToGrid w:val="0"/>
                <w:color w:val="auto"/>
                <w:spacing w:val="0"/>
                <w:position w:val="0"/>
                <w:sz w:val="24"/>
                <w:szCs w:val="24"/>
                <w:lang w:eastAsia="zh-CN"/>
              </w:rPr>
              <w:t>⑦发生或者有证据证明可能发生危险废物严重污染环境、威胁居民生命财产安全时，公司质量安全环保部根据需要可责令停止导致或者可能导致环境污染事故的作业，采取防止或者减轻危害的有效措施。</w:t>
            </w:r>
          </w:p>
          <w:p w14:paraId="7864CC2C">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480" w:firstLineChars="200"/>
              <w:textAlignment w:val="auto"/>
              <w:rPr>
                <w:rFonts w:hint="default" w:ascii="Times New Roman" w:hAnsi="Times New Roman" w:cs="Times New Roman"/>
                <w:snapToGrid w:val="0"/>
                <w:color w:val="auto"/>
                <w:spacing w:val="0"/>
                <w:position w:val="0"/>
                <w:sz w:val="24"/>
                <w:szCs w:val="24"/>
                <w:lang w:eastAsia="zh-CN"/>
              </w:rPr>
            </w:pPr>
            <w:r>
              <w:rPr>
                <w:rFonts w:hint="default" w:ascii="Times New Roman" w:hAnsi="Times New Roman" w:cs="Times New Roman"/>
                <w:snapToGrid w:val="0"/>
                <w:color w:val="auto"/>
                <w:spacing w:val="0"/>
                <w:position w:val="0"/>
                <w:sz w:val="24"/>
                <w:szCs w:val="24"/>
                <w:lang w:eastAsia="zh-CN"/>
              </w:rPr>
              <w:t>⑧转移危险废物的，必须按照国家有关规定填写危险废物转移联单。</w:t>
            </w:r>
          </w:p>
          <w:p w14:paraId="3AA103A1">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480" w:firstLineChars="200"/>
              <w:textAlignment w:val="auto"/>
              <w:rPr>
                <w:rFonts w:hint="default" w:ascii="Times New Roman" w:hAnsi="Times New Roman" w:cs="Times New Roman"/>
                <w:snapToGrid w:val="0"/>
                <w:color w:val="auto"/>
                <w:spacing w:val="0"/>
                <w:position w:val="0"/>
                <w:sz w:val="24"/>
                <w:szCs w:val="24"/>
                <w:lang w:eastAsia="zh-CN"/>
              </w:rPr>
            </w:pPr>
            <w:r>
              <w:rPr>
                <w:rFonts w:hint="default" w:ascii="Times New Roman" w:hAnsi="Times New Roman" w:cs="Times New Roman"/>
                <w:snapToGrid w:val="0"/>
                <w:color w:val="auto"/>
                <w:spacing w:val="0"/>
                <w:position w:val="0"/>
                <w:sz w:val="24"/>
                <w:szCs w:val="24"/>
                <w:lang w:eastAsia="zh-CN"/>
              </w:rPr>
              <w:t>⑨公司环保部负责办理危险废物转移和</w:t>
            </w:r>
            <w:r>
              <w:rPr>
                <w:rFonts w:hint="eastAsia" w:ascii="Times New Roman" w:hAnsi="Times New Roman" w:cs="Times New Roman"/>
                <w:snapToGrid w:val="0"/>
                <w:color w:val="auto"/>
                <w:spacing w:val="0"/>
                <w:position w:val="0"/>
                <w:sz w:val="24"/>
                <w:szCs w:val="24"/>
                <w:lang w:eastAsia="zh-CN"/>
              </w:rPr>
              <w:t>接收</w:t>
            </w:r>
            <w:r>
              <w:rPr>
                <w:rFonts w:hint="default" w:ascii="Times New Roman" w:hAnsi="Times New Roman" w:cs="Times New Roman"/>
                <w:snapToGrid w:val="0"/>
                <w:color w:val="auto"/>
                <w:spacing w:val="0"/>
                <w:position w:val="0"/>
                <w:sz w:val="24"/>
                <w:szCs w:val="24"/>
                <w:lang w:eastAsia="zh-CN"/>
              </w:rPr>
              <w:t>地</w:t>
            </w:r>
            <w:r>
              <w:rPr>
                <w:rFonts w:hint="eastAsia" w:ascii="Times New Roman" w:hAnsi="Times New Roman" w:cs="Times New Roman"/>
                <w:snapToGrid w:val="0"/>
                <w:color w:val="auto"/>
                <w:spacing w:val="0"/>
                <w:position w:val="0"/>
                <w:sz w:val="24"/>
                <w:szCs w:val="24"/>
                <w:lang w:eastAsia="zh-CN"/>
              </w:rPr>
              <w:t>环</w:t>
            </w:r>
            <w:r>
              <w:rPr>
                <w:rFonts w:hint="default" w:ascii="Times New Roman" w:hAnsi="Times New Roman" w:cs="Times New Roman"/>
                <w:snapToGrid w:val="0"/>
                <w:color w:val="auto"/>
                <w:spacing w:val="0"/>
                <w:position w:val="0"/>
                <w:sz w:val="24"/>
                <w:szCs w:val="24"/>
                <w:lang w:eastAsia="zh-CN"/>
              </w:rPr>
              <w:t>境保护行政审批手续。</w:t>
            </w:r>
          </w:p>
          <w:p w14:paraId="33EEBEBC">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480" w:firstLineChars="200"/>
              <w:textAlignment w:val="auto"/>
              <w:rPr>
                <w:rFonts w:hint="default" w:ascii="Times New Roman" w:hAnsi="Times New Roman" w:eastAsia="宋体" w:cs="Times New Roman"/>
                <w:snapToGrid w:val="0"/>
                <w:color w:val="auto"/>
                <w:spacing w:val="0"/>
                <w:position w:val="0"/>
                <w:sz w:val="24"/>
                <w:szCs w:val="24"/>
                <w:lang w:val="en-US" w:eastAsia="zh-CN"/>
              </w:rPr>
            </w:pPr>
            <w:r>
              <w:rPr>
                <w:rFonts w:hint="default" w:ascii="Times New Roman" w:hAnsi="Times New Roman" w:eastAsia="宋体" w:cs="Times New Roman"/>
                <w:snapToGrid w:val="0"/>
                <w:color w:val="auto"/>
                <w:spacing w:val="0"/>
                <w:position w:val="0"/>
                <w:sz w:val="24"/>
                <w:szCs w:val="24"/>
                <w:lang w:val="en-US" w:eastAsia="zh-CN"/>
              </w:rPr>
              <w:t>（3）生活垃圾</w:t>
            </w:r>
          </w:p>
          <w:p w14:paraId="276DB042">
            <w:pPr>
              <w:keepNext w:val="0"/>
              <w:keepLines w:val="0"/>
              <w:pageBreakBefore w:val="0"/>
              <w:widowControl w:val="0"/>
              <w:kinsoku/>
              <w:wordWrap/>
              <w:overflowPunct/>
              <w:topLinePunct w:val="0"/>
              <w:autoSpaceDE w:val="0"/>
              <w:autoSpaceDN w:val="0"/>
              <w:bidi w:val="0"/>
              <w:adjustRightInd w:val="0"/>
              <w:snapToGrid w:val="0"/>
              <w:spacing w:line="520" w:lineRule="exact"/>
              <w:ind w:left="0" w:leftChars="0" w:right="0" w:rightChars="0" w:firstLine="480" w:firstLineChars="200"/>
              <w:textAlignment w:val="auto"/>
              <w:rPr>
                <w:rFonts w:hint="default" w:ascii="Times New Roman" w:hAnsi="Times New Roman" w:eastAsia="宋体" w:cs="Times New Roman"/>
                <w:snapToGrid w:val="0"/>
                <w:color w:val="auto"/>
                <w:spacing w:val="0"/>
                <w:position w:val="0"/>
                <w:sz w:val="24"/>
                <w:szCs w:val="24"/>
                <w:lang w:val="en-US" w:eastAsia="zh-CN"/>
              </w:rPr>
            </w:pPr>
            <w:r>
              <w:rPr>
                <w:rFonts w:hint="default" w:ascii="Times New Roman" w:hAnsi="Times New Roman" w:eastAsia="宋体" w:cs="Times New Roman"/>
                <w:snapToGrid w:val="0"/>
                <w:color w:val="auto"/>
                <w:spacing w:val="0"/>
                <w:position w:val="0"/>
                <w:sz w:val="24"/>
                <w:szCs w:val="24"/>
                <w:lang w:val="en-US" w:eastAsia="zh-CN"/>
              </w:rPr>
              <w:t>本项目劳动定员</w:t>
            </w:r>
            <w:r>
              <w:rPr>
                <w:rFonts w:hint="eastAsia" w:cs="Times New Roman"/>
                <w:snapToGrid w:val="0"/>
                <w:color w:val="auto"/>
                <w:spacing w:val="0"/>
                <w:position w:val="0"/>
                <w:sz w:val="24"/>
                <w:szCs w:val="24"/>
                <w:lang w:val="en-US" w:eastAsia="zh-CN"/>
              </w:rPr>
              <w:t>40</w:t>
            </w:r>
            <w:r>
              <w:rPr>
                <w:rFonts w:hint="default" w:ascii="Times New Roman" w:hAnsi="Times New Roman" w:eastAsia="宋体" w:cs="Times New Roman"/>
                <w:snapToGrid w:val="0"/>
                <w:color w:val="auto"/>
                <w:spacing w:val="0"/>
                <w:position w:val="0"/>
                <w:sz w:val="24"/>
                <w:szCs w:val="24"/>
                <w:lang w:val="en-US" w:eastAsia="zh-CN"/>
              </w:rPr>
              <w:t>人，生活垃圾产生量按每人0.5kg/d计算，年工作时间为</w:t>
            </w:r>
            <w:r>
              <w:rPr>
                <w:rFonts w:hint="eastAsia" w:cs="Times New Roman"/>
                <w:snapToGrid w:val="0"/>
                <w:color w:val="auto"/>
                <w:spacing w:val="0"/>
                <w:position w:val="0"/>
                <w:sz w:val="24"/>
                <w:szCs w:val="24"/>
                <w:lang w:val="en-US" w:eastAsia="zh-CN"/>
              </w:rPr>
              <w:t>260</w:t>
            </w:r>
            <w:r>
              <w:rPr>
                <w:rFonts w:hint="default" w:ascii="Times New Roman" w:hAnsi="Times New Roman" w:eastAsia="宋体" w:cs="Times New Roman"/>
                <w:snapToGrid w:val="0"/>
                <w:color w:val="auto"/>
                <w:spacing w:val="0"/>
                <w:position w:val="0"/>
                <w:sz w:val="24"/>
                <w:szCs w:val="24"/>
                <w:lang w:val="en-US" w:eastAsia="zh-CN"/>
              </w:rPr>
              <w:t>天，则生活垃圾产生量为</w:t>
            </w:r>
            <w:r>
              <w:rPr>
                <w:rFonts w:hint="eastAsia" w:eastAsia="宋体" w:cs="Times New Roman"/>
                <w:snapToGrid w:val="0"/>
                <w:color w:val="auto"/>
                <w:spacing w:val="0"/>
                <w:position w:val="0"/>
                <w:sz w:val="24"/>
                <w:szCs w:val="24"/>
                <w:lang w:val="en-US" w:eastAsia="zh-CN"/>
              </w:rPr>
              <w:t>2</w:t>
            </w:r>
            <w:r>
              <w:rPr>
                <w:rFonts w:hint="eastAsia" w:cs="Times New Roman"/>
                <w:snapToGrid w:val="0"/>
                <w:color w:val="auto"/>
                <w:spacing w:val="0"/>
                <w:position w:val="0"/>
                <w:sz w:val="24"/>
                <w:szCs w:val="24"/>
                <w:lang w:val="en-US" w:eastAsia="zh-CN"/>
              </w:rPr>
              <w:t>0</w:t>
            </w:r>
            <w:r>
              <w:rPr>
                <w:rFonts w:hint="default" w:ascii="Times New Roman" w:hAnsi="Times New Roman" w:eastAsia="宋体" w:cs="Times New Roman"/>
                <w:snapToGrid w:val="0"/>
                <w:color w:val="auto"/>
                <w:spacing w:val="0"/>
                <w:position w:val="0"/>
                <w:sz w:val="24"/>
                <w:szCs w:val="24"/>
                <w:lang w:val="en-US" w:eastAsia="zh-CN"/>
              </w:rPr>
              <w:t>kg/d（</w:t>
            </w:r>
            <w:r>
              <w:rPr>
                <w:rFonts w:hint="eastAsia" w:cs="Times New Roman"/>
                <w:snapToGrid w:val="0"/>
                <w:color w:val="auto"/>
                <w:spacing w:val="0"/>
                <w:position w:val="0"/>
                <w:sz w:val="24"/>
                <w:szCs w:val="24"/>
                <w:lang w:val="en-US" w:eastAsia="zh-CN"/>
              </w:rPr>
              <w:t>5.2</w:t>
            </w:r>
            <w:r>
              <w:rPr>
                <w:rFonts w:hint="default" w:ascii="Times New Roman" w:hAnsi="Times New Roman" w:eastAsia="宋体" w:cs="Times New Roman"/>
                <w:snapToGrid w:val="0"/>
                <w:color w:val="auto"/>
                <w:spacing w:val="0"/>
                <w:position w:val="0"/>
                <w:sz w:val="24"/>
                <w:szCs w:val="24"/>
                <w:lang w:val="en-US" w:eastAsia="zh-CN"/>
              </w:rPr>
              <w:t>t/a）。生活垃圾收集后暂存于垃圾箱内，由环卫部门定期清运。</w:t>
            </w:r>
          </w:p>
          <w:p w14:paraId="67F70211">
            <w:pPr>
              <w:keepNext w:val="0"/>
              <w:keepLines w:val="0"/>
              <w:pageBreakBefore w:val="0"/>
              <w:widowControl w:val="0"/>
              <w:kinsoku/>
              <w:wordWrap/>
              <w:overflowPunct/>
              <w:topLinePunct w:val="0"/>
              <w:bidi w:val="0"/>
              <w:spacing w:line="520" w:lineRule="exact"/>
              <w:ind w:left="0" w:leftChars="0" w:firstLine="480" w:firstLineChars="200"/>
              <w:textAlignment w:val="auto"/>
              <w:rPr>
                <w:rFonts w:hint="eastAsia" w:cs="Times New Roman"/>
                <w:b/>
                <w:bCs/>
                <w:color w:val="auto"/>
                <w:sz w:val="24"/>
                <w:szCs w:val="24"/>
                <w:lang w:val="en-US" w:eastAsia="zh-CN"/>
              </w:rPr>
            </w:pPr>
            <w:r>
              <w:rPr>
                <w:rFonts w:hint="default" w:ascii="Times New Roman" w:hAnsi="Times New Roman" w:eastAsia="宋体" w:cs="Times New Roman"/>
                <w:snapToGrid w:val="0"/>
                <w:color w:val="auto"/>
                <w:spacing w:val="0"/>
                <w:position w:val="0"/>
                <w:sz w:val="24"/>
                <w:szCs w:val="24"/>
                <w:lang w:eastAsia="zh-CN"/>
              </w:rPr>
              <w:t>评价认为，建设项目固体废物全部妥善处置，能够避免固体废物排放对环境的二次污染，不会对当地的景观环境和生态环境产生不利影响。</w:t>
            </w:r>
          </w:p>
          <w:p w14:paraId="0331A80A">
            <w:pPr>
              <w:keepNext w:val="0"/>
              <w:keepLines w:val="0"/>
              <w:pageBreakBefore w:val="0"/>
              <w:widowControl w:val="0"/>
              <w:numPr>
                <w:ilvl w:val="0"/>
                <w:numId w:val="0"/>
              </w:numPr>
              <w:suppressLineNumbers w:val="0"/>
              <w:kinsoku/>
              <w:wordWrap/>
              <w:overflowPunct/>
              <w:topLinePunct w:val="0"/>
              <w:autoSpaceDE/>
              <w:autoSpaceDN/>
              <w:bidi w:val="0"/>
              <w:adjustRightInd w:val="0"/>
              <w:snapToGrid w:val="0"/>
              <w:spacing w:before="0" w:beforeAutospacing="0" w:after="0" w:afterAutospacing="0" w:line="520" w:lineRule="exact"/>
              <w:ind w:left="0" w:right="0" w:firstLine="482" w:firstLineChars="200"/>
              <w:jc w:val="left"/>
              <w:textAlignment w:val="auto"/>
              <w:rPr>
                <w:rFonts w:hint="default" w:ascii="Times New Roman" w:hAnsi="Times New Roman" w:eastAsia="宋体" w:cs="Times New Roman"/>
                <w:b w:val="0"/>
                <w:bCs w:val="0"/>
                <w:color w:val="auto"/>
                <w:sz w:val="24"/>
                <w:szCs w:val="24"/>
                <w:lang w:val="en-US" w:eastAsia="zh-CN"/>
              </w:rPr>
            </w:pPr>
            <w:r>
              <w:rPr>
                <w:rFonts w:hint="eastAsia" w:cs="Times New Roman"/>
                <w:b/>
                <w:bCs/>
                <w:color w:val="auto"/>
                <w:sz w:val="24"/>
                <w:szCs w:val="24"/>
                <w:lang w:val="en-US" w:eastAsia="zh-CN"/>
              </w:rPr>
              <w:t>四</w:t>
            </w:r>
            <w:r>
              <w:rPr>
                <w:rFonts w:hint="default" w:ascii="Times New Roman" w:hAnsi="Times New Roman" w:eastAsia="宋体" w:cs="Times New Roman"/>
                <w:b/>
                <w:bCs/>
                <w:color w:val="auto"/>
                <w:sz w:val="24"/>
                <w:szCs w:val="24"/>
                <w:lang w:val="en-US" w:eastAsia="zh-CN"/>
              </w:rPr>
              <w:t>、地下水、土壤</w:t>
            </w:r>
          </w:p>
          <w:p w14:paraId="7F03A1B8">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0" w:firstLineChars="200"/>
              <w:textAlignment w:val="auto"/>
              <w:rPr>
                <w:rFonts w:hint="eastAsia"/>
                <w:color w:val="auto"/>
                <w:sz w:val="24"/>
                <w:szCs w:val="24"/>
              </w:rPr>
            </w:pPr>
            <w:r>
              <w:rPr>
                <w:rFonts w:hint="eastAsia"/>
                <w:color w:val="auto"/>
                <w:sz w:val="24"/>
                <w:szCs w:val="24"/>
              </w:rPr>
              <w:t>本项目正常运营过程中不会对所在区域地下水、土壤产生影响，潜在影响主要来自危险废物暂存区等防渗层的破损等导致废水进入地表，进而对地下水水质产生影响。建设单位需加强各生产单元及设备和危险废物暂存间等场所的日常管理，严格防渗防漏，避免对地下水环境产生不利的影响。及时发现地面渗漏状况，避免给土壤和地下水造成污染。本项目利用的危险废物暂存间按照《危险废物贮存污染控制标准》（GB18597-2023）中的相关要求进行了建设，采取的防渗方式为基层10公分混凝土垫层，上面铺设2mm高密度聚乙烯土工膜后浇筑5公分混凝土，渗透系数≤10-10cm/s。因此危废暂存过程中，</w:t>
            </w:r>
            <w:r>
              <w:rPr>
                <w:rFonts w:hint="eastAsia"/>
                <w:color w:val="auto"/>
                <w:sz w:val="24"/>
                <w:szCs w:val="24"/>
                <w:lang w:eastAsia="zh-CN"/>
              </w:rPr>
              <w:t>危险废物采用密闭桶储存，放置托盘中</w:t>
            </w:r>
            <w:r>
              <w:rPr>
                <w:rFonts w:hint="eastAsia"/>
                <w:color w:val="auto"/>
                <w:sz w:val="24"/>
                <w:szCs w:val="24"/>
              </w:rPr>
              <w:t>，不会对区域地下水产生显著影响，无需开展地下水、土壤环境质量现状调查。</w:t>
            </w:r>
          </w:p>
          <w:p w14:paraId="25AC32AD">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0" w:firstLineChars="200"/>
              <w:textAlignment w:val="auto"/>
              <w:rPr>
                <w:rFonts w:hint="eastAsia"/>
                <w:color w:val="auto"/>
                <w:sz w:val="24"/>
                <w:szCs w:val="24"/>
              </w:rPr>
            </w:pPr>
            <w:r>
              <w:rPr>
                <w:rFonts w:hint="eastAsia"/>
                <w:color w:val="auto"/>
                <w:sz w:val="24"/>
                <w:szCs w:val="24"/>
              </w:rPr>
              <w:t>防渗工程污染防治区根据工程物料或者污染物泄漏的途径和生产功能单元所处的位置，可划分为非污染防治区、一般污染防治区和重点污染防治区：</w:t>
            </w:r>
          </w:p>
          <w:p w14:paraId="3E4941B5">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0" w:firstLineChars="200"/>
              <w:textAlignment w:val="auto"/>
              <w:rPr>
                <w:rFonts w:hint="eastAsia"/>
                <w:color w:val="auto"/>
                <w:sz w:val="24"/>
                <w:szCs w:val="24"/>
              </w:rPr>
            </w:pPr>
            <w:r>
              <w:rPr>
                <w:rFonts w:hint="eastAsia"/>
                <w:color w:val="auto"/>
                <w:sz w:val="24"/>
                <w:szCs w:val="24"/>
              </w:rPr>
              <w:t>①重点防渗区</w:t>
            </w:r>
          </w:p>
          <w:p w14:paraId="2D980160">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0" w:firstLineChars="200"/>
              <w:textAlignment w:val="auto"/>
              <w:rPr>
                <w:rFonts w:hint="eastAsia"/>
                <w:color w:val="auto"/>
                <w:sz w:val="24"/>
                <w:szCs w:val="24"/>
              </w:rPr>
            </w:pPr>
            <w:r>
              <w:rPr>
                <w:rFonts w:hint="eastAsia"/>
                <w:color w:val="auto"/>
                <w:sz w:val="24"/>
                <w:szCs w:val="24"/>
              </w:rPr>
              <w:t>指可能污染地下水环境的污染物泄漏后不容易被及时发现和处理的区域或部位。本项目重点防渗区主要包括</w:t>
            </w:r>
            <w:r>
              <w:rPr>
                <w:rFonts w:hint="eastAsia"/>
                <w:color w:val="auto"/>
                <w:sz w:val="24"/>
                <w:szCs w:val="24"/>
                <w:lang w:eastAsia="zh-CN"/>
              </w:rPr>
              <w:t>危废暂存间、化粪池</w:t>
            </w:r>
            <w:r>
              <w:rPr>
                <w:rFonts w:hint="eastAsia"/>
                <w:color w:val="auto"/>
                <w:sz w:val="24"/>
                <w:szCs w:val="24"/>
              </w:rPr>
              <w:t>等。危废暂存间四周设置导流槽，将泄漏物质导流入应急池，导流槽和应急池相应做好防渗处理。危险废物采用桶装，桶下设置托盘。危废暂存间采用砖混结构，采取的防渗方式为基层10公分混凝土垫层，上面铺设2mm高密度聚乙烯土工膜后浇筑5公分混凝土，渗透系数≤10-10cm/s，符合等效黏土防渗层 Mb≥6.0m，K≤1×10-7cm/s的要求，并张贴醒目的标识，并张贴醒目的标识。</w:t>
            </w:r>
          </w:p>
          <w:p w14:paraId="74704751">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0" w:firstLineChars="200"/>
              <w:textAlignment w:val="auto"/>
              <w:rPr>
                <w:rFonts w:hint="eastAsia"/>
                <w:color w:val="auto"/>
                <w:sz w:val="24"/>
                <w:szCs w:val="24"/>
              </w:rPr>
            </w:pPr>
            <w:r>
              <w:rPr>
                <w:rFonts w:hint="eastAsia"/>
                <w:color w:val="auto"/>
                <w:sz w:val="24"/>
                <w:szCs w:val="24"/>
              </w:rPr>
              <w:t>②一般防渗区</w:t>
            </w:r>
          </w:p>
          <w:p w14:paraId="5752FC53">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0" w:firstLineChars="200"/>
              <w:textAlignment w:val="auto"/>
              <w:rPr>
                <w:rFonts w:hint="eastAsia"/>
                <w:color w:val="auto"/>
                <w:sz w:val="24"/>
                <w:szCs w:val="24"/>
              </w:rPr>
            </w:pPr>
            <w:r>
              <w:rPr>
                <w:rFonts w:hint="eastAsia"/>
                <w:color w:val="auto"/>
                <w:sz w:val="24"/>
                <w:szCs w:val="24"/>
              </w:rPr>
              <w:t>一般防渗区为生产车间、一般固废间。地面为厚度不小于200mm的P6抗渗混凝土硬化地面，其防渗技术要求可满足等效黏土防渗层Mb≥1.5m，K≤1×10-7cm/s 的要求，一般固废暂存间，底部厚度大于0.8mm的高密度聚乙烯膜进行防渗处理，等效黏土Mb≥1.5m，K≤1.0×10-7cm/s。</w:t>
            </w:r>
          </w:p>
          <w:p w14:paraId="3A8743D9">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0" w:firstLineChars="200"/>
              <w:textAlignment w:val="auto"/>
              <w:rPr>
                <w:rFonts w:hint="eastAsia"/>
                <w:color w:val="auto"/>
                <w:sz w:val="24"/>
                <w:szCs w:val="24"/>
              </w:rPr>
            </w:pPr>
            <w:r>
              <w:rPr>
                <w:rFonts w:hint="eastAsia"/>
                <w:color w:val="auto"/>
                <w:sz w:val="24"/>
                <w:szCs w:val="24"/>
              </w:rPr>
              <w:t>③简单防渗区</w:t>
            </w:r>
          </w:p>
          <w:p w14:paraId="0804B4E3">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0" w:firstLineChars="200"/>
              <w:textAlignment w:val="auto"/>
              <w:rPr>
                <w:rFonts w:hint="eastAsia"/>
                <w:color w:val="auto"/>
                <w:sz w:val="24"/>
                <w:szCs w:val="24"/>
              </w:rPr>
            </w:pPr>
            <w:r>
              <w:rPr>
                <w:rFonts w:hint="eastAsia"/>
                <w:color w:val="auto"/>
                <w:sz w:val="24"/>
                <w:szCs w:val="24"/>
              </w:rPr>
              <w:t>厂内办公区属于简单防渗区，地面进行水泥硬化。</w:t>
            </w:r>
          </w:p>
          <w:p w14:paraId="6EEE0BBB">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0" w:firstLineChars="200"/>
              <w:textAlignment w:val="auto"/>
              <w:rPr>
                <w:rFonts w:hint="eastAsia"/>
                <w:color w:val="auto"/>
                <w:sz w:val="24"/>
                <w:szCs w:val="24"/>
              </w:rPr>
            </w:pPr>
            <w:r>
              <w:rPr>
                <w:rFonts w:hint="eastAsia"/>
                <w:color w:val="auto"/>
                <w:sz w:val="24"/>
                <w:szCs w:val="24"/>
              </w:rPr>
              <w:t>④其他防治措施</w:t>
            </w:r>
          </w:p>
          <w:p w14:paraId="01367D87">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0" w:firstLineChars="200"/>
              <w:textAlignment w:val="auto"/>
              <w:rPr>
                <w:rFonts w:hint="eastAsia"/>
                <w:color w:val="auto"/>
                <w:sz w:val="24"/>
                <w:szCs w:val="24"/>
              </w:rPr>
            </w:pPr>
            <w:r>
              <w:rPr>
                <w:rFonts w:hint="eastAsia"/>
                <w:color w:val="auto"/>
                <w:sz w:val="24"/>
                <w:szCs w:val="24"/>
              </w:rPr>
              <w:t>加强对人员的培训，制定相应的管理制度，定期对可能造成地下水污染的设施进行检查；同时加强设备维护、检修，防止因设备故障渗漏引起地下水的污染。</w:t>
            </w:r>
          </w:p>
          <w:p w14:paraId="2329C126">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0" w:firstLineChars="200"/>
              <w:textAlignment w:val="auto"/>
              <w:rPr>
                <w:rFonts w:hint="eastAsia"/>
                <w:color w:val="auto"/>
                <w:sz w:val="24"/>
                <w:szCs w:val="24"/>
              </w:rPr>
            </w:pPr>
            <w:r>
              <w:rPr>
                <w:rFonts w:hint="eastAsia"/>
                <w:color w:val="auto"/>
                <w:sz w:val="24"/>
                <w:szCs w:val="24"/>
              </w:rPr>
              <w:t>在确保上述各项防渗漏措施得以落实，并加强维护和厂区环境管理的前提下，本项目运营后不会对区域地下水和土壤环境产生明显影响。</w:t>
            </w:r>
          </w:p>
          <w:p w14:paraId="053FF2BD">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2" w:firstLineChars="200"/>
              <w:textAlignment w:val="auto"/>
              <w:rPr>
                <w:rFonts w:hint="default" w:ascii="Times New Roman" w:hAnsi="Times New Roman" w:eastAsia="宋体" w:cs="Times New Roman"/>
                <w:b/>
                <w:bCs w:val="0"/>
                <w:color w:val="auto"/>
                <w:sz w:val="24"/>
                <w:szCs w:val="24"/>
                <w:lang w:val="en-US" w:eastAsia="zh-CN"/>
              </w:rPr>
            </w:pPr>
            <w:r>
              <w:rPr>
                <w:rFonts w:hint="eastAsia" w:cs="Times New Roman"/>
                <w:b/>
                <w:bCs w:val="0"/>
                <w:color w:val="auto"/>
                <w:sz w:val="24"/>
                <w:szCs w:val="24"/>
                <w:lang w:val="en-US" w:eastAsia="zh-CN"/>
              </w:rPr>
              <w:t>五</w:t>
            </w:r>
            <w:r>
              <w:rPr>
                <w:rFonts w:hint="default" w:ascii="Times New Roman" w:hAnsi="Times New Roman" w:eastAsia="宋体" w:cs="Times New Roman"/>
                <w:b/>
                <w:bCs w:val="0"/>
                <w:color w:val="auto"/>
                <w:sz w:val="24"/>
                <w:szCs w:val="24"/>
                <w:lang w:val="en-US" w:eastAsia="zh-CN"/>
              </w:rPr>
              <w:t>、生态环境</w:t>
            </w:r>
          </w:p>
          <w:p w14:paraId="38A08306">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本</w:t>
            </w:r>
            <w:r>
              <w:rPr>
                <w:rFonts w:hint="eastAsia" w:ascii="Times New Roman" w:hAnsi="Times New Roman" w:eastAsia="宋体" w:cs="Times New Roman"/>
                <w:bCs/>
                <w:color w:val="auto"/>
                <w:sz w:val="24"/>
                <w:szCs w:val="24"/>
                <w:lang w:val="en-US" w:eastAsia="zh-CN"/>
              </w:rPr>
              <w:t>项目</w:t>
            </w:r>
            <w:r>
              <w:rPr>
                <w:rFonts w:hint="default" w:ascii="Times New Roman" w:hAnsi="Times New Roman" w:eastAsia="宋体" w:cs="Times New Roman"/>
                <w:bCs/>
                <w:color w:val="auto"/>
                <w:sz w:val="24"/>
                <w:szCs w:val="24"/>
                <w:lang w:val="en-US" w:eastAsia="zh-CN"/>
              </w:rPr>
              <w:t>为</w:t>
            </w:r>
            <w:r>
              <w:rPr>
                <w:rFonts w:hint="eastAsia" w:cs="Times New Roman"/>
                <w:bCs/>
                <w:color w:val="auto"/>
                <w:sz w:val="24"/>
                <w:szCs w:val="24"/>
                <w:lang w:val="en-US" w:eastAsia="zh-CN"/>
              </w:rPr>
              <w:t>新</w:t>
            </w:r>
            <w:r>
              <w:rPr>
                <w:rFonts w:hint="eastAsia" w:eastAsia="宋体" w:cs="Times New Roman"/>
                <w:bCs/>
                <w:color w:val="auto"/>
                <w:sz w:val="24"/>
                <w:szCs w:val="24"/>
                <w:lang w:val="en-US" w:eastAsia="zh-CN"/>
              </w:rPr>
              <w:t>建</w:t>
            </w:r>
            <w:r>
              <w:rPr>
                <w:rFonts w:hint="eastAsia" w:ascii="Times New Roman" w:hAnsi="Times New Roman" w:eastAsia="宋体" w:cs="Times New Roman"/>
                <w:bCs/>
                <w:color w:val="auto"/>
                <w:sz w:val="24"/>
                <w:szCs w:val="24"/>
                <w:lang w:val="en-US" w:eastAsia="zh-CN"/>
              </w:rPr>
              <w:t>项目</w:t>
            </w:r>
            <w:r>
              <w:rPr>
                <w:rFonts w:hint="default" w:ascii="Times New Roman" w:hAnsi="Times New Roman" w:eastAsia="宋体" w:cs="Times New Roman"/>
                <w:bCs/>
                <w:color w:val="auto"/>
                <w:sz w:val="24"/>
                <w:szCs w:val="24"/>
                <w:lang w:val="en-US" w:eastAsia="zh-CN"/>
              </w:rPr>
              <w:t>，用地范围内无生态环境保护目标，项目建设不会对周边生态环境产生较大影响。</w:t>
            </w:r>
          </w:p>
          <w:p w14:paraId="722146DD">
            <w:pPr>
              <w:keepNext w:val="0"/>
              <w:keepLines w:val="0"/>
              <w:pageBreakBefore w:val="0"/>
              <w:widowControl w:val="0"/>
              <w:kinsoku/>
              <w:wordWrap/>
              <w:overflowPunct/>
              <w:topLinePunct w:val="0"/>
              <w:autoSpaceDE/>
              <w:autoSpaceDN/>
              <w:bidi w:val="0"/>
              <w:adjustRightInd w:val="0"/>
              <w:snapToGrid w:val="0"/>
              <w:spacing w:line="520" w:lineRule="exact"/>
              <w:ind w:left="0" w:leftChars="0" w:right="0" w:rightChars="0" w:firstLine="482" w:firstLineChars="200"/>
              <w:textAlignment w:val="auto"/>
              <w:rPr>
                <w:rFonts w:hint="default" w:ascii="Times New Roman" w:hAnsi="Times New Roman" w:eastAsia="宋体" w:cs="Times New Roman"/>
                <w:b/>
                <w:bCs w:val="0"/>
                <w:color w:val="auto"/>
                <w:sz w:val="24"/>
                <w:szCs w:val="24"/>
                <w:lang w:val="en-US" w:eastAsia="zh-CN"/>
              </w:rPr>
            </w:pPr>
            <w:r>
              <w:rPr>
                <w:rFonts w:hint="eastAsia" w:cs="Times New Roman"/>
                <w:b/>
                <w:bCs w:val="0"/>
                <w:color w:val="auto"/>
                <w:sz w:val="24"/>
                <w:szCs w:val="24"/>
                <w:lang w:val="en-US" w:eastAsia="zh-CN"/>
              </w:rPr>
              <w:t>六</w:t>
            </w:r>
            <w:r>
              <w:rPr>
                <w:rFonts w:hint="default" w:ascii="Times New Roman" w:hAnsi="Times New Roman" w:eastAsia="宋体" w:cs="Times New Roman"/>
                <w:b/>
                <w:bCs w:val="0"/>
                <w:color w:val="auto"/>
                <w:sz w:val="24"/>
                <w:szCs w:val="24"/>
                <w:lang w:val="en-US" w:eastAsia="zh-CN"/>
              </w:rPr>
              <w:t>、环境风险</w:t>
            </w:r>
          </w:p>
          <w:p w14:paraId="36FC9335">
            <w:pPr>
              <w:adjustRightInd w:val="0"/>
              <w:snapToGrid w:val="0"/>
              <w:spacing w:line="460" w:lineRule="exact"/>
              <w:ind w:firstLine="480" w:firstLineChars="200"/>
              <w:jc w:val="left"/>
              <w:rPr>
                <w:color w:val="auto"/>
                <w:sz w:val="24"/>
                <w:szCs w:val="24"/>
              </w:rPr>
            </w:pPr>
            <w:r>
              <w:rPr>
                <w:rFonts w:hint="eastAsia"/>
                <w:color w:val="auto"/>
                <w:sz w:val="24"/>
                <w:szCs w:val="24"/>
              </w:rPr>
              <w:t>本项目不涉及有毒有害和易燃易爆危险物质和风险源，故本次不进行评价。</w:t>
            </w:r>
          </w:p>
          <w:p w14:paraId="1F9EFADF">
            <w:pPr>
              <w:adjustRightInd w:val="0"/>
              <w:snapToGrid w:val="0"/>
              <w:spacing w:line="460" w:lineRule="exact"/>
              <w:ind w:firstLine="482" w:firstLineChars="200"/>
              <w:jc w:val="left"/>
              <w:rPr>
                <w:b/>
                <w:color w:val="auto"/>
                <w:sz w:val="24"/>
                <w:szCs w:val="24"/>
                <w:highlight w:val="yellow"/>
              </w:rPr>
            </w:pPr>
            <w:r>
              <w:rPr>
                <w:rFonts w:hint="eastAsia"/>
                <w:b/>
                <w:color w:val="auto"/>
                <w:sz w:val="24"/>
                <w:szCs w:val="24"/>
                <w:lang w:eastAsia="zh-CN"/>
              </w:rPr>
              <w:t>七</w:t>
            </w:r>
            <w:r>
              <w:rPr>
                <w:rFonts w:hint="eastAsia"/>
                <w:b/>
                <w:color w:val="auto"/>
                <w:sz w:val="24"/>
                <w:szCs w:val="24"/>
              </w:rPr>
              <w:t>、电磁辐射</w:t>
            </w:r>
          </w:p>
          <w:p w14:paraId="18393C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08" w:leftChars="170" w:right="0" w:firstLine="0" w:firstLineChars="0"/>
              <w:textAlignment w:val="auto"/>
              <w:rPr>
                <w:rFonts w:hint="eastAsia"/>
                <w:color w:val="auto"/>
                <w:sz w:val="24"/>
                <w:szCs w:val="24"/>
              </w:rPr>
            </w:pPr>
            <w:r>
              <w:rPr>
                <w:rFonts w:hint="eastAsia"/>
                <w:color w:val="auto"/>
                <w:sz w:val="24"/>
                <w:szCs w:val="24"/>
              </w:rPr>
              <w:t>本项目不存在电磁辐射源，故本次不进行评价。</w:t>
            </w:r>
            <w:r>
              <w:rPr>
                <w:rFonts w:hint="eastAsia"/>
                <w:color w:val="auto"/>
                <w:sz w:val="24"/>
                <w:szCs w:val="24"/>
              </w:rPr>
              <w:br w:type="textWrapping"/>
            </w:r>
          </w:p>
          <w:p w14:paraId="6FB6F4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408" w:leftChars="170" w:right="0" w:firstLine="0" w:firstLineChars="0"/>
              <w:textAlignment w:val="auto"/>
              <w:rPr>
                <w:rFonts w:hint="default"/>
                <w:b/>
                <w:bCs/>
                <w:color w:val="auto"/>
                <w:lang w:val="en-US" w:eastAsia="zh-CN"/>
              </w:rPr>
            </w:pPr>
            <w:r>
              <w:rPr>
                <w:rFonts w:hint="eastAsia"/>
                <w:b/>
                <w:bCs/>
                <w:color w:val="auto"/>
                <w:sz w:val="24"/>
                <w:szCs w:val="24"/>
                <w:lang w:eastAsia="zh-CN"/>
              </w:rPr>
              <w:t>八</w:t>
            </w:r>
            <w:r>
              <w:rPr>
                <w:rFonts w:hint="eastAsia" w:ascii="Times New Roman" w:hAnsi="Times New Roman" w:eastAsia="宋体" w:cs="Times New Roman"/>
                <w:b/>
                <w:bCs/>
                <w:color w:val="auto"/>
                <w:sz w:val="24"/>
                <w:szCs w:val="24"/>
                <w:lang w:val="en-US" w:eastAsia="zh-CN"/>
              </w:rPr>
              <w:t>、环</w:t>
            </w:r>
            <w:r>
              <w:rPr>
                <w:rFonts w:hint="eastAsia" w:ascii="Times New Roman" w:hAnsi="Times New Roman" w:eastAsia="宋体" w:cs="Times New Roman"/>
                <w:b/>
                <w:color w:val="auto"/>
                <w:sz w:val="24"/>
                <w:szCs w:val="24"/>
                <w:lang w:val="en-US" w:eastAsia="zh-CN"/>
              </w:rPr>
              <w:t>保治理措施及投资金额</w:t>
            </w:r>
          </w:p>
          <w:p w14:paraId="3295F2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u w:val="none"/>
              </w:rPr>
            </w:pPr>
            <w:r>
              <w:rPr>
                <w:rFonts w:hint="default" w:ascii="Times New Roman" w:hAnsi="Times New Roman" w:eastAsia="宋体" w:cs="Times New Roman"/>
                <w:b w:val="0"/>
                <w:bCs w:val="0"/>
                <w:color w:val="auto"/>
                <w:sz w:val="24"/>
                <w:szCs w:val="24"/>
                <w:lang w:val="en-US" w:eastAsia="zh-CN"/>
              </w:rPr>
              <w:t>本项目总投资为</w:t>
            </w:r>
            <w:r>
              <w:rPr>
                <w:rFonts w:hint="eastAsia" w:cs="Times New Roman"/>
                <w:b w:val="0"/>
                <w:bCs w:val="0"/>
                <w:color w:val="auto"/>
                <w:sz w:val="24"/>
                <w:szCs w:val="24"/>
                <w:lang w:val="en-US" w:eastAsia="zh-CN"/>
              </w:rPr>
              <w:t>7000</w:t>
            </w:r>
            <w:r>
              <w:rPr>
                <w:rFonts w:hint="default" w:ascii="Times New Roman" w:hAnsi="Times New Roman" w:eastAsia="宋体" w:cs="Times New Roman"/>
                <w:b w:val="0"/>
                <w:bCs w:val="0"/>
                <w:color w:val="auto"/>
                <w:sz w:val="24"/>
                <w:szCs w:val="24"/>
                <w:lang w:val="en-US" w:eastAsia="zh-CN"/>
              </w:rPr>
              <w:t>万元，环保</w:t>
            </w:r>
            <w:r>
              <w:rPr>
                <w:rFonts w:hint="default" w:ascii="Times New Roman" w:hAnsi="Times New Roman" w:eastAsia="宋体" w:cs="Times New Roman"/>
                <w:color w:val="auto"/>
                <w:sz w:val="24"/>
                <w:szCs w:val="24"/>
                <w:highlight w:val="none"/>
                <w:u w:val="none"/>
              </w:rPr>
              <w:t>投资为</w:t>
            </w:r>
            <w:r>
              <w:rPr>
                <w:rFonts w:hint="eastAsia" w:cs="Times New Roman"/>
                <w:color w:val="auto"/>
                <w:sz w:val="24"/>
                <w:szCs w:val="24"/>
                <w:highlight w:val="none"/>
                <w:u w:val="none"/>
                <w:lang w:val="en-US" w:eastAsia="zh-CN"/>
              </w:rPr>
              <w:t>15</w:t>
            </w:r>
            <w:r>
              <w:rPr>
                <w:rFonts w:hint="default" w:ascii="Times New Roman" w:hAnsi="Times New Roman" w:eastAsia="宋体" w:cs="Times New Roman"/>
                <w:color w:val="auto"/>
                <w:sz w:val="24"/>
                <w:szCs w:val="24"/>
                <w:highlight w:val="none"/>
                <w:u w:val="none"/>
              </w:rPr>
              <w:t>万元，环保投资占总投资的</w:t>
            </w:r>
            <w:r>
              <w:rPr>
                <w:rFonts w:hint="eastAsia" w:cs="Times New Roman"/>
                <w:color w:val="auto"/>
                <w:sz w:val="24"/>
                <w:szCs w:val="24"/>
                <w:highlight w:val="none"/>
                <w:u w:val="none"/>
                <w:lang w:val="en-US" w:eastAsia="zh-CN"/>
              </w:rPr>
              <w:t>0.21</w:t>
            </w:r>
            <w:r>
              <w:rPr>
                <w:rFonts w:hint="default" w:ascii="Times New Roman" w:hAnsi="Times New Roman" w:eastAsia="宋体" w:cs="Times New Roman"/>
                <w:color w:val="auto"/>
                <w:sz w:val="24"/>
                <w:szCs w:val="24"/>
                <w:highlight w:val="none"/>
                <w:u w:val="none"/>
              </w:rPr>
              <w:t>%。环保投资详见下表：</w:t>
            </w:r>
          </w:p>
          <w:p w14:paraId="03293601">
            <w:pPr>
              <w:adjustRightInd w:val="0"/>
              <w:snapToGrid w:val="0"/>
              <w:spacing w:line="460" w:lineRule="exact"/>
              <w:jc w:val="left"/>
              <w:textAlignment w:val="baseline"/>
              <w:rPr>
                <w:rFonts w:hint="default" w:ascii="Times New Roman" w:hAnsi="Times New Roman" w:eastAsia="黑体" w:cs="Times New Roman"/>
                <w:b w:val="0"/>
                <w:color w:val="auto"/>
                <w:kern w:val="2"/>
                <w:sz w:val="24"/>
                <w:szCs w:val="24"/>
                <w:lang w:val="en-US" w:eastAsia="zh-CN" w:bidi="ar-SA"/>
              </w:rPr>
            </w:pPr>
            <w:r>
              <w:rPr>
                <w:rFonts w:hint="default" w:ascii="Times New Roman" w:hAnsi="Times New Roman" w:eastAsia="黑体" w:cs="Times New Roman"/>
                <w:b w:val="0"/>
                <w:color w:val="auto"/>
                <w:kern w:val="2"/>
                <w:sz w:val="24"/>
                <w:szCs w:val="24"/>
                <w:lang w:val="en-US" w:eastAsia="zh-CN" w:bidi="ar-SA"/>
              </w:rPr>
              <w:t>表</w:t>
            </w:r>
            <w:r>
              <w:rPr>
                <w:rFonts w:hint="eastAsia" w:eastAsia="黑体" w:cs="Times New Roman"/>
                <w:b w:val="0"/>
                <w:color w:val="auto"/>
                <w:kern w:val="2"/>
                <w:sz w:val="24"/>
                <w:szCs w:val="24"/>
                <w:lang w:val="en-US" w:eastAsia="zh-CN" w:bidi="ar-SA"/>
              </w:rPr>
              <w:t>4-9</w:t>
            </w:r>
            <w:r>
              <w:rPr>
                <w:rFonts w:hint="eastAsia" w:ascii="Times New Roman" w:hAnsi="Times New Roman" w:eastAsia="黑体" w:cs="Times New Roman"/>
                <w:b w:val="0"/>
                <w:color w:val="auto"/>
                <w:kern w:val="2"/>
                <w:sz w:val="24"/>
                <w:szCs w:val="24"/>
                <w:lang w:val="en-US" w:eastAsia="zh-CN" w:bidi="ar-SA"/>
              </w:rPr>
              <w:t xml:space="preserve">          项目</w:t>
            </w:r>
            <w:r>
              <w:rPr>
                <w:rFonts w:hint="default" w:ascii="Times New Roman" w:hAnsi="Times New Roman" w:eastAsia="黑体" w:cs="Times New Roman"/>
                <w:b w:val="0"/>
                <w:color w:val="auto"/>
                <w:kern w:val="2"/>
                <w:sz w:val="24"/>
                <w:szCs w:val="24"/>
                <w:lang w:val="en-US" w:eastAsia="zh-CN" w:bidi="ar-SA"/>
              </w:rPr>
              <w:t>环保投资</w:t>
            </w:r>
            <w:r>
              <w:rPr>
                <w:rFonts w:hint="eastAsia" w:ascii="Times New Roman" w:hAnsi="Times New Roman" w:eastAsia="黑体" w:cs="Times New Roman"/>
                <w:b w:val="0"/>
                <w:color w:val="auto"/>
                <w:kern w:val="2"/>
                <w:sz w:val="24"/>
                <w:szCs w:val="24"/>
                <w:lang w:val="en-US" w:eastAsia="zh-CN" w:bidi="ar-SA"/>
              </w:rPr>
              <w:t>概算</w:t>
            </w:r>
            <w:r>
              <w:rPr>
                <w:rFonts w:hint="default" w:ascii="Times New Roman" w:hAnsi="Times New Roman" w:eastAsia="黑体" w:cs="Times New Roman"/>
                <w:b w:val="0"/>
                <w:color w:val="auto"/>
                <w:kern w:val="2"/>
                <w:sz w:val="24"/>
                <w:szCs w:val="24"/>
                <w:lang w:val="en-US" w:eastAsia="zh-CN" w:bidi="ar-SA"/>
              </w:rPr>
              <w:t>一览表</w:t>
            </w: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6"/>
              <w:gridCol w:w="619"/>
              <w:gridCol w:w="1198"/>
              <w:gridCol w:w="2028"/>
              <w:gridCol w:w="2934"/>
              <w:gridCol w:w="892"/>
            </w:tblGrid>
            <w:tr w14:paraId="6611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4" w:type="pct"/>
                  <w:tcBorders>
                    <w:bottom w:val="single" w:color="auto" w:sz="8" w:space="0"/>
                  </w:tcBorders>
                  <w:noWrap w:val="0"/>
                  <w:vAlign w:val="center"/>
                </w:tcPr>
                <w:p w14:paraId="3627728E">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u w:val="none"/>
                      <w:lang w:val="en-US" w:eastAsia="zh-CN"/>
                    </w:rPr>
                  </w:pPr>
                  <w:r>
                    <w:rPr>
                      <w:rFonts w:hint="default" w:ascii="Times New Roman" w:hAnsi="Times New Roman" w:cs="Times New Roman"/>
                      <w:b/>
                      <w:bCs/>
                      <w:color w:val="auto"/>
                      <w:sz w:val="21"/>
                      <w:szCs w:val="21"/>
                      <w:u w:val="none"/>
                      <w:lang w:val="en-US" w:eastAsia="zh-CN"/>
                    </w:rPr>
                    <w:t>序号</w:t>
                  </w:r>
                </w:p>
              </w:tc>
              <w:tc>
                <w:tcPr>
                  <w:tcW w:w="381" w:type="pct"/>
                  <w:tcBorders>
                    <w:bottom w:val="single" w:color="auto" w:sz="8" w:space="0"/>
                  </w:tcBorders>
                  <w:noWrap w:val="0"/>
                  <w:vAlign w:val="center"/>
                </w:tcPr>
                <w:p w14:paraId="6C21B759">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u w:val="none"/>
                      <w:lang w:eastAsia="zh-CN"/>
                    </w:rPr>
                  </w:pPr>
                  <w:r>
                    <w:rPr>
                      <w:rFonts w:hint="default" w:ascii="Times New Roman" w:hAnsi="Times New Roman" w:cs="Times New Roman"/>
                      <w:b/>
                      <w:bCs/>
                      <w:color w:val="auto"/>
                      <w:sz w:val="21"/>
                      <w:szCs w:val="21"/>
                      <w:u w:val="none"/>
                      <w:lang w:val="en-US" w:eastAsia="zh-CN"/>
                    </w:rPr>
                    <w:t>污染源</w:t>
                  </w:r>
                </w:p>
              </w:tc>
              <w:tc>
                <w:tcPr>
                  <w:tcW w:w="737" w:type="pct"/>
                  <w:tcBorders>
                    <w:bottom w:val="single" w:color="auto" w:sz="8" w:space="0"/>
                  </w:tcBorders>
                  <w:noWrap w:val="0"/>
                  <w:vAlign w:val="center"/>
                </w:tcPr>
                <w:p w14:paraId="7CF5BA24">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u w:val="none"/>
                      <w:lang w:val="en-US" w:eastAsia="zh-CN"/>
                    </w:rPr>
                  </w:pPr>
                  <w:r>
                    <w:rPr>
                      <w:rFonts w:hint="default" w:ascii="Times New Roman" w:hAnsi="Times New Roman" w:cs="Times New Roman"/>
                      <w:b/>
                      <w:bCs/>
                      <w:color w:val="auto"/>
                      <w:sz w:val="21"/>
                      <w:szCs w:val="21"/>
                      <w:u w:val="none"/>
                      <w:lang w:val="en-US" w:eastAsia="zh-CN"/>
                    </w:rPr>
                    <w:t>污染防治措施</w:t>
                  </w:r>
                </w:p>
              </w:tc>
              <w:tc>
                <w:tcPr>
                  <w:tcW w:w="1249" w:type="pct"/>
                  <w:tcBorders>
                    <w:bottom w:val="single" w:color="auto" w:sz="8" w:space="0"/>
                  </w:tcBorders>
                  <w:noWrap w:val="0"/>
                  <w:vAlign w:val="center"/>
                </w:tcPr>
                <w:p w14:paraId="6279D61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u w:val="none"/>
                      <w:lang w:val="en-US" w:eastAsia="zh-CN"/>
                    </w:rPr>
                  </w:pPr>
                  <w:r>
                    <w:rPr>
                      <w:rFonts w:hint="default" w:ascii="Times New Roman" w:hAnsi="Times New Roman" w:cs="Times New Roman"/>
                      <w:b/>
                      <w:bCs/>
                      <w:color w:val="auto"/>
                      <w:sz w:val="21"/>
                      <w:szCs w:val="21"/>
                      <w:u w:val="none"/>
                      <w:lang w:val="en-US" w:eastAsia="zh-CN"/>
                    </w:rPr>
                    <w:t>污染防治措施</w:t>
                  </w:r>
                </w:p>
              </w:tc>
              <w:tc>
                <w:tcPr>
                  <w:tcW w:w="1807" w:type="pct"/>
                  <w:tcBorders>
                    <w:bottom w:val="single" w:color="auto" w:sz="8" w:space="0"/>
                  </w:tcBorders>
                  <w:noWrap w:val="0"/>
                  <w:vAlign w:val="center"/>
                </w:tcPr>
                <w:p w14:paraId="0119CC71">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u w:val="none"/>
                      <w:lang w:val="en-US" w:eastAsia="zh-CN"/>
                    </w:rPr>
                  </w:pPr>
                  <w:r>
                    <w:rPr>
                      <w:rFonts w:hint="default" w:ascii="Times New Roman" w:hAnsi="Times New Roman" w:cs="Times New Roman"/>
                      <w:b/>
                      <w:bCs/>
                      <w:color w:val="auto"/>
                      <w:sz w:val="21"/>
                      <w:szCs w:val="21"/>
                      <w:u w:val="none"/>
                      <w:lang w:val="en-US" w:eastAsia="zh-CN"/>
                    </w:rPr>
                    <w:t>验收标准</w:t>
                  </w:r>
                </w:p>
              </w:tc>
              <w:tc>
                <w:tcPr>
                  <w:tcW w:w="549" w:type="pct"/>
                  <w:tcBorders>
                    <w:bottom w:val="single" w:color="auto" w:sz="8" w:space="0"/>
                  </w:tcBorders>
                  <w:noWrap w:val="0"/>
                  <w:vAlign w:val="center"/>
                </w:tcPr>
                <w:p w14:paraId="224383E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b/>
                      <w:bCs/>
                      <w:color w:val="auto"/>
                      <w:sz w:val="21"/>
                      <w:szCs w:val="21"/>
                      <w:u w:val="none"/>
                      <w:lang w:val="en-US" w:eastAsia="zh-CN"/>
                    </w:rPr>
                  </w:pPr>
                  <w:r>
                    <w:rPr>
                      <w:rFonts w:hint="default" w:ascii="Times New Roman" w:hAnsi="Times New Roman" w:cs="Times New Roman"/>
                      <w:b/>
                      <w:bCs/>
                      <w:color w:val="auto"/>
                      <w:sz w:val="21"/>
                      <w:szCs w:val="21"/>
                      <w:u w:val="none"/>
                    </w:rPr>
                    <w:t>投资</w:t>
                  </w:r>
                  <w:r>
                    <w:rPr>
                      <w:rFonts w:hint="default" w:ascii="Times New Roman" w:hAnsi="Times New Roman" w:cs="Times New Roman"/>
                      <w:b/>
                      <w:bCs/>
                      <w:color w:val="auto"/>
                      <w:sz w:val="21"/>
                      <w:szCs w:val="21"/>
                      <w:u w:val="none"/>
                      <w:lang w:val="en-US" w:eastAsia="zh-CN"/>
                    </w:rPr>
                    <w:t>估算（万元）</w:t>
                  </w:r>
                </w:p>
              </w:tc>
            </w:tr>
            <w:tr w14:paraId="43731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274" w:type="pct"/>
                  <w:tcBorders>
                    <w:tl2br w:val="nil"/>
                    <w:tr2bl w:val="nil"/>
                  </w:tcBorders>
                  <w:noWrap w:val="0"/>
                  <w:vAlign w:val="center"/>
                </w:tcPr>
                <w:p w14:paraId="20878255">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cs="Times New Roman"/>
                      <w:color w:val="auto"/>
                      <w:sz w:val="21"/>
                      <w:szCs w:val="21"/>
                      <w:u w:val="none"/>
                      <w:lang w:val="en-US" w:eastAsia="zh-CN"/>
                    </w:rPr>
                  </w:pPr>
                  <w:r>
                    <w:rPr>
                      <w:rFonts w:hint="eastAsia" w:ascii="Times New Roman" w:cs="Times New Roman"/>
                      <w:color w:val="auto"/>
                      <w:sz w:val="21"/>
                      <w:szCs w:val="21"/>
                      <w:u w:val="none"/>
                      <w:lang w:val="en-US" w:eastAsia="zh-CN"/>
                    </w:rPr>
                    <w:t>1</w:t>
                  </w:r>
                </w:p>
              </w:tc>
              <w:tc>
                <w:tcPr>
                  <w:tcW w:w="381" w:type="pct"/>
                  <w:tcBorders>
                    <w:tl2br w:val="nil"/>
                    <w:tr2bl w:val="nil"/>
                  </w:tcBorders>
                  <w:noWrap w:val="0"/>
                  <w:vAlign w:val="center"/>
                </w:tcPr>
                <w:p w14:paraId="51E81DAE">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废水治理</w:t>
                  </w:r>
                </w:p>
              </w:tc>
              <w:tc>
                <w:tcPr>
                  <w:tcW w:w="737" w:type="pct"/>
                  <w:tcBorders>
                    <w:tl2br w:val="nil"/>
                    <w:tr2bl w:val="nil"/>
                  </w:tcBorders>
                  <w:noWrap w:val="0"/>
                  <w:vAlign w:val="center"/>
                </w:tcPr>
                <w:p w14:paraId="7ACFB3BA">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COD、</w:t>
                  </w:r>
                  <w:r>
                    <w:rPr>
                      <w:rFonts w:hint="eastAsia" w:ascii="Times New Roman" w:hAnsi="Times New Roman" w:cs="Times New Roman"/>
                      <w:color w:val="auto"/>
                      <w:sz w:val="21"/>
                      <w:szCs w:val="21"/>
                      <w:u w:val="none"/>
                      <w:lang w:val="en-US" w:eastAsia="zh-CN"/>
                    </w:rPr>
                    <w:t>SS、</w:t>
                  </w:r>
                  <w:r>
                    <w:rPr>
                      <w:rFonts w:hint="default" w:ascii="Times New Roman" w:hAnsi="Times New Roman" w:cs="Times New Roman"/>
                      <w:color w:val="auto"/>
                      <w:sz w:val="21"/>
                      <w:szCs w:val="21"/>
                      <w:u w:val="none"/>
                      <w:lang w:val="en-US" w:eastAsia="zh-CN"/>
                    </w:rPr>
                    <w:t>NH</w:t>
                  </w:r>
                  <w:r>
                    <w:rPr>
                      <w:rFonts w:hint="default" w:ascii="Times New Roman" w:hAnsi="Times New Roman" w:cs="Times New Roman"/>
                      <w:color w:val="auto"/>
                      <w:sz w:val="21"/>
                      <w:szCs w:val="21"/>
                      <w:u w:val="none"/>
                      <w:vertAlign w:val="subscript"/>
                      <w:lang w:val="en-US" w:eastAsia="zh-CN"/>
                    </w:rPr>
                    <w:t>3</w:t>
                  </w:r>
                  <w:r>
                    <w:rPr>
                      <w:rFonts w:hint="default" w:ascii="Times New Roman" w:hAnsi="Times New Roman" w:cs="Times New Roman"/>
                      <w:color w:val="auto"/>
                      <w:sz w:val="21"/>
                      <w:szCs w:val="21"/>
                      <w:u w:val="none"/>
                      <w:lang w:val="en-US" w:eastAsia="zh-CN"/>
                    </w:rPr>
                    <w:t>-N、TN、TP</w:t>
                  </w:r>
                  <w:r>
                    <w:rPr>
                      <w:rFonts w:hint="eastAsia" w:ascii="Times New Roman" w:cs="Times New Roman"/>
                      <w:color w:val="auto"/>
                      <w:sz w:val="21"/>
                      <w:szCs w:val="21"/>
                      <w:u w:val="none"/>
                      <w:lang w:val="en-US" w:eastAsia="zh-CN"/>
                    </w:rPr>
                    <w:t>、BOD</w:t>
                  </w:r>
                  <w:r>
                    <w:rPr>
                      <w:rFonts w:hint="eastAsia" w:ascii="Times New Roman" w:cs="Times New Roman"/>
                      <w:color w:val="auto"/>
                      <w:sz w:val="21"/>
                      <w:szCs w:val="21"/>
                      <w:u w:val="none"/>
                      <w:vertAlign w:val="subscript"/>
                      <w:lang w:val="en-US" w:eastAsia="zh-CN"/>
                    </w:rPr>
                    <w:t>5</w:t>
                  </w:r>
                </w:p>
              </w:tc>
              <w:tc>
                <w:tcPr>
                  <w:tcW w:w="1249" w:type="pct"/>
                  <w:tcBorders>
                    <w:tl2br w:val="nil"/>
                    <w:tr2bl w:val="nil"/>
                  </w:tcBorders>
                  <w:noWrap w:val="0"/>
                  <w:vAlign w:val="center"/>
                </w:tcPr>
                <w:p w14:paraId="332D408C">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auto"/>
                      <w:sz w:val="21"/>
                      <w:szCs w:val="21"/>
                      <w:u w:val="none"/>
                      <w:lang w:val="en-US" w:eastAsia="zh-CN"/>
                    </w:rPr>
                  </w:pPr>
                  <w:r>
                    <w:rPr>
                      <w:rFonts w:hint="eastAsia" w:ascii="Times New Roman" w:cs="Times New Roman"/>
                      <w:color w:val="auto"/>
                      <w:sz w:val="21"/>
                      <w:szCs w:val="21"/>
                      <w:u w:val="none"/>
                      <w:lang w:val="en-US" w:eastAsia="zh-CN"/>
                    </w:rPr>
                    <w:t>生活污水经化粪池处理后由污水管网排至新乡县综合污水处理厂进一步治理。</w:t>
                  </w:r>
                </w:p>
              </w:tc>
              <w:tc>
                <w:tcPr>
                  <w:tcW w:w="1807" w:type="pct"/>
                  <w:tcBorders>
                    <w:tl2br w:val="nil"/>
                    <w:tr2bl w:val="nil"/>
                  </w:tcBorders>
                  <w:noWrap w:val="0"/>
                  <w:vAlign w:val="center"/>
                </w:tcPr>
                <w:p w14:paraId="347728D5">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auto"/>
                      <w:sz w:val="21"/>
                      <w:szCs w:val="21"/>
                      <w:u w:val="none"/>
                      <w:lang w:val="en-US" w:eastAsia="zh-CN"/>
                    </w:rPr>
                  </w:pPr>
                  <w:r>
                    <w:rPr>
                      <w:rFonts w:hint="eastAsia" w:ascii="Times New Roman" w:cs="Times New Roman"/>
                      <w:color w:val="auto"/>
                      <w:sz w:val="21"/>
                      <w:szCs w:val="21"/>
                      <w:u w:val="none"/>
                      <w:lang w:val="en-US" w:eastAsia="zh-CN"/>
                    </w:rPr>
                    <w:t>新乡县综合污水处理厂收水标准、《污水排入城镇下水道水质标准》（GB/T31962-2015）</w:t>
                  </w:r>
                </w:p>
              </w:tc>
              <w:tc>
                <w:tcPr>
                  <w:tcW w:w="549" w:type="pct"/>
                  <w:tcBorders>
                    <w:tl2br w:val="nil"/>
                    <w:tr2bl w:val="nil"/>
                  </w:tcBorders>
                  <w:noWrap w:val="0"/>
                  <w:vAlign w:val="center"/>
                </w:tcPr>
                <w:p w14:paraId="0173611A">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cs="Times New Roman"/>
                      <w:b w:val="0"/>
                      <w:bCs/>
                      <w:color w:val="auto"/>
                      <w:sz w:val="21"/>
                      <w:szCs w:val="21"/>
                      <w:highlight w:val="none"/>
                      <w:u w:val="none"/>
                      <w:lang w:val="en-US" w:eastAsia="zh-CN"/>
                    </w:rPr>
                  </w:pPr>
                  <w:r>
                    <w:rPr>
                      <w:rFonts w:hint="eastAsia" w:ascii="Times New Roman" w:cs="Times New Roman"/>
                      <w:b w:val="0"/>
                      <w:bCs/>
                      <w:color w:val="auto"/>
                      <w:sz w:val="21"/>
                      <w:szCs w:val="21"/>
                      <w:highlight w:val="none"/>
                      <w:u w:val="none"/>
                      <w:lang w:val="en-US" w:eastAsia="zh-CN"/>
                    </w:rPr>
                    <w:t>5.0</w:t>
                  </w:r>
                </w:p>
              </w:tc>
            </w:tr>
            <w:tr w14:paraId="44725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4" w:type="pct"/>
                  <w:tcBorders>
                    <w:tl2br w:val="nil"/>
                    <w:tr2bl w:val="nil"/>
                  </w:tcBorders>
                  <w:noWrap w:val="0"/>
                  <w:vAlign w:val="center"/>
                </w:tcPr>
                <w:p w14:paraId="76BED588">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u w:val="none"/>
                      <w:lang w:val="en-US" w:eastAsia="zh-CN"/>
                    </w:rPr>
                  </w:pPr>
                  <w:r>
                    <w:rPr>
                      <w:rFonts w:hint="eastAsia" w:ascii="Times New Roman" w:cs="Times New Roman"/>
                      <w:color w:val="auto"/>
                      <w:sz w:val="21"/>
                      <w:szCs w:val="21"/>
                      <w:u w:val="none"/>
                      <w:lang w:val="en-US" w:eastAsia="zh-CN"/>
                    </w:rPr>
                    <w:t>2</w:t>
                  </w:r>
                </w:p>
              </w:tc>
              <w:tc>
                <w:tcPr>
                  <w:tcW w:w="381" w:type="pct"/>
                  <w:tcBorders>
                    <w:tl2br w:val="nil"/>
                    <w:tr2bl w:val="nil"/>
                  </w:tcBorders>
                  <w:noWrap w:val="0"/>
                  <w:vAlign w:val="center"/>
                </w:tcPr>
                <w:p w14:paraId="4FCD93ED">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cs="Times New Roman"/>
                      <w:color w:val="auto"/>
                      <w:sz w:val="21"/>
                      <w:szCs w:val="21"/>
                      <w:u w:val="none"/>
                    </w:rPr>
                  </w:pPr>
                  <w:r>
                    <w:rPr>
                      <w:rFonts w:hint="default" w:ascii="Times New Roman" w:hAnsi="Times New Roman" w:cs="Times New Roman"/>
                      <w:color w:val="auto"/>
                      <w:sz w:val="21"/>
                      <w:szCs w:val="21"/>
                      <w:u w:val="none"/>
                    </w:rPr>
                    <w:t>噪声</w:t>
                  </w:r>
                </w:p>
              </w:tc>
              <w:tc>
                <w:tcPr>
                  <w:tcW w:w="737" w:type="pct"/>
                  <w:tcBorders>
                    <w:tl2br w:val="nil"/>
                    <w:tr2bl w:val="nil"/>
                  </w:tcBorders>
                  <w:noWrap w:val="0"/>
                  <w:vAlign w:val="center"/>
                </w:tcPr>
                <w:p w14:paraId="189BD991">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eastAsia="宋体" w:cs="Times New Roman"/>
                      <w:color w:val="auto"/>
                      <w:sz w:val="21"/>
                      <w:szCs w:val="21"/>
                      <w:highlight w:val="none"/>
                      <w:u w:val="none"/>
                      <w:lang w:val="en-US" w:eastAsia="zh-CN"/>
                    </w:rPr>
                  </w:pPr>
                  <w:r>
                    <w:rPr>
                      <w:rFonts w:hint="eastAsia" w:ascii="Times New Roman" w:cs="Times New Roman"/>
                      <w:color w:val="auto"/>
                      <w:sz w:val="21"/>
                      <w:szCs w:val="21"/>
                      <w:highlight w:val="none"/>
                      <w:u w:val="none"/>
                      <w:lang w:val="en-US" w:eastAsia="zh-CN"/>
                    </w:rPr>
                    <w:t>攻丝机、卧式加工中心</w:t>
                  </w:r>
                  <w:r>
                    <w:rPr>
                      <w:rFonts w:hint="eastAsia" w:ascii="Times New Roman" w:eastAsia="宋体" w:cs="Times New Roman"/>
                      <w:color w:val="auto"/>
                      <w:sz w:val="21"/>
                      <w:szCs w:val="21"/>
                      <w:highlight w:val="none"/>
                      <w:u w:val="none"/>
                      <w:lang w:val="en-US" w:eastAsia="zh-CN"/>
                    </w:rPr>
                    <w:t>等</w:t>
                  </w:r>
                </w:p>
              </w:tc>
              <w:tc>
                <w:tcPr>
                  <w:tcW w:w="1249" w:type="pct"/>
                  <w:tcBorders>
                    <w:tl2br w:val="nil"/>
                    <w:tr2bl w:val="nil"/>
                  </w:tcBorders>
                  <w:noWrap w:val="0"/>
                  <w:vAlign w:val="center"/>
                </w:tcPr>
                <w:p w14:paraId="6A0DFD3D">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eastAsia="宋体" w:cs="Times New Roman"/>
                      <w:color w:val="auto"/>
                      <w:sz w:val="21"/>
                      <w:szCs w:val="21"/>
                      <w:highlight w:val="none"/>
                      <w:u w:val="none"/>
                      <w:lang w:val="en-US" w:eastAsia="zh-CN"/>
                    </w:rPr>
                  </w:pPr>
                  <w:r>
                    <w:rPr>
                      <w:rFonts w:hint="eastAsia" w:ascii="Times New Roman" w:eastAsia="宋体" w:cs="Times New Roman"/>
                      <w:color w:val="auto"/>
                      <w:sz w:val="21"/>
                      <w:szCs w:val="21"/>
                      <w:highlight w:val="none"/>
                      <w:u w:val="none"/>
                      <w:lang w:val="en-US" w:eastAsia="zh-CN"/>
                    </w:rPr>
                    <w:t>厂房采取隔音材料、距离衰减</w:t>
                  </w:r>
                </w:p>
              </w:tc>
              <w:tc>
                <w:tcPr>
                  <w:tcW w:w="1807" w:type="pct"/>
                  <w:tcBorders>
                    <w:tl2br w:val="nil"/>
                    <w:tr2bl w:val="nil"/>
                  </w:tcBorders>
                  <w:noWrap w:val="0"/>
                  <w:vAlign w:val="center"/>
                </w:tcPr>
                <w:p w14:paraId="5D702E70">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eastAsia="宋体" w:cs="Times New Roman"/>
                      <w:color w:val="auto"/>
                      <w:sz w:val="21"/>
                      <w:szCs w:val="21"/>
                      <w:highlight w:val="none"/>
                      <w:u w:val="none"/>
                      <w:lang w:val="en-US" w:eastAsia="zh-CN"/>
                    </w:rPr>
                  </w:pPr>
                  <w:r>
                    <w:rPr>
                      <w:rFonts w:hint="default" w:ascii="Times New Roman" w:eastAsia="宋体" w:cs="Times New Roman"/>
                      <w:color w:val="auto"/>
                      <w:sz w:val="21"/>
                      <w:szCs w:val="21"/>
                      <w:highlight w:val="none"/>
                      <w:u w:val="none"/>
                      <w:lang w:val="en-US" w:eastAsia="zh-CN"/>
                    </w:rPr>
                    <w:t>《工业企业厂界环境噪声排放标准》（GB12348-2008）</w:t>
                  </w:r>
                  <w:r>
                    <w:rPr>
                      <w:rFonts w:hint="eastAsia" w:ascii="Times New Roman" w:cs="Times New Roman"/>
                      <w:color w:val="auto"/>
                      <w:sz w:val="21"/>
                      <w:szCs w:val="21"/>
                      <w:highlight w:val="none"/>
                      <w:u w:val="none"/>
                      <w:lang w:val="en-US" w:eastAsia="zh-CN"/>
                    </w:rPr>
                    <w:t>2</w:t>
                  </w:r>
                  <w:r>
                    <w:rPr>
                      <w:rFonts w:hint="default" w:ascii="Times New Roman" w:eastAsia="宋体" w:cs="Times New Roman"/>
                      <w:color w:val="auto"/>
                      <w:sz w:val="21"/>
                      <w:szCs w:val="21"/>
                      <w:highlight w:val="none"/>
                      <w:u w:val="none"/>
                      <w:lang w:val="en-US" w:eastAsia="zh-CN"/>
                    </w:rPr>
                    <w:t>类标准（昼间6</w:t>
                  </w:r>
                  <w:r>
                    <w:rPr>
                      <w:rFonts w:hint="eastAsia" w:ascii="Times New Roman" w:cs="Times New Roman"/>
                      <w:color w:val="auto"/>
                      <w:sz w:val="21"/>
                      <w:szCs w:val="21"/>
                      <w:highlight w:val="none"/>
                      <w:u w:val="none"/>
                      <w:lang w:val="en-US" w:eastAsia="zh-CN"/>
                    </w:rPr>
                    <w:t>0</w:t>
                  </w:r>
                  <w:r>
                    <w:rPr>
                      <w:rFonts w:hint="default" w:ascii="Times New Roman" w:eastAsia="宋体" w:cs="Times New Roman"/>
                      <w:color w:val="auto"/>
                      <w:sz w:val="21"/>
                      <w:szCs w:val="21"/>
                      <w:highlight w:val="none"/>
                      <w:u w:val="none"/>
                      <w:lang w:val="en-US" w:eastAsia="zh-CN"/>
                    </w:rPr>
                    <w:t>dB（A））</w:t>
                  </w:r>
                </w:p>
              </w:tc>
              <w:tc>
                <w:tcPr>
                  <w:tcW w:w="549" w:type="pct"/>
                  <w:tcBorders>
                    <w:tl2br w:val="nil"/>
                    <w:tr2bl w:val="nil"/>
                  </w:tcBorders>
                  <w:noWrap w:val="0"/>
                  <w:vAlign w:val="center"/>
                </w:tcPr>
                <w:p w14:paraId="61693DB5">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u w:val="none"/>
                      <w:lang w:val="en-US" w:eastAsia="zh-CN"/>
                    </w:rPr>
                  </w:pPr>
                  <w:r>
                    <w:rPr>
                      <w:rFonts w:hint="eastAsia" w:ascii="Times New Roman" w:hAnsi="Times New Roman" w:cs="Times New Roman"/>
                      <w:color w:val="auto"/>
                      <w:sz w:val="21"/>
                      <w:szCs w:val="21"/>
                      <w:u w:val="none"/>
                      <w:lang w:val="en-US" w:eastAsia="zh-CN"/>
                    </w:rPr>
                    <w:t>5.0</w:t>
                  </w:r>
                </w:p>
              </w:tc>
            </w:tr>
            <w:tr w14:paraId="37659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274" w:type="pct"/>
                  <w:vMerge w:val="restart"/>
                  <w:tcBorders>
                    <w:tl2br w:val="nil"/>
                    <w:tr2bl w:val="nil"/>
                  </w:tcBorders>
                  <w:noWrap w:val="0"/>
                  <w:vAlign w:val="center"/>
                </w:tcPr>
                <w:p w14:paraId="55592572">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u w:val="none"/>
                      <w:lang w:val="en-US" w:eastAsia="zh-CN"/>
                    </w:rPr>
                  </w:pPr>
                  <w:r>
                    <w:rPr>
                      <w:rFonts w:hint="eastAsia" w:ascii="Times New Roman" w:cs="Times New Roman"/>
                      <w:color w:val="auto"/>
                      <w:sz w:val="21"/>
                      <w:szCs w:val="21"/>
                      <w:u w:val="none"/>
                      <w:lang w:val="en-US" w:eastAsia="zh-CN"/>
                    </w:rPr>
                    <w:t>3</w:t>
                  </w:r>
                </w:p>
              </w:tc>
              <w:tc>
                <w:tcPr>
                  <w:tcW w:w="381" w:type="pct"/>
                  <w:vMerge w:val="restart"/>
                  <w:tcBorders>
                    <w:tl2br w:val="nil"/>
                    <w:tr2bl w:val="nil"/>
                  </w:tcBorders>
                  <w:noWrap w:val="0"/>
                  <w:vAlign w:val="center"/>
                </w:tcPr>
                <w:p w14:paraId="7D9C1822">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u w:val="none"/>
                      <w:lang w:val="en-US" w:eastAsia="zh-CN"/>
                    </w:rPr>
                  </w:pPr>
                  <w:r>
                    <w:rPr>
                      <w:rFonts w:hint="default" w:ascii="Times New Roman" w:hAnsi="Times New Roman" w:eastAsia="宋体" w:cs="Times New Roman"/>
                      <w:color w:val="auto"/>
                      <w:sz w:val="21"/>
                      <w:szCs w:val="21"/>
                      <w:u w:val="none"/>
                      <w:lang w:val="en-US" w:eastAsia="zh-CN"/>
                    </w:rPr>
                    <w:t>固废</w:t>
                  </w:r>
                </w:p>
              </w:tc>
              <w:tc>
                <w:tcPr>
                  <w:tcW w:w="737" w:type="pct"/>
                  <w:tcBorders>
                    <w:tl2br w:val="nil"/>
                    <w:tr2bl w:val="nil"/>
                  </w:tcBorders>
                  <w:noWrap w:val="0"/>
                  <w:vAlign w:val="top"/>
                </w:tcPr>
                <w:p w14:paraId="4379C07B">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u w:val="none"/>
                      <w:lang w:val="en-US" w:eastAsia="zh-CN"/>
                    </w:rPr>
                  </w:pPr>
                  <w:r>
                    <w:rPr>
                      <w:rFonts w:hint="eastAsia" w:ascii="Times New Roman" w:cs="Times New Roman"/>
                      <w:color w:val="auto"/>
                      <w:sz w:val="21"/>
                      <w:szCs w:val="21"/>
                      <w:u w:val="none"/>
                      <w:lang w:val="en-US" w:eastAsia="zh-CN"/>
                    </w:rPr>
                    <w:t>废边角料、不合格产品、废包装膜</w:t>
                  </w:r>
                </w:p>
              </w:tc>
              <w:tc>
                <w:tcPr>
                  <w:tcW w:w="1249" w:type="pct"/>
                  <w:tcBorders>
                    <w:tl2br w:val="nil"/>
                    <w:tr2bl w:val="nil"/>
                  </w:tcBorders>
                  <w:noWrap w:val="0"/>
                  <w:vAlign w:val="center"/>
                </w:tcPr>
                <w:p w14:paraId="6E87D2AF">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auto"/>
                      <w:sz w:val="21"/>
                      <w:szCs w:val="21"/>
                      <w:u w:val="none"/>
                      <w:lang w:val="en-US" w:eastAsia="zh-CN"/>
                    </w:rPr>
                  </w:pPr>
                  <w:r>
                    <w:rPr>
                      <w:rFonts w:hint="default" w:ascii="Times New Roman" w:hAnsi="Times New Roman" w:eastAsia="宋体" w:cs="Times New Roman"/>
                      <w:color w:val="auto"/>
                      <w:sz w:val="21"/>
                      <w:szCs w:val="21"/>
                      <w:u w:val="none"/>
                      <w:lang w:val="en-US" w:eastAsia="zh-CN"/>
                    </w:rPr>
                    <w:t>新建1座</w:t>
                  </w:r>
                  <w:r>
                    <w:rPr>
                      <w:rFonts w:hint="eastAsia" w:ascii="Times New Roman" w:cs="Times New Roman"/>
                      <w:color w:val="auto"/>
                      <w:sz w:val="21"/>
                      <w:szCs w:val="21"/>
                      <w:u w:val="none"/>
                      <w:lang w:val="en-US" w:eastAsia="zh-CN"/>
                    </w:rPr>
                    <w:t>10</w:t>
                  </w:r>
                  <w:r>
                    <w:rPr>
                      <w:rFonts w:hint="default" w:ascii="Times New Roman" w:hAnsi="Times New Roman" w:eastAsia="宋体" w:cs="Times New Roman"/>
                      <w:color w:val="auto"/>
                      <w:sz w:val="21"/>
                      <w:szCs w:val="21"/>
                      <w:u w:val="none"/>
                      <w:lang w:val="en-US" w:eastAsia="zh-CN"/>
                    </w:rPr>
                    <w:t>m</w:t>
                  </w:r>
                  <w:r>
                    <w:rPr>
                      <w:rFonts w:hint="default" w:ascii="Times New Roman" w:hAnsi="Times New Roman" w:eastAsia="宋体" w:cs="Times New Roman"/>
                      <w:color w:val="auto"/>
                      <w:sz w:val="21"/>
                      <w:szCs w:val="21"/>
                      <w:u w:val="none"/>
                      <w:vertAlign w:val="superscript"/>
                      <w:lang w:val="en-US" w:eastAsia="zh-CN"/>
                    </w:rPr>
                    <w:t>2</w:t>
                  </w:r>
                  <w:r>
                    <w:rPr>
                      <w:rFonts w:hint="default" w:ascii="Times New Roman" w:hAnsi="Times New Roman" w:eastAsia="宋体" w:cs="Times New Roman"/>
                      <w:color w:val="auto"/>
                      <w:sz w:val="21"/>
                      <w:szCs w:val="21"/>
                      <w:u w:val="none"/>
                      <w:lang w:val="en-US" w:eastAsia="zh-CN"/>
                    </w:rPr>
                    <w:t>一般固废间暂存，定期出售</w:t>
                  </w:r>
                </w:p>
              </w:tc>
              <w:tc>
                <w:tcPr>
                  <w:tcW w:w="1807" w:type="pct"/>
                  <w:tcBorders>
                    <w:tl2br w:val="nil"/>
                    <w:tr2bl w:val="nil"/>
                  </w:tcBorders>
                  <w:noWrap w:val="0"/>
                  <w:vAlign w:val="center"/>
                </w:tcPr>
                <w:p w14:paraId="5F57F5AC">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auto"/>
                      <w:sz w:val="21"/>
                      <w:szCs w:val="21"/>
                      <w:u w:val="none"/>
                      <w:lang w:val="en-US" w:eastAsia="zh-CN"/>
                    </w:rPr>
                  </w:pPr>
                  <w:r>
                    <w:rPr>
                      <w:rFonts w:hint="default" w:ascii="Times New Roman" w:hAnsi="Times New Roman" w:eastAsia="宋体" w:cs="Times New Roman"/>
                      <w:color w:val="auto"/>
                      <w:sz w:val="21"/>
                      <w:szCs w:val="21"/>
                      <w:u w:val="none"/>
                      <w:lang w:val="en-US" w:eastAsia="zh-CN"/>
                    </w:rPr>
                    <w:t>《一般工业固体废物贮存和填埋污染控制标准》（GB18599-2020）</w:t>
                  </w:r>
                </w:p>
              </w:tc>
              <w:tc>
                <w:tcPr>
                  <w:tcW w:w="549" w:type="pct"/>
                  <w:tcBorders>
                    <w:tl2br w:val="nil"/>
                    <w:tr2bl w:val="nil"/>
                  </w:tcBorders>
                  <w:noWrap w:val="0"/>
                  <w:vAlign w:val="center"/>
                </w:tcPr>
                <w:p w14:paraId="5A00503E">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u w:val="none"/>
                      <w:lang w:val="en-US" w:eastAsia="zh-CN"/>
                    </w:rPr>
                  </w:pPr>
                  <w:r>
                    <w:rPr>
                      <w:rFonts w:hint="eastAsia" w:ascii="Times New Roman" w:cs="Times New Roman"/>
                      <w:color w:val="auto"/>
                      <w:sz w:val="21"/>
                      <w:szCs w:val="21"/>
                      <w:u w:val="none"/>
                      <w:lang w:val="en-US" w:eastAsia="zh-CN"/>
                    </w:rPr>
                    <w:t>2</w:t>
                  </w:r>
                  <w:r>
                    <w:rPr>
                      <w:rFonts w:hint="eastAsia" w:ascii="Times New Roman" w:hAnsi="Times New Roman" w:eastAsia="宋体" w:cs="Times New Roman"/>
                      <w:color w:val="auto"/>
                      <w:sz w:val="21"/>
                      <w:szCs w:val="21"/>
                      <w:u w:val="none"/>
                      <w:lang w:val="en-US" w:eastAsia="zh-CN"/>
                    </w:rPr>
                    <w:t>.</w:t>
                  </w:r>
                  <w:r>
                    <w:rPr>
                      <w:rFonts w:hint="default" w:ascii="Times New Roman" w:hAnsi="Times New Roman" w:eastAsia="宋体" w:cs="Times New Roman"/>
                      <w:color w:val="auto"/>
                      <w:sz w:val="21"/>
                      <w:szCs w:val="21"/>
                      <w:u w:val="none"/>
                      <w:lang w:val="en-US" w:eastAsia="zh-CN"/>
                    </w:rPr>
                    <w:t>0</w:t>
                  </w:r>
                </w:p>
              </w:tc>
            </w:tr>
            <w:tr w14:paraId="12695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trPr>
              <w:tc>
                <w:tcPr>
                  <w:tcW w:w="274" w:type="pct"/>
                  <w:vMerge w:val="continue"/>
                  <w:tcBorders>
                    <w:tl2br w:val="nil"/>
                    <w:tr2bl w:val="nil"/>
                  </w:tcBorders>
                  <w:noWrap w:val="0"/>
                  <w:vAlign w:val="center"/>
                </w:tcPr>
                <w:p w14:paraId="71EDFA25">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u w:val="none"/>
                      <w:lang w:val="en-US" w:eastAsia="zh-CN"/>
                    </w:rPr>
                  </w:pPr>
                </w:p>
              </w:tc>
              <w:tc>
                <w:tcPr>
                  <w:tcW w:w="381" w:type="pct"/>
                  <w:vMerge w:val="continue"/>
                  <w:tcBorders>
                    <w:tl2br w:val="nil"/>
                    <w:tr2bl w:val="nil"/>
                  </w:tcBorders>
                  <w:noWrap w:val="0"/>
                  <w:vAlign w:val="center"/>
                </w:tcPr>
                <w:p w14:paraId="265D15A4">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cs="Times New Roman"/>
                      <w:color w:val="auto"/>
                      <w:sz w:val="21"/>
                      <w:szCs w:val="21"/>
                      <w:u w:val="none"/>
                    </w:rPr>
                  </w:pPr>
                </w:p>
              </w:tc>
              <w:tc>
                <w:tcPr>
                  <w:tcW w:w="737" w:type="pct"/>
                  <w:tcBorders>
                    <w:tl2br w:val="nil"/>
                    <w:tr2bl w:val="nil"/>
                  </w:tcBorders>
                  <w:noWrap w:val="0"/>
                  <w:vAlign w:val="center"/>
                </w:tcPr>
                <w:p w14:paraId="576E9F56">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highlight w:val="yellow"/>
                      <w:u w:val="none"/>
                      <w:lang w:val="en-US" w:eastAsia="zh-CN"/>
                    </w:rPr>
                  </w:pPr>
                  <w:r>
                    <w:rPr>
                      <w:rFonts w:hint="eastAsia"/>
                      <w:color w:val="auto"/>
                      <w:sz w:val="21"/>
                      <w:szCs w:val="21"/>
                      <w:lang w:eastAsia="zh-CN"/>
                    </w:rPr>
                    <w:t>废切削液</w:t>
                  </w:r>
                </w:p>
              </w:tc>
              <w:tc>
                <w:tcPr>
                  <w:tcW w:w="1249" w:type="pct"/>
                  <w:tcBorders>
                    <w:tl2br w:val="nil"/>
                    <w:tr2bl w:val="nil"/>
                  </w:tcBorders>
                  <w:noWrap w:val="0"/>
                  <w:vAlign w:val="center"/>
                </w:tcPr>
                <w:p w14:paraId="1453836A">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cs="Times New Roman"/>
                      <w:color w:val="auto"/>
                      <w:sz w:val="21"/>
                      <w:szCs w:val="21"/>
                      <w:highlight w:val="yellow"/>
                      <w:u w:val="none"/>
                      <w:lang w:val="en-US" w:eastAsia="zh-CN"/>
                    </w:rPr>
                  </w:pPr>
                  <w:r>
                    <w:rPr>
                      <w:rFonts w:hint="eastAsia" w:ascii="Times New Roman" w:cs="Times New Roman"/>
                      <w:color w:val="auto"/>
                      <w:sz w:val="21"/>
                      <w:szCs w:val="21"/>
                      <w:highlight w:val="none"/>
                      <w:u w:val="none"/>
                      <w:lang w:val="en-US" w:eastAsia="zh-CN"/>
                    </w:rPr>
                    <w:t>新</w:t>
                  </w:r>
                  <w:r>
                    <w:rPr>
                      <w:rFonts w:hint="default" w:ascii="Times New Roman" w:hAnsi="Times New Roman" w:cs="Times New Roman"/>
                      <w:color w:val="auto"/>
                      <w:sz w:val="21"/>
                      <w:szCs w:val="21"/>
                      <w:highlight w:val="none"/>
                      <w:u w:val="none"/>
                      <w:lang w:val="en-US" w:eastAsia="zh-CN"/>
                    </w:rPr>
                    <w:t>建1座</w:t>
                  </w:r>
                  <w:r>
                    <w:rPr>
                      <w:rFonts w:hint="eastAsia" w:ascii="Times New Roman" w:cs="Times New Roman"/>
                      <w:color w:val="auto"/>
                      <w:sz w:val="21"/>
                      <w:szCs w:val="21"/>
                      <w:highlight w:val="none"/>
                      <w:u w:val="none"/>
                      <w:lang w:val="en-US" w:eastAsia="zh-CN"/>
                    </w:rPr>
                    <w:t>5</w:t>
                  </w:r>
                  <w:r>
                    <w:rPr>
                      <w:rFonts w:hint="default" w:ascii="Times New Roman" w:hAnsi="Times New Roman" w:cs="Times New Roman"/>
                      <w:color w:val="auto"/>
                      <w:sz w:val="21"/>
                      <w:szCs w:val="21"/>
                      <w:highlight w:val="none"/>
                      <w:u w:val="none"/>
                      <w:lang w:val="en-US" w:eastAsia="zh-CN"/>
                    </w:rPr>
                    <w:t>m</w:t>
                  </w:r>
                  <w:r>
                    <w:rPr>
                      <w:rFonts w:hint="default" w:ascii="Times New Roman" w:hAnsi="Times New Roman" w:cs="Times New Roman"/>
                      <w:color w:val="auto"/>
                      <w:sz w:val="21"/>
                      <w:szCs w:val="21"/>
                      <w:highlight w:val="none"/>
                      <w:u w:val="none"/>
                      <w:vertAlign w:val="superscript"/>
                      <w:lang w:val="en-US" w:eastAsia="zh-CN"/>
                    </w:rPr>
                    <w:t>2</w:t>
                  </w:r>
                  <w:r>
                    <w:rPr>
                      <w:rFonts w:hint="default" w:ascii="Times New Roman" w:hAnsi="Times New Roman" w:cs="Times New Roman"/>
                      <w:color w:val="auto"/>
                      <w:sz w:val="21"/>
                      <w:szCs w:val="21"/>
                      <w:highlight w:val="none"/>
                      <w:u w:val="none"/>
                      <w:lang w:val="en-US" w:eastAsia="zh-CN"/>
                    </w:rPr>
                    <w:t>危险废物暂存间暂存，定期委托有资质单位处置</w:t>
                  </w:r>
                </w:p>
              </w:tc>
              <w:tc>
                <w:tcPr>
                  <w:tcW w:w="1807" w:type="pct"/>
                  <w:tcBorders>
                    <w:tl2br w:val="nil"/>
                    <w:tr2bl w:val="nil"/>
                  </w:tcBorders>
                  <w:noWrap w:val="0"/>
                  <w:vAlign w:val="center"/>
                </w:tcPr>
                <w:p w14:paraId="596C2C03">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both"/>
                    <w:textAlignment w:val="auto"/>
                    <w:rPr>
                      <w:rFonts w:hint="default" w:ascii="Times New Roman" w:hAnsi="Times New Roman" w:eastAsia="宋体"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《危险废物贮存污染控制标准》（GB 18597</w:t>
                  </w:r>
                  <w:r>
                    <w:rPr>
                      <w:rFonts w:hint="eastAsia" w:ascii="Times New Roman" w:hAnsi="Times New Roman" w:cs="Times New Roman"/>
                      <w:color w:val="auto"/>
                      <w:sz w:val="21"/>
                      <w:szCs w:val="21"/>
                      <w:u w:val="none"/>
                      <w:lang w:val="en-US" w:eastAsia="zh-CN"/>
                    </w:rPr>
                    <w:t>-</w:t>
                  </w:r>
                  <w:r>
                    <w:rPr>
                      <w:rFonts w:hint="default" w:ascii="Times New Roman" w:hAnsi="Times New Roman" w:cs="Times New Roman"/>
                      <w:color w:val="auto"/>
                      <w:sz w:val="21"/>
                      <w:szCs w:val="21"/>
                      <w:u w:val="none"/>
                      <w:lang w:val="en-US" w:eastAsia="zh-CN"/>
                    </w:rPr>
                    <w:t>2023）</w:t>
                  </w:r>
                </w:p>
              </w:tc>
              <w:tc>
                <w:tcPr>
                  <w:tcW w:w="549" w:type="pct"/>
                  <w:tcBorders>
                    <w:tl2br w:val="nil"/>
                    <w:tr2bl w:val="nil"/>
                  </w:tcBorders>
                  <w:noWrap w:val="0"/>
                  <w:vAlign w:val="center"/>
                </w:tcPr>
                <w:p w14:paraId="61C2F617">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u w:val="none"/>
                      <w:lang w:val="en-US" w:eastAsia="zh-CN"/>
                    </w:rPr>
                  </w:pPr>
                  <w:r>
                    <w:rPr>
                      <w:rFonts w:hint="eastAsia" w:ascii="Times New Roman" w:cs="Times New Roman"/>
                      <w:color w:val="auto"/>
                      <w:sz w:val="21"/>
                      <w:szCs w:val="21"/>
                      <w:highlight w:val="none"/>
                      <w:u w:val="none"/>
                      <w:lang w:val="en-US" w:eastAsia="zh-CN"/>
                    </w:rPr>
                    <w:t>3</w:t>
                  </w:r>
                  <w:r>
                    <w:rPr>
                      <w:rFonts w:hint="default" w:ascii="Times New Roman" w:hAnsi="Times New Roman" w:cs="Times New Roman"/>
                      <w:color w:val="auto"/>
                      <w:sz w:val="21"/>
                      <w:szCs w:val="21"/>
                      <w:highlight w:val="none"/>
                      <w:u w:val="none"/>
                      <w:lang w:val="en-US" w:eastAsia="zh-CN"/>
                    </w:rPr>
                    <w:t>.0</w:t>
                  </w:r>
                </w:p>
              </w:tc>
            </w:tr>
            <w:tr w14:paraId="379D2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74" w:type="pct"/>
                  <w:noWrap w:val="0"/>
                  <w:vAlign w:val="center"/>
                </w:tcPr>
                <w:p w14:paraId="67652AFC">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u w:val="none"/>
                      <w:lang w:val="en-US" w:eastAsia="zh-CN"/>
                    </w:rPr>
                  </w:pPr>
                  <w:r>
                    <w:rPr>
                      <w:rFonts w:hint="eastAsia" w:ascii="Times New Roman" w:cs="Times New Roman"/>
                      <w:color w:val="auto"/>
                      <w:sz w:val="21"/>
                      <w:szCs w:val="21"/>
                      <w:u w:val="none"/>
                      <w:lang w:val="en-US" w:eastAsia="zh-CN"/>
                    </w:rPr>
                    <w:t>4</w:t>
                  </w:r>
                </w:p>
              </w:tc>
              <w:tc>
                <w:tcPr>
                  <w:tcW w:w="1119" w:type="pct"/>
                  <w:gridSpan w:val="2"/>
                  <w:noWrap w:val="0"/>
                  <w:vAlign w:val="center"/>
                </w:tcPr>
                <w:p w14:paraId="16703C81">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cs="Times New Roman"/>
                      <w:color w:val="auto"/>
                      <w:sz w:val="21"/>
                      <w:szCs w:val="21"/>
                      <w:u w:val="none"/>
                      <w:lang w:val="en-US" w:eastAsia="zh-CN"/>
                    </w:rPr>
                  </w:pPr>
                  <w:r>
                    <w:rPr>
                      <w:rFonts w:hint="default" w:ascii="Times New Roman" w:hAnsi="Times New Roman" w:cs="Times New Roman"/>
                      <w:color w:val="auto"/>
                      <w:sz w:val="21"/>
                      <w:szCs w:val="21"/>
                      <w:u w:val="none"/>
                      <w:lang w:val="en-US" w:eastAsia="zh-CN"/>
                    </w:rPr>
                    <w:t>合计</w:t>
                  </w:r>
                </w:p>
              </w:tc>
              <w:tc>
                <w:tcPr>
                  <w:tcW w:w="1249" w:type="pct"/>
                  <w:noWrap w:val="0"/>
                  <w:vAlign w:val="center"/>
                </w:tcPr>
                <w:p w14:paraId="7FF10363">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eastAsia="宋体" w:cs="Times New Roman"/>
                      <w:color w:val="auto"/>
                      <w:sz w:val="21"/>
                      <w:szCs w:val="21"/>
                      <w:u w:val="none"/>
                      <w:lang w:val="en-US" w:eastAsia="zh-CN"/>
                    </w:rPr>
                  </w:pPr>
                  <w:r>
                    <w:rPr>
                      <w:rFonts w:hint="default" w:ascii="Times New Roman" w:hAnsi="Times New Roman" w:eastAsia="宋体" w:cs="Times New Roman"/>
                      <w:color w:val="auto"/>
                      <w:sz w:val="21"/>
                      <w:szCs w:val="21"/>
                      <w:u w:val="none"/>
                      <w:lang w:val="en-US" w:eastAsia="zh-CN"/>
                    </w:rPr>
                    <w:t>/</w:t>
                  </w:r>
                </w:p>
              </w:tc>
              <w:tc>
                <w:tcPr>
                  <w:tcW w:w="1807" w:type="pct"/>
                  <w:noWrap w:val="0"/>
                  <w:vAlign w:val="center"/>
                </w:tcPr>
                <w:p w14:paraId="47B99A0E">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u w:val="none"/>
                      <w:lang w:val="en-US" w:eastAsia="zh-CN"/>
                    </w:rPr>
                  </w:pPr>
                  <w:r>
                    <w:rPr>
                      <w:rFonts w:hint="default" w:ascii="Times New Roman" w:hAnsi="Times New Roman" w:cs="Times New Roman"/>
                      <w:color w:val="auto"/>
                      <w:sz w:val="21"/>
                      <w:szCs w:val="21"/>
                      <w:highlight w:val="none"/>
                      <w:u w:val="none"/>
                      <w:lang w:val="en-US" w:eastAsia="zh-CN"/>
                    </w:rPr>
                    <w:t>/</w:t>
                  </w:r>
                </w:p>
              </w:tc>
              <w:tc>
                <w:tcPr>
                  <w:tcW w:w="549" w:type="pct"/>
                  <w:noWrap w:val="0"/>
                  <w:vAlign w:val="center"/>
                </w:tcPr>
                <w:p w14:paraId="62F7D24C">
                  <w:pPr>
                    <w:pStyle w:val="53"/>
                    <w:keepNext w:val="0"/>
                    <w:keepLines w:val="0"/>
                    <w:pageBreakBefore w:val="0"/>
                    <w:widowControl w:val="0"/>
                    <w:suppressLineNumbers w:val="0"/>
                    <w:kinsoku/>
                    <w:wordWrap/>
                    <w:overflowPunct/>
                    <w:topLinePunct w:val="0"/>
                    <w:autoSpaceDE/>
                    <w:autoSpaceDN/>
                    <w:bidi w:val="0"/>
                    <w:adjustRightInd w:val="0"/>
                    <w:snapToGrid w:val="0"/>
                    <w:spacing w:beforeLines="0" w:beforeAutospacing="0" w:afterLines="0" w:afterAutospacing="0" w:line="240" w:lineRule="auto"/>
                    <w:ind w:left="0" w:right="0" w:firstLine="0" w:firstLineChars="0"/>
                    <w:jc w:val="center"/>
                    <w:textAlignment w:val="auto"/>
                    <w:rPr>
                      <w:rFonts w:hint="default" w:ascii="Times New Roman" w:hAnsi="Times New Roman" w:cs="Times New Roman"/>
                      <w:color w:val="auto"/>
                      <w:sz w:val="21"/>
                      <w:szCs w:val="21"/>
                      <w:highlight w:val="none"/>
                      <w:u w:val="none"/>
                      <w:lang w:val="en-US" w:eastAsia="zh-CN"/>
                    </w:rPr>
                  </w:pPr>
                  <w:r>
                    <w:rPr>
                      <w:rFonts w:hint="eastAsia" w:ascii="Times New Roman" w:cs="Times New Roman"/>
                      <w:color w:val="auto"/>
                      <w:sz w:val="21"/>
                      <w:szCs w:val="21"/>
                      <w:highlight w:val="none"/>
                      <w:u w:val="none"/>
                      <w:lang w:val="en-US" w:eastAsia="zh-CN"/>
                    </w:rPr>
                    <w:t>15</w:t>
                  </w:r>
                </w:p>
              </w:tc>
            </w:tr>
          </w:tbl>
          <w:p w14:paraId="6E6E55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u w:val="none"/>
              </w:rPr>
            </w:pPr>
          </w:p>
          <w:p w14:paraId="3A4244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u w:val="none"/>
              </w:rPr>
            </w:pPr>
          </w:p>
          <w:p w14:paraId="293B94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u w:val="none"/>
              </w:rPr>
            </w:pPr>
          </w:p>
          <w:p w14:paraId="3C73F2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40" w:lineRule="exact"/>
              <w:ind w:left="0" w:right="0" w:firstLine="480" w:firstLineChars="200"/>
              <w:textAlignment w:val="auto"/>
              <w:rPr>
                <w:rFonts w:hint="default" w:ascii="Times New Roman" w:hAnsi="Times New Roman" w:eastAsia="宋体" w:cs="Times New Roman"/>
                <w:color w:val="auto"/>
                <w:sz w:val="24"/>
                <w:szCs w:val="24"/>
                <w:highlight w:val="none"/>
                <w:u w:val="none"/>
              </w:rPr>
            </w:pPr>
          </w:p>
          <w:p w14:paraId="61D43A56">
            <w:pPr>
              <w:pStyle w:val="18"/>
              <w:ind w:left="0" w:leftChars="0" w:firstLine="0" w:firstLineChars="0"/>
              <w:rPr>
                <w:rFonts w:hint="default"/>
                <w:lang w:val="en-US" w:eastAsia="zh-CN"/>
              </w:rPr>
            </w:pPr>
          </w:p>
          <w:p w14:paraId="3AD4E76B">
            <w:pPr>
              <w:rPr>
                <w:rFonts w:hint="default"/>
                <w:lang w:val="en-US" w:eastAsia="zh-CN"/>
              </w:rPr>
            </w:pPr>
          </w:p>
          <w:p w14:paraId="7F2DFBF6">
            <w:pPr>
              <w:pStyle w:val="2"/>
              <w:rPr>
                <w:rFonts w:hint="default"/>
                <w:lang w:val="en-US" w:eastAsia="zh-CN"/>
              </w:rPr>
            </w:pPr>
          </w:p>
          <w:p w14:paraId="372173BF">
            <w:pPr>
              <w:rPr>
                <w:rFonts w:hint="default"/>
                <w:lang w:val="en-US" w:eastAsia="zh-CN"/>
              </w:rPr>
            </w:pPr>
          </w:p>
          <w:p w14:paraId="0A17F080">
            <w:pPr>
              <w:pStyle w:val="2"/>
              <w:rPr>
                <w:rFonts w:hint="default"/>
                <w:lang w:val="en-US" w:eastAsia="zh-CN"/>
              </w:rPr>
            </w:pPr>
          </w:p>
          <w:p w14:paraId="2E9808C5">
            <w:pPr>
              <w:pStyle w:val="2"/>
              <w:ind w:left="0" w:leftChars="0" w:firstLine="0" w:firstLineChars="0"/>
              <w:rPr>
                <w:rFonts w:hint="default"/>
                <w:lang w:val="en-US" w:eastAsia="zh-CN"/>
              </w:rPr>
            </w:pPr>
          </w:p>
          <w:p w14:paraId="36309E25">
            <w:pPr>
              <w:rPr>
                <w:rFonts w:hint="default"/>
                <w:lang w:val="en-US" w:eastAsia="zh-CN"/>
              </w:rPr>
            </w:pPr>
          </w:p>
        </w:tc>
      </w:tr>
    </w:tbl>
    <w:p w14:paraId="0296B82E">
      <w:pPr>
        <w:adjustRightInd w:val="0"/>
        <w:snapToGrid w:val="0"/>
        <w:ind w:firstLine="562"/>
        <w:rPr>
          <w:rFonts w:hint="default" w:ascii="Times New Roman" w:hAnsi="Times New Roman" w:cs="Times New Roman"/>
          <w:b/>
          <w:kern w:val="0"/>
          <w:sz w:val="28"/>
          <w:szCs w:val="28"/>
        </w:rPr>
        <w:sectPr>
          <w:pgSz w:w="11907" w:h="16840"/>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4B46BDF1">
      <w:pPr>
        <w:pStyle w:val="2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0" w:firstLineChars="0"/>
        <w:jc w:val="center"/>
        <w:textAlignment w:val="auto"/>
        <w:outlineLvl w:val="0"/>
        <w:rPr>
          <w:rFonts w:hint="default" w:ascii="Times New Roman" w:hAnsi="Times New Roman" w:eastAsia="宋体" w:cs="Times New Roman"/>
          <w:b/>
          <w:kern w:val="2"/>
          <w:sz w:val="30"/>
          <w:szCs w:val="22"/>
          <w:highlight w:val="none"/>
          <w:lang w:val="en-US" w:eastAsia="zh-CN" w:bidi="ar-SA"/>
        </w:rPr>
      </w:pPr>
      <w:r>
        <w:rPr>
          <w:rFonts w:hint="default" w:ascii="Times New Roman" w:hAnsi="Times New Roman" w:eastAsia="宋体" w:cs="Times New Roman"/>
          <w:b/>
          <w:kern w:val="2"/>
          <w:sz w:val="30"/>
          <w:szCs w:val="22"/>
          <w:highlight w:val="none"/>
          <w:lang w:val="en-US" w:eastAsia="zh-CN" w:bidi="ar-SA"/>
        </w:rPr>
        <w:t>五、</w:t>
      </w:r>
      <w:bookmarkStart w:id="2" w:name="_Hlk54167917"/>
      <w:r>
        <w:rPr>
          <w:rFonts w:hint="default" w:ascii="Times New Roman" w:hAnsi="Times New Roman" w:eastAsia="宋体" w:cs="Times New Roman"/>
          <w:b/>
          <w:kern w:val="2"/>
          <w:sz w:val="30"/>
          <w:szCs w:val="22"/>
          <w:highlight w:val="none"/>
          <w:lang w:val="en-US" w:eastAsia="zh-CN" w:bidi="ar-SA"/>
        </w:rPr>
        <w:t>环境保护措施监督检查清单</w:t>
      </w:r>
      <w:bookmarkEnd w:id="2"/>
    </w:p>
    <w:tbl>
      <w:tblPr>
        <w:tblStyle w:val="2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20"/>
        <w:gridCol w:w="1198"/>
        <w:gridCol w:w="1164"/>
        <w:gridCol w:w="2896"/>
        <w:gridCol w:w="2682"/>
      </w:tblGrid>
      <w:tr w14:paraId="5EFB31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tcBorders>
              <w:tl2br w:val="single" w:color="auto" w:sz="4" w:space="0"/>
            </w:tcBorders>
            <w:noWrap w:val="0"/>
            <w:vAlign w:val="center"/>
          </w:tcPr>
          <w:p w14:paraId="52A57E6A">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color w:val="000000"/>
                <w:sz w:val="21"/>
                <w:szCs w:val="21"/>
              </w:rPr>
            </w:pPr>
            <w:r>
              <w:rPr>
                <w:rFonts w:hint="eastAsia"/>
                <w:color w:val="000000"/>
                <w:sz w:val="21"/>
                <w:szCs w:val="21"/>
              </w:rPr>
              <w:t xml:space="preserve">   </w:t>
            </w:r>
            <w:r>
              <w:rPr>
                <w:color w:val="000000"/>
                <w:sz w:val="21"/>
                <w:szCs w:val="21"/>
              </w:rPr>
              <w:t>内容</w:t>
            </w:r>
          </w:p>
          <w:p w14:paraId="282D9F29">
            <w:pPr>
              <w:keepNext w:val="0"/>
              <w:keepLines w:val="0"/>
              <w:pageBreakBefore w:val="0"/>
              <w:widowControl w:val="0"/>
              <w:kinsoku/>
              <w:wordWrap/>
              <w:overflowPunct/>
              <w:topLinePunct w:val="0"/>
              <w:autoSpaceDE/>
              <w:autoSpaceDN/>
              <w:bidi w:val="0"/>
              <w:spacing w:line="240" w:lineRule="auto"/>
              <w:ind w:firstLine="0" w:firstLineChars="0"/>
              <w:jc w:val="both"/>
              <w:textAlignment w:val="auto"/>
              <w:rPr>
                <w:color w:val="000000"/>
                <w:sz w:val="21"/>
                <w:szCs w:val="21"/>
              </w:rPr>
            </w:pPr>
            <w:r>
              <w:rPr>
                <w:color w:val="000000"/>
                <w:sz w:val="21"/>
                <w:szCs w:val="21"/>
              </w:rPr>
              <w:t>要素</w:t>
            </w:r>
          </w:p>
        </w:tc>
        <w:tc>
          <w:tcPr>
            <w:tcW w:w="1198" w:type="dxa"/>
            <w:tcBorders>
              <w:bottom w:val="single" w:color="auto" w:sz="4" w:space="0"/>
            </w:tcBorders>
            <w:noWrap w:val="0"/>
            <w:vAlign w:val="center"/>
          </w:tcPr>
          <w:p w14:paraId="1C61E7E1">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color w:val="000000"/>
                <w:sz w:val="21"/>
                <w:szCs w:val="21"/>
              </w:rPr>
            </w:pPr>
            <w:r>
              <w:rPr>
                <w:color w:val="000000"/>
                <w:sz w:val="21"/>
                <w:szCs w:val="21"/>
              </w:rPr>
              <w:t>排放口(编号、名称)/污染源</w:t>
            </w:r>
          </w:p>
        </w:tc>
        <w:tc>
          <w:tcPr>
            <w:tcW w:w="1164" w:type="dxa"/>
            <w:tcBorders>
              <w:bottom w:val="single" w:color="auto" w:sz="4" w:space="0"/>
            </w:tcBorders>
            <w:noWrap w:val="0"/>
            <w:vAlign w:val="center"/>
          </w:tcPr>
          <w:p w14:paraId="1DFC9960">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color w:val="000000"/>
                <w:sz w:val="21"/>
                <w:szCs w:val="21"/>
              </w:rPr>
            </w:pPr>
            <w:r>
              <w:rPr>
                <w:color w:val="000000"/>
                <w:sz w:val="21"/>
                <w:szCs w:val="21"/>
              </w:rPr>
              <w:t>污染物</w:t>
            </w:r>
          </w:p>
          <w:p w14:paraId="38F8BBD8">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color w:val="000000"/>
                <w:sz w:val="21"/>
                <w:szCs w:val="21"/>
              </w:rPr>
            </w:pPr>
            <w:r>
              <w:rPr>
                <w:color w:val="000000"/>
                <w:sz w:val="21"/>
                <w:szCs w:val="21"/>
              </w:rPr>
              <w:t>项目</w:t>
            </w:r>
          </w:p>
        </w:tc>
        <w:tc>
          <w:tcPr>
            <w:tcW w:w="2896" w:type="dxa"/>
            <w:tcBorders>
              <w:bottom w:val="single" w:color="auto" w:sz="4" w:space="0"/>
            </w:tcBorders>
            <w:noWrap w:val="0"/>
            <w:vAlign w:val="center"/>
          </w:tcPr>
          <w:p w14:paraId="660A6E10">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color w:val="000000"/>
                <w:sz w:val="21"/>
                <w:szCs w:val="21"/>
              </w:rPr>
            </w:pPr>
            <w:r>
              <w:rPr>
                <w:color w:val="000000"/>
                <w:sz w:val="21"/>
                <w:szCs w:val="21"/>
              </w:rPr>
              <w:t>环境保护措施</w:t>
            </w:r>
          </w:p>
        </w:tc>
        <w:tc>
          <w:tcPr>
            <w:tcW w:w="2682" w:type="dxa"/>
            <w:tcBorders>
              <w:bottom w:val="single" w:color="auto" w:sz="4" w:space="0"/>
            </w:tcBorders>
            <w:noWrap w:val="0"/>
            <w:vAlign w:val="center"/>
          </w:tcPr>
          <w:p w14:paraId="1A114D47">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color w:val="000000"/>
                <w:sz w:val="21"/>
                <w:szCs w:val="21"/>
              </w:rPr>
            </w:pPr>
            <w:r>
              <w:rPr>
                <w:color w:val="000000"/>
                <w:sz w:val="21"/>
                <w:szCs w:val="21"/>
              </w:rPr>
              <w:t>执行标准</w:t>
            </w:r>
          </w:p>
        </w:tc>
      </w:tr>
      <w:tr w14:paraId="4E5FD1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noWrap w:val="0"/>
            <w:vAlign w:val="center"/>
          </w:tcPr>
          <w:p w14:paraId="528157D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hAnsi="宋体"/>
                <w:sz w:val="21"/>
                <w:szCs w:val="21"/>
                <w:lang w:eastAsia="zh-CN"/>
              </w:rPr>
            </w:pPr>
            <w:r>
              <w:rPr>
                <w:rFonts w:hint="eastAsia" w:hAnsi="宋体"/>
                <w:sz w:val="21"/>
                <w:szCs w:val="21"/>
                <w:lang w:eastAsia="zh-CN"/>
              </w:rPr>
              <w:t>大气环境</w:t>
            </w:r>
          </w:p>
        </w:tc>
        <w:tc>
          <w:tcPr>
            <w:tcW w:w="1198" w:type="dxa"/>
            <w:tcBorders>
              <w:top w:val="single" w:color="auto" w:sz="4" w:space="0"/>
              <w:bottom w:val="single" w:color="auto" w:sz="4" w:space="0"/>
            </w:tcBorders>
            <w:noWrap w:val="0"/>
            <w:vAlign w:val="center"/>
          </w:tcPr>
          <w:p w14:paraId="734C9150">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hAnsi="宋体" w:eastAsia="宋体"/>
                <w:sz w:val="21"/>
                <w:szCs w:val="21"/>
                <w:lang w:val="en-US" w:eastAsia="zh-CN"/>
              </w:rPr>
            </w:pPr>
            <w:r>
              <w:rPr>
                <w:rFonts w:hint="eastAsia" w:hAnsi="宋体"/>
                <w:sz w:val="21"/>
                <w:szCs w:val="21"/>
                <w:lang w:val="en-US" w:eastAsia="zh-CN"/>
              </w:rPr>
              <w:t>/</w:t>
            </w:r>
          </w:p>
        </w:tc>
        <w:tc>
          <w:tcPr>
            <w:tcW w:w="1164" w:type="dxa"/>
            <w:tcBorders>
              <w:top w:val="single" w:color="auto" w:sz="4" w:space="0"/>
              <w:bottom w:val="single" w:color="auto" w:sz="4" w:space="0"/>
            </w:tcBorders>
            <w:noWrap w:val="0"/>
            <w:vAlign w:val="center"/>
          </w:tcPr>
          <w:p w14:paraId="0231B9A4">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eastAsia="宋体"/>
                <w:sz w:val="21"/>
                <w:szCs w:val="21"/>
                <w:lang w:val="en-US" w:eastAsia="zh-CN"/>
              </w:rPr>
            </w:pPr>
            <w:r>
              <w:rPr>
                <w:rFonts w:hint="eastAsia"/>
                <w:sz w:val="21"/>
                <w:szCs w:val="21"/>
                <w:lang w:val="en-US" w:eastAsia="zh-CN"/>
              </w:rPr>
              <w:t>/</w:t>
            </w:r>
          </w:p>
        </w:tc>
        <w:tc>
          <w:tcPr>
            <w:tcW w:w="2896" w:type="dxa"/>
            <w:tcBorders>
              <w:top w:val="single" w:color="auto" w:sz="4" w:space="0"/>
              <w:bottom w:val="single" w:color="auto" w:sz="4" w:space="0"/>
            </w:tcBorders>
            <w:noWrap w:val="0"/>
            <w:vAlign w:val="center"/>
          </w:tcPr>
          <w:p w14:paraId="56120AB5">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hAnsi="宋体" w:eastAsia="宋体"/>
                <w:sz w:val="21"/>
                <w:szCs w:val="21"/>
                <w:lang w:val="en-US" w:eastAsia="zh-CN"/>
              </w:rPr>
            </w:pPr>
            <w:r>
              <w:rPr>
                <w:rFonts w:hint="eastAsia" w:hAnsi="宋体"/>
                <w:sz w:val="21"/>
                <w:szCs w:val="21"/>
                <w:lang w:val="en-US" w:eastAsia="zh-CN"/>
              </w:rPr>
              <w:t>/</w:t>
            </w:r>
          </w:p>
        </w:tc>
        <w:tc>
          <w:tcPr>
            <w:tcW w:w="2682" w:type="dxa"/>
            <w:noWrap w:val="0"/>
            <w:vAlign w:val="center"/>
          </w:tcPr>
          <w:p w14:paraId="1A590EC1">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color w:val="000000"/>
                <w:sz w:val="21"/>
                <w:szCs w:val="21"/>
                <w:lang w:val="en-US" w:eastAsia="zh-CN"/>
              </w:rPr>
            </w:pPr>
            <w:r>
              <w:rPr>
                <w:rFonts w:hint="eastAsia"/>
                <w:color w:val="000000"/>
                <w:sz w:val="21"/>
                <w:szCs w:val="21"/>
                <w:lang w:val="en-US" w:eastAsia="zh-CN"/>
              </w:rPr>
              <w:t>/</w:t>
            </w:r>
          </w:p>
        </w:tc>
      </w:tr>
      <w:tr w14:paraId="76C627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noWrap w:val="0"/>
            <w:vAlign w:val="center"/>
          </w:tcPr>
          <w:p w14:paraId="508EB09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hAnsi="宋体" w:eastAsia="宋体"/>
                <w:sz w:val="21"/>
                <w:szCs w:val="21"/>
                <w:lang w:eastAsia="zh-CN"/>
              </w:rPr>
            </w:pPr>
            <w:r>
              <w:rPr>
                <w:rFonts w:hint="eastAsia" w:hAnsi="宋体"/>
                <w:sz w:val="21"/>
                <w:szCs w:val="21"/>
                <w:lang w:eastAsia="zh-CN"/>
              </w:rPr>
              <w:t>地表水环境</w:t>
            </w:r>
          </w:p>
        </w:tc>
        <w:tc>
          <w:tcPr>
            <w:tcW w:w="1198" w:type="dxa"/>
            <w:tcBorders>
              <w:top w:val="single" w:color="auto" w:sz="4" w:space="0"/>
              <w:bottom w:val="single" w:color="auto" w:sz="4" w:space="0"/>
            </w:tcBorders>
            <w:noWrap w:val="0"/>
            <w:vAlign w:val="center"/>
          </w:tcPr>
          <w:p w14:paraId="3AAB51AE">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sz w:val="21"/>
                <w:szCs w:val="21"/>
              </w:rPr>
            </w:pPr>
            <w:r>
              <w:rPr>
                <w:rFonts w:hint="eastAsia" w:hAnsi="宋体"/>
                <w:sz w:val="21"/>
                <w:szCs w:val="21"/>
              </w:rPr>
              <w:t>生活污水</w:t>
            </w:r>
          </w:p>
        </w:tc>
        <w:tc>
          <w:tcPr>
            <w:tcW w:w="1164" w:type="dxa"/>
            <w:tcBorders>
              <w:top w:val="single" w:color="auto" w:sz="4" w:space="0"/>
              <w:bottom w:val="single" w:color="auto" w:sz="4" w:space="0"/>
            </w:tcBorders>
            <w:noWrap w:val="0"/>
            <w:vAlign w:val="center"/>
          </w:tcPr>
          <w:p w14:paraId="70635BA8">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default" w:eastAsia="宋体"/>
                <w:sz w:val="21"/>
                <w:szCs w:val="21"/>
                <w:lang w:val="en-US" w:eastAsia="zh-CN"/>
              </w:rPr>
            </w:pPr>
            <w:r>
              <w:rPr>
                <w:sz w:val="21"/>
                <w:szCs w:val="21"/>
              </w:rPr>
              <w:t>COD</w:t>
            </w:r>
            <w:r>
              <w:rPr>
                <w:rFonts w:hint="eastAsia"/>
                <w:sz w:val="21"/>
                <w:szCs w:val="21"/>
              </w:rPr>
              <w:t>、</w:t>
            </w:r>
            <w:r>
              <w:rPr>
                <w:sz w:val="21"/>
                <w:szCs w:val="21"/>
              </w:rPr>
              <w:t>SS</w:t>
            </w:r>
            <w:r>
              <w:rPr>
                <w:rFonts w:hint="eastAsia"/>
                <w:sz w:val="21"/>
                <w:szCs w:val="21"/>
              </w:rPr>
              <w:t>、</w:t>
            </w:r>
            <w:r>
              <w:rPr>
                <w:rFonts w:hint="eastAsia"/>
                <w:sz w:val="21"/>
                <w:szCs w:val="21"/>
                <w:lang w:val="en-US" w:eastAsia="zh-CN"/>
              </w:rPr>
              <w:t>NH</w:t>
            </w:r>
            <w:r>
              <w:rPr>
                <w:rFonts w:hint="eastAsia"/>
                <w:sz w:val="21"/>
                <w:szCs w:val="21"/>
                <w:vertAlign w:val="subscript"/>
                <w:lang w:val="en-US" w:eastAsia="zh-CN"/>
              </w:rPr>
              <w:t>3</w:t>
            </w:r>
            <w:r>
              <w:rPr>
                <w:rFonts w:hint="eastAsia"/>
                <w:sz w:val="21"/>
                <w:szCs w:val="21"/>
                <w:lang w:val="en-US" w:eastAsia="zh-CN"/>
              </w:rPr>
              <w:t>-N</w:t>
            </w:r>
            <w:r>
              <w:rPr>
                <w:rFonts w:hint="eastAsia"/>
                <w:sz w:val="21"/>
                <w:szCs w:val="21"/>
              </w:rPr>
              <w:t>、</w:t>
            </w:r>
            <w:r>
              <w:rPr>
                <w:sz w:val="21"/>
                <w:szCs w:val="21"/>
              </w:rPr>
              <w:t>TP</w:t>
            </w:r>
            <w:r>
              <w:rPr>
                <w:rFonts w:hint="eastAsia"/>
                <w:sz w:val="21"/>
                <w:szCs w:val="21"/>
              </w:rPr>
              <w:t>、</w:t>
            </w:r>
            <w:r>
              <w:rPr>
                <w:sz w:val="21"/>
                <w:szCs w:val="21"/>
              </w:rPr>
              <w:t>TN</w:t>
            </w:r>
            <w:r>
              <w:rPr>
                <w:rFonts w:hint="eastAsia"/>
                <w:sz w:val="21"/>
                <w:szCs w:val="21"/>
                <w:lang w:eastAsia="zh-CN"/>
              </w:rPr>
              <w:t>、</w:t>
            </w:r>
            <w:r>
              <w:rPr>
                <w:rFonts w:hint="eastAsia"/>
                <w:sz w:val="21"/>
                <w:szCs w:val="21"/>
                <w:lang w:val="en-US" w:eastAsia="zh-CN"/>
              </w:rPr>
              <w:t>COD</w:t>
            </w:r>
            <w:r>
              <w:rPr>
                <w:rFonts w:hint="eastAsia"/>
                <w:sz w:val="21"/>
                <w:szCs w:val="21"/>
                <w:vertAlign w:val="subscript"/>
                <w:lang w:val="en-US" w:eastAsia="zh-CN"/>
              </w:rPr>
              <w:t>5</w:t>
            </w:r>
          </w:p>
        </w:tc>
        <w:tc>
          <w:tcPr>
            <w:tcW w:w="2896" w:type="dxa"/>
            <w:tcBorders>
              <w:top w:val="single" w:color="auto" w:sz="4" w:space="0"/>
              <w:bottom w:val="single" w:color="auto" w:sz="4" w:space="0"/>
            </w:tcBorders>
            <w:noWrap w:val="0"/>
            <w:vAlign w:val="center"/>
          </w:tcPr>
          <w:p w14:paraId="088340C7">
            <w:pPr>
              <w:keepNext w:val="0"/>
              <w:keepLines w:val="0"/>
              <w:pageBreakBefore w:val="0"/>
              <w:widowControl w:val="0"/>
              <w:kinsoku/>
              <w:wordWrap/>
              <w:overflowPunct/>
              <w:topLinePunct w:val="0"/>
              <w:autoSpaceDE/>
              <w:autoSpaceDN/>
              <w:bidi w:val="0"/>
              <w:spacing w:line="240" w:lineRule="auto"/>
              <w:ind w:firstLine="0" w:firstLineChars="0"/>
              <w:jc w:val="both"/>
              <w:textAlignment w:val="auto"/>
              <w:rPr>
                <w:sz w:val="21"/>
                <w:szCs w:val="21"/>
              </w:rPr>
            </w:pPr>
            <w:r>
              <w:rPr>
                <w:rFonts w:hint="eastAsia" w:hAnsi="宋体"/>
                <w:sz w:val="21"/>
                <w:szCs w:val="21"/>
              </w:rPr>
              <w:t>经化粪池处理后排入</w:t>
            </w:r>
            <w:r>
              <w:rPr>
                <w:rFonts w:hint="eastAsia" w:hAnsi="宋体"/>
                <w:sz w:val="21"/>
                <w:szCs w:val="21"/>
                <w:lang w:eastAsia="zh-CN"/>
              </w:rPr>
              <w:t>新乡县综合污水处理厂</w:t>
            </w:r>
            <w:r>
              <w:rPr>
                <w:rFonts w:hint="eastAsia" w:hAnsi="宋体"/>
                <w:sz w:val="21"/>
                <w:szCs w:val="21"/>
              </w:rPr>
              <w:t>进一步处理</w:t>
            </w:r>
          </w:p>
        </w:tc>
        <w:tc>
          <w:tcPr>
            <w:tcW w:w="2682" w:type="dxa"/>
            <w:noWrap w:val="0"/>
            <w:vAlign w:val="center"/>
          </w:tcPr>
          <w:p w14:paraId="664E82DD">
            <w:pPr>
              <w:keepNext w:val="0"/>
              <w:keepLines w:val="0"/>
              <w:pageBreakBefore w:val="0"/>
              <w:widowControl w:val="0"/>
              <w:kinsoku/>
              <w:wordWrap/>
              <w:overflowPunct/>
              <w:topLinePunct w:val="0"/>
              <w:autoSpaceDE/>
              <w:autoSpaceDN/>
              <w:bidi w:val="0"/>
              <w:spacing w:line="240" w:lineRule="auto"/>
              <w:ind w:firstLine="0" w:firstLineChars="0"/>
              <w:jc w:val="both"/>
              <w:textAlignment w:val="auto"/>
              <w:rPr>
                <w:rFonts w:hint="eastAsia" w:eastAsia="宋体"/>
                <w:color w:val="000000"/>
                <w:sz w:val="21"/>
                <w:szCs w:val="21"/>
                <w:lang w:eastAsia="zh-CN"/>
              </w:rPr>
            </w:pPr>
            <w:r>
              <w:rPr>
                <w:rFonts w:hint="eastAsia"/>
                <w:color w:val="000000"/>
                <w:sz w:val="21"/>
                <w:szCs w:val="21"/>
                <w:lang w:eastAsia="zh-CN"/>
              </w:rPr>
              <w:t>新乡县综合污水处理厂收水标准</w:t>
            </w:r>
          </w:p>
        </w:tc>
      </w:tr>
      <w:tr w14:paraId="501C2E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noWrap w:val="0"/>
            <w:vAlign w:val="center"/>
          </w:tcPr>
          <w:p w14:paraId="33AF526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Ansi="宋体"/>
                <w:sz w:val="21"/>
                <w:szCs w:val="21"/>
              </w:rPr>
            </w:pPr>
            <w:r>
              <w:rPr>
                <w:rFonts w:hAnsi="宋体"/>
                <w:sz w:val="21"/>
                <w:szCs w:val="21"/>
              </w:rPr>
              <w:t>声环境</w:t>
            </w:r>
          </w:p>
        </w:tc>
        <w:tc>
          <w:tcPr>
            <w:tcW w:w="1198" w:type="dxa"/>
            <w:tcBorders>
              <w:top w:val="single" w:color="auto" w:sz="4" w:space="0"/>
            </w:tcBorders>
            <w:noWrap w:val="0"/>
            <w:vAlign w:val="center"/>
          </w:tcPr>
          <w:p w14:paraId="0A5B893A">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hAnsi="宋体"/>
                <w:sz w:val="21"/>
                <w:szCs w:val="21"/>
              </w:rPr>
            </w:pPr>
            <w:r>
              <w:rPr>
                <w:rFonts w:hint="eastAsia"/>
                <w:sz w:val="21"/>
                <w:szCs w:val="21"/>
                <w:lang w:eastAsia="zh-CN"/>
              </w:rPr>
              <w:t>攻丝机、卧式加工中心</w:t>
            </w:r>
            <w:r>
              <w:rPr>
                <w:rFonts w:hint="eastAsia"/>
                <w:sz w:val="21"/>
                <w:szCs w:val="21"/>
              </w:rPr>
              <w:t>等</w:t>
            </w:r>
          </w:p>
        </w:tc>
        <w:tc>
          <w:tcPr>
            <w:tcW w:w="1164" w:type="dxa"/>
            <w:tcBorders>
              <w:top w:val="single" w:color="auto" w:sz="4" w:space="0"/>
            </w:tcBorders>
            <w:noWrap w:val="0"/>
            <w:vAlign w:val="center"/>
          </w:tcPr>
          <w:p w14:paraId="5A1EF86E">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sz w:val="21"/>
                <w:szCs w:val="21"/>
              </w:rPr>
            </w:pPr>
            <w:r>
              <w:rPr>
                <w:rFonts w:hint="eastAsia"/>
                <w:sz w:val="21"/>
                <w:szCs w:val="21"/>
              </w:rPr>
              <w:t>噪声</w:t>
            </w:r>
          </w:p>
        </w:tc>
        <w:tc>
          <w:tcPr>
            <w:tcW w:w="2896" w:type="dxa"/>
            <w:tcBorders>
              <w:top w:val="single" w:color="auto" w:sz="4" w:space="0"/>
            </w:tcBorders>
            <w:noWrap w:val="0"/>
            <w:vAlign w:val="center"/>
          </w:tcPr>
          <w:p w14:paraId="36445FCE">
            <w:pPr>
              <w:keepNext w:val="0"/>
              <w:keepLines w:val="0"/>
              <w:pageBreakBefore w:val="0"/>
              <w:widowControl w:val="0"/>
              <w:kinsoku/>
              <w:wordWrap/>
              <w:overflowPunct/>
              <w:topLinePunct w:val="0"/>
              <w:autoSpaceDE/>
              <w:autoSpaceDN/>
              <w:bidi w:val="0"/>
              <w:spacing w:line="240" w:lineRule="auto"/>
              <w:ind w:firstLine="0" w:firstLineChars="0"/>
              <w:jc w:val="both"/>
              <w:textAlignment w:val="auto"/>
              <w:rPr>
                <w:rFonts w:hint="eastAsia" w:hAnsi="宋体"/>
                <w:sz w:val="21"/>
                <w:szCs w:val="21"/>
              </w:rPr>
            </w:pPr>
            <w:r>
              <w:rPr>
                <w:rFonts w:hint="eastAsia"/>
                <w:kern w:val="0"/>
                <w:sz w:val="21"/>
                <w:szCs w:val="21"/>
              </w:rPr>
              <w:t>设备噪声、厂房密闭隔音、距离衰减</w:t>
            </w:r>
          </w:p>
        </w:tc>
        <w:tc>
          <w:tcPr>
            <w:tcW w:w="2682" w:type="dxa"/>
            <w:noWrap w:val="0"/>
            <w:vAlign w:val="center"/>
          </w:tcPr>
          <w:p w14:paraId="75AE4F2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eastAsia"/>
                <w:color w:val="000000"/>
                <w:sz w:val="21"/>
                <w:szCs w:val="21"/>
              </w:rPr>
            </w:pPr>
            <w:r>
              <w:rPr>
                <w:rFonts w:hint="default" w:ascii="Times New Roman" w:hAnsi="Times New Roman" w:eastAsia="宋体" w:cs="Times New Roman"/>
                <w:sz w:val="21"/>
                <w:szCs w:val="21"/>
              </w:rPr>
              <w:t>《工业企业厂界环境噪声排放标准》（GB12348-2008）</w:t>
            </w:r>
            <w:r>
              <w:rPr>
                <w:rFonts w:hint="eastAsia" w:cs="Times New Roman"/>
                <w:sz w:val="21"/>
                <w:szCs w:val="21"/>
                <w:lang w:val="en-US" w:eastAsia="zh-CN"/>
              </w:rPr>
              <w:t>2</w:t>
            </w:r>
            <w:r>
              <w:rPr>
                <w:rFonts w:hint="default" w:ascii="Times New Roman" w:hAnsi="Times New Roman" w:eastAsia="宋体" w:cs="Times New Roman"/>
                <w:sz w:val="21"/>
                <w:szCs w:val="21"/>
              </w:rPr>
              <w:t>类标准</w:t>
            </w:r>
          </w:p>
        </w:tc>
      </w:tr>
      <w:tr w14:paraId="38E4F9C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noWrap w:val="0"/>
            <w:vAlign w:val="center"/>
          </w:tcPr>
          <w:p w14:paraId="65BB36E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Ansi="宋体"/>
                <w:sz w:val="21"/>
                <w:szCs w:val="21"/>
              </w:rPr>
              <w:t>电磁辐射</w:t>
            </w:r>
          </w:p>
        </w:tc>
        <w:tc>
          <w:tcPr>
            <w:tcW w:w="1198" w:type="dxa"/>
            <w:noWrap w:val="0"/>
            <w:vAlign w:val="center"/>
          </w:tcPr>
          <w:p w14:paraId="05A66762">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sz w:val="21"/>
                <w:szCs w:val="21"/>
              </w:rPr>
            </w:pPr>
            <w:r>
              <w:rPr>
                <w:rFonts w:hint="eastAsia"/>
                <w:sz w:val="21"/>
                <w:szCs w:val="21"/>
              </w:rPr>
              <w:t>/</w:t>
            </w:r>
          </w:p>
        </w:tc>
        <w:tc>
          <w:tcPr>
            <w:tcW w:w="1164" w:type="dxa"/>
            <w:noWrap w:val="0"/>
            <w:vAlign w:val="center"/>
          </w:tcPr>
          <w:p w14:paraId="600A585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int="eastAsia"/>
                <w:sz w:val="21"/>
                <w:szCs w:val="21"/>
              </w:rPr>
              <w:t>/</w:t>
            </w:r>
          </w:p>
        </w:tc>
        <w:tc>
          <w:tcPr>
            <w:tcW w:w="2896" w:type="dxa"/>
            <w:noWrap w:val="0"/>
            <w:vAlign w:val="center"/>
          </w:tcPr>
          <w:p w14:paraId="250FD4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int="eastAsia"/>
                <w:sz w:val="21"/>
                <w:szCs w:val="21"/>
              </w:rPr>
              <w:t>/</w:t>
            </w:r>
          </w:p>
        </w:tc>
        <w:tc>
          <w:tcPr>
            <w:tcW w:w="2682" w:type="dxa"/>
            <w:noWrap w:val="0"/>
            <w:vAlign w:val="center"/>
          </w:tcPr>
          <w:p w14:paraId="1857A6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int="eastAsia"/>
                <w:sz w:val="21"/>
                <w:szCs w:val="21"/>
              </w:rPr>
              <w:t>/</w:t>
            </w:r>
          </w:p>
        </w:tc>
      </w:tr>
      <w:tr w14:paraId="1DEAA8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noWrap w:val="0"/>
            <w:vAlign w:val="center"/>
          </w:tcPr>
          <w:p w14:paraId="40BE8D5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Ansi="宋体"/>
                <w:sz w:val="21"/>
                <w:szCs w:val="21"/>
              </w:rPr>
            </w:pPr>
            <w:r>
              <w:rPr>
                <w:rFonts w:hAnsi="宋体"/>
                <w:sz w:val="21"/>
                <w:szCs w:val="21"/>
              </w:rPr>
              <w:t>固体</w:t>
            </w:r>
          </w:p>
          <w:p w14:paraId="659F2C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Ansi="宋体"/>
                <w:sz w:val="21"/>
                <w:szCs w:val="21"/>
              </w:rPr>
              <w:t>废物</w:t>
            </w:r>
          </w:p>
        </w:tc>
        <w:tc>
          <w:tcPr>
            <w:tcW w:w="7940" w:type="dxa"/>
            <w:gridSpan w:val="4"/>
            <w:tcBorders>
              <w:bottom w:val="single" w:color="auto" w:sz="4" w:space="0"/>
            </w:tcBorders>
            <w:noWrap w:val="0"/>
            <w:vAlign w:val="center"/>
          </w:tcPr>
          <w:p w14:paraId="65BD52FA">
            <w:pPr>
              <w:pStyle w:val="57"/>
              <w:keepNext w:val="0"/>
              <w:keepLines w:val="0"/>
              <w:pageBreakBefore w:val="0"/>
              <w:widowControl w:val="0"/>
              <w:numPr>
                <w:ilvl w:val="0"/>
                <w:numId w:val="0"/>
              </w:numPr>
              <w:kinsoku/>
              <w:wordWrap/>
              <w:overflowPunct/>
              <w:topLinePunct w:val="0"/>
              <w:autoSpaceDE/>
              <w:autoSpaceDN/>
              <w:bidi w:val="0"/>
              <w:adjustRightInd/>
              <w:snapToGrid w:val="0"/>
              <w:spacing w:line="240" w:lineRule="auto"/>
              <w:ind w:firstLine="420" w:firstLineChars="200"/>
              <w:jc w:val="left"/>
              <w:textAlignment w:val="auto"/>
              <w:rPr>
                <w:rFonts w:hint="eastAsia"/>
                <w:color w:val="000000"/>
                <w:kern w:val="24"/>
                <w:sz w:val="21"/>
                <w:szCs w:val="21"/>
              </w:rPr>
            </w:pPr>
            <w:r>
              <w:rPr>
                <w:rFonts w:hint="eastAsia"/>
                <w:sz w:val="21"/>
                <w:szCs w:val="21"/>
                <w:lang w:val="en-US" w:eastAsia="zh-CN"/>
              </w:rPr>
              <w:t>1、</w:t>
            </w:r>
            <w:r>
              <w:rPr>
                <w:rFonts w:hint="eastAsia"/>
                <w:sz w:val="21"/>
                <w:szCs w:val="21"/>
              </w:rPr>
              <w:t>不合格产品</w:t>
            </w:r>
            <w:r>
              <w:rPr>
                <w:rFonts w:hint="eastAsia"/>
                <w:sz w:val="21"/>
                <w:szCs w:val="21"/>
                <w:lang w:eastAsia="zh-CN"/>
              </w:rPr>
              <w:t>、废边角料</w:t>
            </w:r>
            <w:r>
              <w:rPr>
                <w:rFonts w:hint="eastAsia"/>
                <w:sz w:val="21"/>
                <w:szCs w:val="21"/>
              </w:rPr>
              <w:t>在一般固废间暂存，定期外售</w:t>
            </w:r>
            <w:r>
              <w:rPr>
                <w:rFonts w:hint="eastAsia"/>
                <w:color w:val="000000"/>
                <w:kern w:val="24"/>
                <w:sz w:val="21"/>
                <w:szCs w:val="21"/>
              </w:rPr>
              <w:t>。一般固废暂存间1座，建筑面积</w:t>
            </w:r>
            <w:r>
              <w:rPr>
                <w:rFonts w:hint="eastAsia"/>
                <w:color w:val="000000"/>
                <w:kern w:val="24"/>
                <w:sz w:val="21"/>
                <w:szCs w:val="21"/>
                <w:lang w:val="en-US" w:eastAsia="zh-CN"/>
              </w:rPr>
              <w:t>10</w:t>
            </w:r>
            <w:r>
              <w:rPr>
                <w:rFonts w:hint="eastAsia"/>
                <w:color w:val="000000"/>
                <w:kern w:val="24"/>
                <w:sz w:val="21"/>
                <w:szCs w:val="21"/>
              </w:rPr>
              <w:t>m</w:t>
            </w:r>
            <w:r>
              <w:rPr>
                <w:rFonts w:hint="eastAsia"/>
                <w:color w:val="000000"/>
                <w:kern w:val="24"/>
                <w:sz w:val="21"/>
                <w:szCs w:val="21"/>
                <w:vertAlign w:val="superscript"/>
              </w:rPr>
              <w:t>2</w:t>
            </w:r>
            <w:r>
              <w:rPr>
                <w:rFonts w:hint="eastAsia"/>
                <w:color w:val="000000"/>
                <w:kern w:val="24"/>
                <w:sz w:val="21"/>
                <w:szCs w:val="21"/>
              </w:rPr>
              <w:t>，一般固废间严格按照</w:t>
            </w:r>
            <w:r>
              <w:rPr>
                <w:rFonts w:hint="default" w:ascii="Times New Roman" w:hAnsi="Times New Roman" w:eastAsia="宋体" w:cs="Times New Roman"/>
                <w:sz w:val="21"/>
                <w:szCs w:val="21"/>
                <w:lang w:val="en-US" w:eastAsia="zh-CN"/>
              </w:rPr>
              <w:t>《一般工业固体废物贮存和填埋污染控制标准》（GB 18599-2020）</w:t>
            </w:r>
            <w:r>
              <w:rPr>
                <w:rFonts w:hint="eastAsia"/>
                <w:lang w:eastAsia="zh-CN"/>
              </w:rPr>
              <w:t>中的</w:t>
            </w:r>
            <w:r>
              <w:t>防渗漏、防雨淋、防扬尘等环境保护要求</w:t>
            </w:r>
            <w:r>
              <w:rPr>
                <w:rFonts w:hint="default" w:ascii="Times New Roman" w:hAnsi="Times New Roman" w:eastAsia="宋体" w:cs="Times New Roman"/>
                <w:sz w:val="21"/>
                <w:szCs w:val="21"/>
                <w:lang w:val="en-US" w:eastAsia="zh-CN"/>
              </w:rPr>
              <w:t>的要求进行建设</w:t>
            </w:r>
            <w:r>
              <w:rPr>
                <w:rFonts w:hint="eastAsia" w:ascii="Times New Roman" w:hAnsi="Times New Roman" w:eastAsia="宋体" w:cs="Times New Roman"/>
                <w:sz w:val="21"/>
                <w:szCs w:val="21"/>
                <w:lang w:val="en-US" w:eastAsia="zh-CN"/>
              </w:rPr>
              <w:t>。</w:t>
            </w:r>
          </w:p>
          <w:p w14:paraId="5EA3F3AE">
            <w:pPr>
              <w:keepNext w:val="0"/>
              <w:keepLines w:val="0"/>
              <w:pageBreakBefore w:val="0"/>
              <w:widowControl w:val="0"/>
              <w:kinsoku/>
              <w:wordWrap/>
              <w:overflowPunct/>
              <w:topLinePunct w:val="0"/>
              <w:autoSpaceDE/>
              <w:autoSpaceDN/>
              <w:bidi w:val="0"/>
              <w:adjustRightInd w:val="0"/>
              <w:snapToGrid/>
              <w:spacing w:line="240" w:lineRule="auto"/>
              <w:ind w:firstLine="420" w:firstLineChars="200"/>
              <w:textAlignment w:val="auto"/>
              <w:rPr>
                <w:sz w:val="21"/>
                <w:szCs w:val="21"/>
              </w:rPr>
            </w:pPr>
            <w:r>
              <w:rPr>
                <w:rFonts w:hint="eastAsia"/>
                <w:color w:val="000000"/>
                <w:sz w:val="21"/>
                <w:szCs w:val="21"/>
                <w:lang w:val="en-US" w:eastAsia="zh-CN"/>
              </w:rPr>
              <w:t>2、</w:t>
            </w:r>
            <w:r>
              <w:rPr>
                <w:rFonts w:hint="eastAsia"/>
                <w:color w:val="000000"/>
                <w:sz w:val="21"/>
                <w:szCs w:val="21"/>
                <w:lang w:eastAsia="zh-CN"/>
              </w:rPr>
              <w:t>废切削液</w:t>
            </w:r>
            <w:r>
              <w:rPr>
                <w:rFonts w:hint="eastAsia"/>
                <w:sz w:val="21"/>
                <w:szCs w:val="21"/>
              </w:rPr>
              <w:t>暂存于危险废物暂存间，</w:t>
            </w:r>
            <w:r>
              <w:rPr>
                <w:rFonts w:hint="eastAsia"/>
                <w:bCs/>
                <w:color w:val="000000"/>
                <w:sz w:val="21"/>
                <w:szCs w:val="21"/>
              </w:rPr>
              <w:t>定期交由有资质的单位处置。危险废物暂存间约为</w:t>
            </w:r>
            <w:r>
              <w:rPr>
                <w:rFonts w:hint="eastAsia"/>
                <w:bCs/>
                <w:color w:val="000000"/>
                <w:sz w:val="21"/>
                <w:szCs w:val="21"/>
                <w:lang w:val="en-US" w:eastAsia="zh-CN"/>
              </w:rPr>
              <w:t>5</w:t>
            </w:r>
            <w:r>
              <w:rPr>
                <w:rFonts w:hint="eastAsia"/>
                <w:bCs/>
                <w:color w:val="000000"/>
                <w:sz w:val="21"/>
                <w:szCs w:val="21"/>
              </w:rPr>
              <w:t>m</w:t>
            </w:r>
            <w:r>
              <w:rPr>
                <w:rFonts w:hint="eastAsia"/>
                <w:color w:val="000000"/>
                <w:kern w:val="24"/>
                <w:sz w:val="21"/>
                <w:szCs w:val="21"/>
                <w:vertAlign w:val="superscript"/>
              </w:rPr>
              <w:t>2</w:t>
            </w:r>
            <w:r>
              <w:rPr>
                <w:rFonts w:hint="eastAsia"/>
                <w:color w:val="000000"/>
                <w:kern w:val="24"/>
                <w:sz w:val="21"/>
                <w:szCs w:val="21"/>
              </w:rPr>
              <w:t>，严格按照</w:t>
            </w:r>
            <w:r>
              <w:rPr>
                <w:rFonts w:hint="eastAsia"/>
                <w:sz w:val="21"/>
                <w:szCs w:val="21"/>
              </w:rPr>
              <w:t>《危险废物贮存污染控制标准》（GB 18597-2023）规定，将危险废物分装于专门的容器内，存放在厂区内危险废物暂存间内，贮存期间注意防风、防晒、防雨、防渗措施，并设立危险废物标志。</w:t>
            </w:r>
          </w:p>
        </w:tc>
      </w:tr>
      <w:tr w14:paraId="774871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noWrap w:val="0"/>
            <w:vAlign w:val="center"/>
          </w:tcPr>
          <w:p w14:paraId="51BF3FD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Ansi="宋体"/>
                <w:sz w:val="21"/>
                <w:szCs w:val="21"/>
              </w:rPr>
              <w:t>土壤及地下水</w:t>
            </w:r>
          </w:p>
          <w:p w14:paraId="6D5D84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Ansi="宋体"/>
                <w:sz w:val="21"/>
                <w:szCs w:val="21"/>
              </w:rPr>
              <w:t>污染防治措施</w:t>
            </w:r>
          </w:p>
        </w:tc>
        <w:tc>
          <w:tcPr>
            <w:tcW w:w="7940" w:type="dxa"/>
            <w:gridSpan w:val="4"/>
            <w:tcBorders>
              <w:top w:val="single" w:color="auto" w:sz="4" w:space="0"/>
            </w:tcBorders>
            <w:noWrap w:val="0"/>
            <w:vAlign w:val="center"/>
          </w:tcPr>
          <w:p w14:paraId="6BC77AC2">
            <w:pPr>
              <w:pStyle w:val="57"/>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20" w:firstLineChars="200"/>
              <w:jc w:val="both"/>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w:t>
            </w:r>
            <w:r>
              <w:rPr>
                <w:rFonts w:hint="default" w:ascii="Times New Roman" w:hAnsi="Times New Roman" w:eastAsia="宋体" w:cs="Times New Roman"/>
                <w:sz w:val="21"/>
                <w:szCs w:val="21"/>
                <w:lang w:val="en-US" w:eastAsia="zh-CN"/>
              </w:rPr>
              <w:t>化粪池进行池底、池壁防渗处理；</w:t>
            </w:r>
          </w:p>
          <w:p w14:paraId="0DED20CB">
            <w:pPr>
              <w:pStyle w:val="57"/>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2、</w:t>
            </w:r>
            <w:r>
              <w:rPr>
                <w:rFonts w:hint="default" w:ascii="Times New Roman" w:hAnsi="Times New Roman" w:eastAsia="宋体" w:cs="Times New Roman"/>
                <w:sz w:val="21"/>
                <w:szCs w:val="21"/>
                <w:lang w:val="en-US" w:eastAsia="zh-CN"/>
              </w:rPr>
              <w:t>一般固废暂存间按照《一般工业固体废物贮存和填埋污染控制标准》（GB 18599-2020）中防渗漏、防雨淋、防扬尘等环境保护要求</w:t>
            </w:r>
            <w:r>
              <w:rPr>
                <w:rFonts w:hint="eastAsia" w:ascii="Times New Roman" w:hAnsi="Times New Roman" w:eastAsia="宋体" w:cs="Times New Roman"/>
                <w:sz w:val="21"/>
                <w:szCs w:val="21"/>
                <w:lang w:val="en-US" w:eastAsia="zh-CN"/>
              </w:rPr>
              <w:t>建设。</w:t>
            </w:r>
          </w:p>
          <w:p w14:paraId="74EA40CA">
            <w:pPr>
              <w:keepNext w:val="0"/>
              <w:keepLines w:val="0"/>
              <w:pageBreakBefore w:val="0"/>
              <w:widowControl w:val="0"/>
              <w:kinsoku/>
              <w:wordWrap/>
              <w:overflowPunct/>
              <w:topLinePunct w:val="0"/>
              <w:autoSpaceDE/>
              <w:autoSpaceDN/>
              <w:bidi w:val="0"/>
              <w:spacing w:line="240" w:lineRule="auto"/>
              <w:ind w:firstLine="420" w:firstLineChars="200"/>
              <w:jc w:val="left"/>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lang w:val="en-US" w:eastAsia="zh-CN"/>
              </w:rPr>
              <w:t>3、</w:t>
            </w:r>
            <w:r>
              <w:rPr>
                <w:rFonts w:hint="default" w:ascii="Times New Roman" w:hAnsi="Times New Roman" w:eastAsia="宋体" w:cs="Times New Roman"/>
                <w:sz w:val="21"/>
                <w:szCs w:val="21"/>
                <w:lang w:val="en-US" w:eastAsia="zh-CN"/>
              </w:rPr>
              <w:t>危废暂存间按照《危险废物贮存污染控制标准》（GB18597-20</w:t>
            </w:r>
            <w:r>
              <w:rPr>
                <w:rFonts w:hint="eastAsia" w:ascii="Times New Roman" w:hAnsi="Times New Roman" w:eastAsia="宋体" w:cs="Times New Roman"/>
                <w:sz w:val="21"/>
                <w:szCs w:val="21"/>
                <w:lang w:val="en-US" w:eastAsia="zh-CN"/>
              </w:rPr>
              <w:t>23</w:t>
            </w:r>
            <w:r>
              <w:rPr>
                <w:rFonts w:hint="default" w:ascii="Times New Roman" w:hAnsi="Times New Roman" w:eastAsia="宋体" w:cs="Times New Roman"/>
                <w:sz w:val="21"/>
                <w:szCs w:val="21"/>
                <w:lang w:val="en-US" w:eastAsia="zh-CN"/>
              </w:rPr>
              <w:t>）的要求进行建设。</w:t>
            </w:r>
          </w:p>
        </w:tc>
      </w:tr>
      <w:tr w14:paraId="236F7C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noWrap w:val="0"/>
            <w:vAlign w:val="center"/>
          </w:tcPr>
          <w:p w14:paraId="4DCEF10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sz w:val="21"/>
                <w:szCs w:val="21"/>
              </w:rPr>
            </w:pPr>
            <w:r>
              <w:rPr>
                <w:rFonts w:hAnsi="宋体"/>
                <w:sz w:val="21"/>
                <w:szCs w:val="21"/>
              </w:rPr>
              <w:t>生态保护措施</w:t>
            </w:r>
          </w:p>
        </w:tc>
        <w:tc>
          <w:tcPr>
            <w:tcW w:w="7940" w:type="dxa"/>
            <w:gridSpan w:val="4"/>
            <w:noWrap w:val="0"/>
            <w:vAlign w:val="center"/>
          </w:tcPr>
          <w:p w14:paraId="1B449967">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z w:val="21"/>
                <w:szCs w:val="21"/>
              </w:rPr>
            </w:pPr>
            <w:r>
              <w:rPr>
                <w:rFonts w:hint="default" w:ascii="Times New Roman" w:hAnsi="Times New Roman" w:eastAsia="宋体" w:cs="Times New Roman"/>
                <w:kern w:val="2"/>
                <w:sz w:val="21"/>
                <w:szCs w:val="21"/>
                <w:lang w:val="en-US" w:eastAsia="zh-CN" w:bidi="ar-SA"/>
              </w:rPr>
              <w:t>加强厂区及周边绿化</w:t>
            </w:r>
            <w:r>
              <w:rPr>
                <w:rFonts w:hint="eastAsia" w:ascii="Times New Roman" w:hAnsi="Times New Roman" w:eastAsia="宋体" w:cs="Times New Roman"/>
                <w:kern w:val="2"/>
                <w:sz w:val="21"/>
                <w:szCs w:val="21"/>
                <w:lang w:val="en-US" w:eastAsia="zh-CN" w:bidi="ar-SA"/>
              </w:rPr>
              <w:t>，生产车间及厂区地面硬化。</w:t>
            </w:r>
          </w:p>
        </w:tc>
      </w:tr>
      <w:tr w14:paraId="7FE034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noWrap w:val="0"/>
            <w:vAlign w:val="center"/>
          </w:tcPr>
          <w:p w14:paraId="0999239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spacing w:val="-8"/>
                <w:sz w:val="21"/>
                <w:szCs w:val="21"/>
              </w:rPr>
            </w:pPr>
            <w:r>
              <w:rPr>
                <w:rFonts w:hAnsi="宋体"/>
                <w:spacing w:val="-8"/>
                <w:sz w:val="21"/>
                <w:szCs w:val="21"/>
              </w:rPr>
              <w:t>环境风险</w:t>
            </w:r>
          </w:p>
          <w:p w14:paraId="50E7509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spacing w:val="-8"/>
                <w:sz w:val="21"/>
                <w:szCs w:val="21"/>
              </w:rPr>
            </w:pPr>
            <w:r>
              <w:rPr>
                <w:rFonts w:hAnsi="宋体"/>
                <w:spacing w:val="-8"/>
                <w:sz w:val="21"/>
                <w:szCs w:val="21"/>
              </w:rPr>
              <w:t>防范措施</w:t>
            </w:r>
          </w:p>
        </w:tc>
        <w:tc>
          <w:tcPr>
            <w:tcW w:w="7940" w:type="dxa"/>
            <w:gridSpan w:val="4"/>
            <w:noWrap w:val="0"/>
            <w:vAlign w:val="center"/>
          </w:tcPr>
          <w:p w14:paraId="1ED9E33D">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w:t>
            </w:r>
          </w:p>
        </w:tc>
      </w:tr>
      <w:tr w14:paraId="67B634D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20" w:type="dxa"/>
            <w:noWrap w:val="0"/>
            <w:vAlign w:val="center"/>
          </w:tcPr>
          <w:p w14:paraId="0F1ED42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电磁</w:t>
            </w:r>
          </w:p>
          <w:p w14:paraId="59AEED7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Ansi="宋体"/>
                <w:spacing w:val="-8"/>
                <w:sz w:val="21"/>
                <w:szCs w:val="21"/>
              </w:rPr>
            </w:pPr>
            <w:r>
              <w:rPr>
                <w:rFonts w:hint="eastAsia" w:ascii="宋体" w:hAnsi="宋体" w:cs="宋体"/>
                <w:sz w:val="21"/>
                <w:szCs w:val="21"/>
              </w:rPr>
              <w:t>辐射</w:t>
            </w:r>
          </w:p>
        </w:tc>
        <w:tc>
          <w:tcPr>
            <w:tcW w:w="7940" w:type="dxa"/>
            <w:gridSpan w:val="4"/>
            <w:noWrap w:val="0"/>
            <w:vAlign w:val="center"/>
          </w:tcPr>
          <w:p w14:paraId="04CCF318">
            <w:pPr>
              <w:keepNext w:val="0"/>
              <w:keepLines w:val="0"/>
              <w:pageBreakBefore w:val="0"/>
              <w:widowControl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rPr>
              <w:t>本项目不涉及辐射源，故不对电磁辐射做评价分析</w:t>
            </w:r>
            <w:r>
              <w:rPr>
                <w:rFonts w:hint="eastAsia" w:ascii="Times New Roman" w:hAnsi="Times New Roman" w:eastAsia="宋体" w:cs="Times New Roman"/>
                <w:sz w:val="21"/>
                <w:szCs w:val="21"/>
                <w:lang w:eastAsia="zh-CN"/>
              </w:rPr>
              <w:t>。</w:t>
            </w:r>
          </w:p>
        </w:tc>
      </w:tr>
      <w:tr w14:paraId="569F42A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120" w:type="dxa"/>
            <w:noWrap w:val="0"/>
            <w:vAlign w:val="center"/>
          </w:tcPr>
          <w:p w14:paraId="6A3FC5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cs="宋体"/>
                <w:sz w:val="21"/>
                <w:szCs w:val="21"/>
              </w:rPr>
            </w:pPr>
            <w:r>
              <w:rPr>
                <w:rFonts w:hint="eastAsia" w:ascii="宋体" w:hAnsi="宋体" w:cs="宋体"/>
                <w:sz w:val="21"/>
                <w:szCs w:val="21"/>
              </w:rPr>
              <w:t>其他环境管理要求</w:t>
            </w:r>
          </w:p>
        </w:tc>
        <w:tc>
          <w:tcPr>
            <w:tcW w:w="7940" w:type="dxa"/>
            <w:gridSpan w:val="4"/>
            <w:noWrap w:val="0"/>
            <w:vAlign w:val="center"/>
          </w:tcPr>
          <w:p w14:paraId="1406B7AB">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rPr>
                <w:rFonts w:hint="eastAsia" w:hAnsi="宋体"/>
                <w:sz w:val="21"/>
                <w:szCs w:val="21"/>
              </w:rPr>
            </w:pPr>
          </w:p>
          <w:p w14:paraId="758B1A90">
            <w:pPr>
              <w:keepNext w:val="0"/>
              <w:keepLines w:val="0"/>
              <w:pageBreakBefore w:val="0"/>
              <w:widowControl w:val="0"/>
              <w:kinsoku/>
              <w:wordWrap/>
              <w:overflowPunct/>
              <w:topLinePunct w:val="0"/>
              <w:autoSpaceDE/>
              <w:autoSpaceDN/>
              <w:bidi w:val="0"/>
              <w:adjustRightInd w:val="0"/>
              <w:snapToGrid w:val="0"/>
              <w:spacing w:line="240" w:lineRule="auto"/>
              <w:ind w:left="0" w:leftChars="0" w:firstLine="420" w:firstLineChars="200"/>
              <w:textAlignment w:val="auto"/>
              <w:rPr>
                <w:rFonts w:hint="eastAsia" w:hAnsi="宋体"/>
                <w:sz w:val="21"/>
                <w:szCs w:val="21"/>
              </w:rPr>
            </w:pPr>
            <w:r>
              <w:rPr>
                <w:rFonts w:hint="eastAsia" w:hAnsi="宋体"/>
                <w:sz w:val="21"/>
                <w:szCs w:val="21"/>
              </w:rPr>
              <w:t>1、排污许可证管理要求</w:t>
            </w:r>
          </w:p>
          <w:p w14:paraId="59234A9F">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eastAsia" w:hAnsi="宋体"/>
                <w:sz w:val="21"/>
                <w:szCs w:val="21"/>
              </w:rPr>
            </w:pPr>
            <w:r>
              <w:rPr>
                <w:rFonts w:hint="eastAsia" w:hAnsi="宋体"/>
                <w:sz w:val="21"/>
                <w:szCs w:val="21"/>
              </w:rPr>
              <w:t>根据《固定污染源排污许可分类管理名录（2019年版）》（生态环境部 第11号）要求进行填报排污许可。因此，建设单位应当在启动生产设施或者发生实际排污之前在全国排污许可证管理信息平台进行排污许可申请。</w:t>
            </w:r>
          </w:p>
          <w:p w14:paraId="5C2D6279">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eastAsia" w:hAnsi="宋体"/>
                <w:sz w:val="21"/>
                <w:szCs w:val="21"/>
              </w:rPr>
            </w:pPr>
            <w:r>
              <w:rPr>
                <w:rFonts w:hint="eastAsia" w:hAnsi="宋体"/>
                <w:sz w:val="21"/>
                <w:szCs w:val="21"/>
              </w:rPr>
              <w:t>2、竣工环境保护验收</w:t>
            </w:r>
          </w:p>
          <w:p w14:paraId="7938A8E4">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eastAsia" w:hAnsi="宋体"/>
                <w:sz w:val="21"/>
                <w:szCs w:val="21"/>
              </w:rPr>
            </w:pPr>
            <w:r>
              <w:rPr>
                <w:rFonts w:hint="eastAsia" w:hAnsi="宋体"/>
                <w:sz w:val="21"/>
                <w:szCs w:val="21"/>
              </w:rPr>
              <w:t>根据《建设项目竣工环境保护验收暂行办法》的规定，建设项目竣工后，建设单位应当如实查验、监测、记载建设项目环境保护设施的建设和调试情况，编制验收监测报告表。</w:t>
            </w:r>
          </w:p>
          <w:p w14:paraId="194B1F9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eastAsia" w:hAnsi="宋体"/>
                <w:sz w:val="21"/>
                <w:szCs w:val="21"/>
              </w:rPr>
            </w:pPr>
            <w:r>
              <w:rPr>
                <w:rFonts w:hint="eastAsia" w:hAnsi="宋体"/>
                <w:sz w:val="21"/>
                <w:szCs w:val="21"/>
              </w:rPr>
              <w:t>3、排放口规范化建设</w:t>
            </w:r>
          </w:p>
          <w:p w14:paraId="118487A4">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textAlignment w:val="auto"/>
              <w:rPr>
                <w:rFonts w:hint="eastAsia"/>
                <w:sz w:val="21"/>
                <w:szCs w:val="21"/>
                <w:lang w:val="en-US" w:eastAsia="zh-CN"/>
              </w:rPr>
            </w:pPr>
            <w:r>
              <w:rPr>
                <w:rFonts w:hint="eastAsia"/>
                <w:sz w:val="21"/>
                <w:szCs w:val="21"/>
              </w:rPr>
              <w:t>根据《环境保护图形标志－排放口（源）》（GB15562.1-1995）、《环境保护图形标志—固体废物贮存（处置）场》（GB15562.2-1995）及其修改单标准要求，本项目应在</w:t>
            </w:r>
            <w:r>
              <w:rPr>
                <w:rFonts w:hint="eastAsia"/>
                <w:sz w:val="21"/>
                <w:szCs w:val="21"/>
                <w:lang w:val="en-US" w:eastAsia="zh-CN"/>
              </w:rPr>
              <w:t>废水排放口及</w:t>
            </w:r>
            <w:r>
              <w:rPr>
                <w:rFonts w:hint="eastAsia"/>
                <w:sz w:val="21"/>
                <w:szCs w:val="21"/>
              </w:rPr>
              <w:t>固废贮存场所设置环境保护图形标志牌，</w:t>
            </w:r>
            <w:r>
              <w:rPr>
                <w:rFonts w:hint="eastAsia"/>
                <w:sz w:val="21"/>
                <w:szCs w:val="21"/>
                <w:lang w:eastAsia="zh-CN"/>
              </w:rPr>
              <w:t>严格遵循《</w:t>
            </w:r>
            <w:r>
              <w:rPr>
                <w:rFonts w:hint="eastAsia"/>
                <w:sz w:val="21"/>
                <w:szCs w:val="21"/>
                <w:lang w:val="en-US" w:eastAsia="zh-CN"/>
              </w:rPr>
              <w:t>河南省重污染天气通用行业应急减排措施制定技术指南</w:t>
            </w:r>
            <w:r>
              <w:rPr>
                <w:rFonts w:hint="eastAsia"/>
                <w:sz w:val="21"/>
                <w:szCs w:val="21"/>
                <w:lang w:eastAsia="zh-CN"/>
              </w:rPr>
              <w:t>》（</w:t>
            </w:r>
            <w:r>
              <w:rPr>
                <w:rFonts w:hint="eastAsia"/>
                <w:sz w:val="21"/>
                <w:szCs w:val="21"/>
                <w:lang w:val="en-US" w:eastAsia="zh-CN"/>
              </w:rPr>
              <w:t>2024年修订稿</w:t>
            </w:r>
            <w:r>
              <w:rPr>
                <w:rFonts w:hint="eastAsia"/>
                <w:sz w:val="21"/>
                <w:szCs w:val="21"/>
                <w:lang w:eastAsia="zh-CN"/>
              </w:rPr>
              <w:t>）</w:t>
            </w:r>
            <w:r>
              <w:rPr>
                <w:rFonts w:hint="eastAsia"/>
                <w:sz w:val="21"/>
                <w:szCs w:val="21"/>
                <w:lang w:val="en-US" w:eastAsia="zh-CN"/>
              </w:rPr>
              <w:t>等要求。</w:t>
            </w:r>
          </w:p>
          <w:p w14:paraId="21D4451C">
            <w:pPr>
              <w:ind w:left="0" w:leftChars="0" w:firstLine="0" w:firstLineChars="0"/>
              <w:rPr>
                <w:rFonts w:hint="default"/>
                <w:lang w:val="en-US" w:eastAsia="zh-CN"/>
              </w:rPr>
            </w:pPr>
          </w:p>
        </w:tc>
      </w:tr>
    </w:tbl>
    <w:p w14:paraId="66FE56F9">
      <w:pPr>
        <w:ind w:firstLine="480"/>
        <w:rPr>
          <w:rFonts w:hint="default" w:ascii="Times New Roman" w:hAnsi="Times New Roman" w:cs="Times New Roman"/>
          <w:snapToGrid w:val="0"/>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default" w:ascii="Times New Roman" w:hAnsi="Times New Roman" w:cs="Times New Roman"/>
          <w:snapToGrid w:val="0"/>
        </w:rPr>
        <w:br w:type="page"/>
      </w:r>
    </w:p>
    <w:p w14:paraId="7CF5DABD">
      <w:pPr>
        <w:pStyle w:val="2"/>
        <w:rPr>
          <w:rFonts w:hint="default"/>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-763905</wp:posOffset>
            </wp:positionH>
            <wp:positionV relativeFrom="paragraph">
              <wp:posOffset>-379095</wp:posOffset>
            </wp:positionV>
            <wp:extent cx="7282180" cy="8839835"/>
            <wp:effectExtent l="0" t="0" r="13970" b="18415"/>
            <wp:wrapNone/>
            <wp:docPr id="65"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8"/>
                    <pic:cNvPicPr>
                      <a:picLocks noChangeAspect="1"/>
                    </pic:cNvPicPr>
                  </pic:nvPicPr>
                  <pic:blipFill>
                    <a:blip r:embed="rId19"/>
                    <a:srcRect b="8082"/>
                    <a:stretch>
                      <a:fillRect/>
                    </a:stretch>
                  </pic:blipFill>
                  <pic:spPr>
                    <a:xfrm>
                      <a:off x="0" y="0"/>
                      <a:ext cx="7282180" cy="8839835"/>
                    </a:xfrm>
                    <a:prstGeom prst="rect">
                      <a:avLst/>
                    </a:prstGeom>
                    <a:noFill/>
                    <a:ln>
                      <a:noFill/>
                    </a:ln>
                  </pic:spPr>
                </pic:pic>
              </a:graphicData>
            </a:graphic>
          </wp:anchor>
        </w:drawing>
      </w:r>
    </w:p>
    <w:p w14:paraId="30897F26">
      <w:pPr>
        <w:pStyle w:val="20"/>
        <w:adjustRightInd w:val="0"/>
        <w:snapToGrid w:val="0"/>
        <w:spacing w:before="0" w:beforeAutospacing="0" w:after="0" w:afterAutospacing="0" w:line="240" w:lineRule="auto"/>
        <w:ind w:firstLine="640"/>
        <w:outlineLvl w:val="0"/>
        <w:rPr>
          <w:rFonts w:hint="default" w:ascii="Times New Roman" w:hAnsi="Times New Roman" w:eastAsia="黑体" w:cs="Times New Roman"/>
          <w:snapToGrid w:val="0"/>
          <w:sz w:val="32"/>
          <w:szCs w:val="32"/>
        </w:rPr>
      </w:pPr>
      <w:r>
        <w:rPr>
          <w:rFonts w:hint="default" w:ascii="Times New Roman" w:hAnsi="Times New Roman" w:eastAsia="黑体" w:cs="Times New Roman"/>
          <w:snapToGrid w:val="0"/>
          <w:sz w:val="32"/>
          <w:szCs w:val="32"/>
        </w:rPr>
        <w:t>附表</w:t>
      </w:r>
    </w:p>
    <w:p w14:paraId="6867058B">
      <w:pPr>
        <w:pStyle w:val="20"/>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0" w:firstLineChars="0"/>
        <w:jc w:val="center"/>
        <w:textAlignment w:val="auto"/>
        <w:outlineLvl w:val="0"/>
        <w:rPr>
          <w:rFonts w:hint="default" w:ascii="Times New Roman" w:hAnsi="Times New Roman" w:eastAsia="方正小标宋_GBK" w:cs="Times New Roman"/>
          <w:snapToGrid w:val="0"/>
          <w:sz w:val="38"/>
          <w:szCs w:val="38"/>
        </w:rPr>
      </w:pPr>
      <w:r>
        <w:rPr>
          <w:rFonts w:hint="default" w:ascii="Times New Roman" w:hAnsi="Times New Roman" w:eastAsia="方正小标宋_GBK" w:cs="Times New Roman"/>
          <w:snapToGrid w:val="0"/>
          <w:sz w:val="38"/>
          <w:szCs w:val="38"/>
        </w:rPr>
        <w:t>建设项目污染物排放量汇总表</w:t>
      </w:r>
    </w:p>
    <w:tbl>
      <w:tblPr>
        <w:tblStyle w:val="25"/>
        <w:tblW w:w="4914"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188"/>
        <w:gridCol w:w="1953"/>
        <w:gridCol w:w="1500"/>
        <w:gridCol w:w="1259"/>
        <w:gridCol w:w="1677"/>
        <w:gridCol w:w="1537"/>
        <w:gridCol w:w="1736"/>
        <w:gridCol w:w="1550"/>
        <w:gridCol w:w="1195"/>
      </w:tblGrid>
      <w:tr w14:paraId="6744C35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188" w:type="dxa"/>
            <w:tcBorders>
              <w:tl2br w:val="single" w:color="auto" w:sz="4" w:space="0"/>
            </w:tcBorders>
            <w:noWrap w:val="0"/>
            <w:tcMar>
              <w:left w:w="28" w:type="dxa"/>
              <w:right w:w="28" w:type="dxa"/>
            </w:tcMar>
            <w:vAlign w:val="center"/>
          </w:tcPr>
          <w:p w14:paraId="7232C304">
            <w:pPr>
              <w:pStyle w:val="53"/>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lang w:val="en-US" w:eastAsia="zh-CN"/>
              </w:rPr>
              <w:t xml:space="preserve">  </w:t>
            </w:r>
            <w:r>
              <w:rPr>
                <w:rFonts w:hint="default" w:ascii="Times New Roman" w:hAnsi="Times New Roman" w:eastAsia="宋体" w:cs="Times New Roman"/>
                <w:b/>
                <w:bCs/>
                <w:snapToGrid w:val="0"/>
                <w:color w:val="auto"/>
                <w:spacing w:val="-6"/>
                <w:kern w:val="21"/>
                <w:sz w:val="21"/>
                <w:szCs w:val="21"/>
              </w:rPr>
              <w:t>项目</w:t>
            </w:r>
          </w:p>
          <w:p w14:paraId="6189CEAE">
            <w:pPr>
              <w:ind w:firstLine="0" w:firstLineChars="0"/>
              <w:jc w:val="center"/>
              <w:rPr>
                <w:rFonts w:hint="default" w:ascii="Times New Roman" w:hAnsi="Times New Roman" w:eastAsia="宋体" w:cs="Times New Roman"/>
                <w:b/>
                <w:bCs/>
                <w:color w:val="auto"/>
                <w:sz w:val="21"/>
                <w:szCs w:val="21"/>
              </w:rPr>
            </w:pPr>
          </w:p>
          <w:p w14:paraId="252B9271">
            <w:pPr>
              <w:pStyle w:val="53"/>
              <w:spacing w:beforeLines="0" w:afterLines="0" w:line="240" w:lineRule="auto"/>
              <w:ind w:firstLine="199" w:firstLineChars="100"/>
              <w:jc w:val="both"/>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分类</w:t>
            </w:r>
          </w:p>
        </w:tc>
        <w:tc>
          <w:tcPr>
            <w:tcW w:w="1953" w:type="dxa"/>
            <w:noWrap w:val="0"/>
            <w:tcMar>
              <w:left w:w="28" w:type="dxa"/>
              <w:right w:w="28" w:type="dxa"/>
            </w:tcMar>
            <w:vAlign w:val="center"/>
          </w:tcPr>
          <w:p w14:paraId="52787706">
            <w:pPr>
              <w:pStyle w:val="53"/>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污染物名称</w:t>
            </w:r>
          </w:p>
        </w:tc>
        <w:tc>
          <w:tcPr>
            <w:tcW w:w="1500" w:type="dxa"/>
            <w:noWrap w:val="0"/>
            <w:tcMar>
              <w:left w:w="28" w:type="dxa"/>
              <w:right w:w="28" w:type="dxa"/>
            </w:tcMar>
            <w:vAlign w:val="center"/>
          </w:tcPr>
          <w:p w14:paraId="02F4CE78">
            <w:pPr>
              <w:pStyle w:val="53"/>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现有工程排放量（固体废物产生量）</w:t>
            </w:r>
            <w:r>
              <w:rPr>
                <w:rFonts w:hint="default" w:ascii="Times New Roman" w:hAnsi="Times New Roman" w:eastAsia="宋体" w:cs="Times New Roman"/>
                <w:b/>
                <w:bCs/>
                <w:snapToGrid w:val="0"/>
                <w:color w:val="auto"/>
                <w:spacing w:val="-6"/>
                <w:kern w:val="21"/>
                <w:sz w:val="21"/>
                <w:szCs w:val="21"/>
              </w:rPr>
              <w:fldChar w:fldCharType="begin"/>
            </w:r>
            <w:r>
              <w:rPr>
                <w:rFonts w:hint="default" w:ascii="Times New Roman" w:hAnsi="Times New Roman" w:eastAsia="宋体" w:cs="Times New Roman"/>
                <w:b/>
                <w:bCs/>
                <w:snapToGrid w:val="0"/>
                <w:color w:val="auto"/>
                <w:spacing w:val="-6"/>
                <w:kern w:val="21"/>
                <w:sz w:val="21"/>
                <w:szCs w:val="21"/>
              </w:rPr>
              <w:instrText xml:space="preserve"> = 1 \* GB3 \* MERGEFORMAT </w:instrText>
            </w:r>
            <w:r>
              <w:rPr>
                <w:rFonts w:hint="default" w:ascii="Times New Roman" w:hAnsi="Times New Roman" w:eastAsia="宋体" w:cs="Times New Roman"/>
                <w:b/>
                <w:bCs/>
                <w:snapToGrid w:val="0"/>
                <w:color w:val="auto"/>
                <w:spacing w:val="-6"/>
                <w:kern w:val="21"/>
                <w:sz w:val="21"/>
                <w:szCs w:val="21"/>
              </w:rPr>
              <w:fldChar w:fldCharType="separate"/>
            </w:r>
            <w:r>
              <w:rPr>
                <w:rFonts w:hint="default" w:ascii="Times New Roman" w:hAnsi="Times New Roman" w:eastAsia="宋体" w:cs="Times New Roman"/>
                <w:b/>
                <w:bCs/>
                <w:color w:val="auto"/>
                <w:kern w:val="2"/>
                <w:sz w:val="21"/>
                <w:szCs w:val="21"/>
              </w:rPr>
              <w:t>①</w:t>
            </w:r>
            <w:r>
              <w:rPr>
                <w:rFonts w:hint="default" w:ascii="Times New Roman" w:hAnsi="Times New Roman" w:eastAsia="宋体" w:cs="Times New Roman"/>
                <w:b/>
                <w:bCs/>
                <w:snapToGrid w:val="0"/>
                <w:color w:val="auto"/>
                <w:spacing w:val="-6"/>
                <w:kern w:val="21"/>
                <w:sz w:val="21"/>
                <w:szCs w:val="21"/>
              </w:rPr>
              <w:fldChar w:fldCharType="end"/>
            </w:r>
          </w:p>
        </w:tc>
        <w:tc>
          <w:tcPr>
            <w:tcW w:w="1259" w:type="dxa"/>
            <w:noWrap w:val="0"/>
            <w:tcMar>
              <w:left w:w="28" w:type="dxa"/>
              <w:right w:w="28" w:type="dxa"/>
            </w:tcMar>
            <w:vAlign w:val="center"/>
          </w:tcPr>
          <w:p w14:paraId="7EC38656">
            <w:pPr>
              <w:pStyle w:val="53"/>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现有工程许可排放量</w:t>
            </w:r>
          </w:p>
          <w:p w14:paraId="6C66603C">
            <w:pPr>
              <w:pStyle w:val="53"/>
              <w:spacing w:beforeLines="0" w:afterLines="0"/>
              <w:ind w:firstLine="0" w:firstLineChars="0"/>
              <w:jc w:val="center"/>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fldChar w:fldCharType="begin"/>
            </w:r>
            <w:r>
              <w:rPr>
                <w:rFonts w:hint="default" w:ascii="Times New Roman" w:hAnsi="Times New Roman" w:eastAsia="宋体" w:cs="Times New Roman"/>
                <w:b/>
                <w:bCs/>
                <w:snapToGrid w:val="0"/>
                <w:color w:val="auto"/>
                <w:spacing w:val="-6"/>
                <w:kern w:val="21"/>
                <w:sz w:val="21"/>
                <w:szCs w:val="21"/>
              </w:rPr>
              <w:instrText xml:space="preserve"> = 2 \* GB3 \* MERGEFORMAT </w:instrText>
            </w:r>
            <w:r>
              <w:rPr>
                <w:rFonts w:hint="default" w:ascii="Times New Roman" w:hAnsi="Times New Roman" w:eastAsia="宋体" w:cs="Times New Roman"/>
                <w:b/>
                <w:bCs/>
                <w:snapToGrid w:val="0"/>
                <w:color w:val="auto"/>
                <w:spacing w:val="-6"/>
                <w:kern w:val="21"/>
                <w:sz w:val="21"/>
                <w:szCs w:val="21"/>
              </w:rPr>
              <w:fldChar w:fldCharType="separate"/>
            </w:r>
            <w:r>
              <w:rPr>
                <w:rFonts w:hint="default" w:ascii="Times New Roman" w:hAnsi="Times New Roman" w:eastAsia="宋体" w:cs="Times New Roman"/>
                <w:b/>
                <w:bCs/>
                <w:snapToGrid w:val="0"/>
                <w:color w:val="auto"/>
                <w:spacing w:val="-6"/>
                <w:kern w:val="21"/>
                <w:sz w:val="21"/>
                <w:szCs w:val="21"/>
              </w:rPr>
              <w:t>②</w:t>
            </w:r>
            <w:r>
              <w:rPr>
                <w:rFonts w:hint="default" w:ascii="Times New Roman" w:hAnsi="Times New Roman" w:eastAsia="宋体" w:cs="Times New Roman"/>
                <w:b/>
                <w:bCs/>
                <w:snapToGrid w:val="0"/>
                <w:color w:val="auto"/>
                <w:spacing w:val="-6"/>
                <w:kern w:val="21"/>
                <w:sz w:val="21"/>
                <w:szCs w:val="21"/>
              </w:rPr>
              <w:fldChar w:fldCharType="end"/>
            </w:r>
          </w:p>
        </w:tc>
        <w:tc>
          <w:tcPr>
            <w:tcW w:w="1677" w:type="dxa"/>
            <w:noWrap w:val="0"/>
            <w:tcMar>
              <w:left w:w="28" w:type="dxa"/>
              <w:right w:w="28" w:type="dxa"/>
            </w:tcMar>
            <w:vAlign w:val="center"/>
          </w:tcPr>
          <w:p w14:paraId="5905AE3B">
            <w:pPr>
              <w:pStyle w:val="53"/>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在建工程排放量（固体废物产生量）</w:t>
            </w:r>
            <w:r>
              <w:rPr>
                <w:rFonts w:hint="default" w:ascii="Times New Roman" w:hAnsi="Times New Roman" w:eastAsia="宋体" w:cs="Times New Roman"/>
                <w:b/>
                <w:bCs/>
                <w:snapToGrid w:val="0"/>
                <w:color w:val="auto"/>
                <w:spacing w:val="-6"/>
                <w:kern w:val="21"/>
                <w:sz w:val="21"/>
                <w:szCs w:val="21"/>
              </w:rPr>
              <w:fldChar w:fldCharType="begin"/>
            </w:r>
            <w:r>
              <w:rPr>
                <w:rFonts w:hint="default" w:ascii="Times New Roman" w:hAnsi="Times New Roman" w:eastAsia="宋体" w:cs="Times New Roman"/>
                <w:b/>
                <w:bCs/>
                <w:snapToGrid w:val="0"/>
                <w:color w:val="auto"/>
                <w:spacing w:val="-6"/>
                <w:kern w:val="21"/>
                <w:sz w:val="21"/>
                <w:szCs w:val="21"/>
              </w:rPr>
              <w:instrText xml:space="preserve"> = 3 \* GB3 \* MERGEFORMAT </w:instrText>
            </w:r>
            <w:r>
              <w:rPr>
                <w:rFonts w:hint="default" w:ascii="Times New Roman" w:hAnsi="Times New Roman" w:eastAsia="宋体" w:cs="Times New Roman"/>
                <w:b/>
                <w:bCs/>
                <w:snapToGrid w:val="0"/>
                <w:color w:val="auto"/>
                <w:spacing w:val="-6"/>
                <w:kern w:val="21"/>
                <w:sz w:val="21"/>
                <w:szCs w:val="21"/>
              </w:rPr>
              <w:fldChar w:fldCharType="separate"/>
            </w:r>
            <w:r>
              <w:rPr>
                <w:rFonts w:hint="default" w:ascii="Times New Roman" w:hAnsi="Times New Roman" w:eastAsia="宋体" w:cs="Times New Roman"/>
                <w:b/>
                <w:bCs/>
                <w:color w:val="auto"/>
                <w:kern w:val="2"/>
                <w:sz w:val="21"/>
                <w:szCs w:val="21"/>
              </w:rPr>
              <w:t>③</w:t>
            </w:r>
            <w:r>
              <w:rPr>
                <w:rFonts w:hint="default" w:ascii="Times New Roman" w:hAnsi="Times New Roman" w:eastAsia="宋体" w:cs="Times New Roman"/>
                <w:b/>
                <w:bCs/>
                <w:snapToGrid w:val="0"/>
                <w:color w:val="auto"/>
                <w:spacing w:val="-6"/>
                <w:kern w:val="21"/>
                <w:sz w:val="21"/>
                <w:szCs w:val="21"/>
              </w:rPr>
              <w:fldChar w:fldCharType="end"/>
            </w:r>
          </w:p>
        </w:tc>
        <w:tc>
          <w:tcPr>
            <w:tcW w:w="1537" w:type="dxa"/>
            <w:noWrap w:val="0"/>
            <w:tcMar>
              <w:left w:w="28" w:type="dxa"/>
              <w:right w:w="28" w:type="dxa"/>
            </w:tcMar>
            <w:vAlign w:val="center"/>
          </w:tcPr>
          <w:p w14:paraId="134909A3">
            <w:pPr>
              <w:pStyle w:val="53"/>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本项目排放量（固体废物产生量）</w:t>
            </w:r>
            <w:r>
              <w:rPr>
                <w:rFonts w:hint="default" w:ascii="Times New Roman" w:hAnsi="Times New Roman" w:eastAsia="宋体" w:cs="Times New Roman"/>
                <w:b/>
                <w:bCs/>
                <w:snapToGrid w:val="0"/>
                <w:color w:val="auto"/>
                <w:spacing w:val="-6"/>
                <w:kern w:val="21"/>
                <w:sz w:val="21"/>
                <w:szCs w:val="21"/>
              </w:rPr>
              <w:fldChar w:fldCharType="begin"/>
            </w:r>
            <w:r>
              <w:rPr>
                <w:rFonts w:hint="default" w:ascii="Times New Roman" w:hAnsi="Times New Roman" w:eastAsia="宋体" w:cs="Times New Roman"/>
                <w:b/>
                <w:bCs/>
                <w:snapToGrid w:val="0"/>
                <w:color w:val="auto"/>
                <w:spacing w:val="-6"/>
                <w:kern w:val="21"/>
                <w:sz w:val="21"/>
                <w:szCs w:val="21"/>
              </w:rPr>
              <w:instrText xml:space="preserve"> = 4 \* GB3 \* MERGEFORMAT </w:instrText>
            </w:r>
            <w:r>
              <w:rPr>
                <w:rFonts w:hint="default" w:ascii="Times New Roman" w:hAnsi="Times New Roman" w:eastAsia="宋体" w:cs="Times New Roman"/>
                <w:b/>
                <w:bCs/>
                <w:snapToGrid w:val="0"/>
                <w:color w:val="auto"/>
                <w:spacing w:val="-6"/>
                <w:kern w:val="21"/>
                <w:sz w:val="21"/>
                <w:szCs w:val="21"/>
              </w:rPr>
              <w:fldChar w:fldCharType="separate"/>
            </w:r>
            <w:r>
              <w:rPr>
                <w:rFonts w:hint="default" w:ascii="Times New Roman" w:hAnsi="Times New Roman" w:eastAsia="宋体" w:cs="Times New Roman"/>
                <w:b/>
                <w:bCs/>
                <w:color w:val="auto"/>
                <w:kern w:val="2"/>
                <w:sz w:val="21"/>
                <w:szCs w:val="21"/>
              </w:rPr>
              <w:t>④</w:t>
            </w:r>
            <w:r>
              <w:rPr>
                <w:rFonts w:hint="default" w:ascii="Times New Roman" w:hAnsi="Times New Roman" w:eastAsia="宋体" w:cs="Times New Roman"/>
                <w:b/>
                <w:bCs/>
                <w:snapToGrid w:val="0"/>
                <w:color w:val="auto"/>
                <w:spacing w:val="-6"/>
                <w:kern w:val="21"/>
                <w:sz w:val="21"/>
                <w:szCs w:val="21"/>
              </w:rPr>
              <w:fldChar w:fldCharType="end"/>
            </w:r>
          </w:p>
        </w:tc>
        <w:tc>
          <w:tcPr>
            <w:tcW w:w="1736" w:type="dxa"/>
            <w:noWrap w:val="0"/>
            <w:tcMar>
              <w:left w:w="28" w:type="dxa"/>
              <w:right w:w="28" w:type="dxa"/>
            </w:tcMar>
            <w:vAlign w:val="center"/>
          </w:tcPr>
          <w:p w14:paraId="251E34BE">
            <w:pPr>
              <w:pStyle w:val="53"/>
              <w:spacing w:beforeLines="0" w:afterLines="0" w:line="240" w:lineRule="auto"/>
              <w:ind w:firstLine="0" w:firstLineChars="0"/>
              <w:jc w:val="center"/>
              <w:rPr>
                <w:rFonts w:hint="default" w:ascii="Times New Roman" w:hAnsi="Times New Roman" w:eastAsia="宋体" w:cs="Times New Roman"/>
                <w:b/>
                <w:bCs/>
                <w:snapToGrid w:val="0"/>
                <w:color w:val="auto"/>
                <w:spacing w:val="-16"/>
                <w:kern w:val="21"/>
                <w:sz w:val="21"/>
                <w:szCs w:val="21"/>
              </w:rPr>
            </w:pPr>
            <w:r>
              <w:rPr>
                <w:rFonts w:hint="default" w:ascii="Times New Roman" w:hAnsi="Times New Roman" w:eastAsia="宋体" w:cs="Times New Roman"/>
                <w:b/>
                <w:bCs/>
                <w:snapToGrid w:val="0"/>
                <w:color w:val="auto"/>
                <w:spacing w:val="-16"/>
                <w:kern w:val="21"/>
                <w:sz w:val="21"/>
                <w:szCs w:val="21"/>
              </w:rPr>
              <w:t>以新带老削减量</w:t>
            </w:r>
          </w:p>
          <w:p w14:paraId="77AA2426">
            <w:pPr>
              <w:pStyle w:val="53"/>
              <w:spacing w:beforeLines="0" w:afterLines="0" w:line="240" w:lineRule="auto"/>
              <w:ind w:firstLine="0" w:firstLineChars="0"/>
              <w:jc w:val="center"/>
              <w:rPr>
                <w:rFonts w:hint="default" w:ascii="Times New Roman" w:hAnsi="Times New Roman" w:eastAsia="宋体" w:cs="Times New Roman"/>
                <w:b/>
                <w:bCs/>
                <w:snapToGrid w:val="0"/>
                <w:color w:val="auto"/>
                <w:spacing w:val="-16"/>
                <w:kern w:val="21"/>
                <w:sz w:val="21"/>
                <w:szCs w:val="21"/>
              </w:rPr>
            </w:pPr>
            <w:r>
              <w:rPr>
                <w:rFonts w:hint="default" w:ascii="Times New Roman" w:hAnsi="Times New Roman" w:eastAsia="宋体" w:cs="Times New Roman"/>
                <w:b/>
                <w:bCs/>
                <w:snapToGrid w:val="0"/>
                <w:color w:val="auto"/>
                <w:spacing w:val="-16"/>
                <w:kern w:val="21"/>
                <w:sz w:val="21"/>
                <w:szCs w:val="21"/>
              </w:rPr>
              <w:t>（新建项目不填）</w:t>
            </w:r>
            <w:r>
              <w:rPr>
                <w:rFonts w:hint="default" w:ascii="Times New Roman" w:hAnsi="Times New Roman" w:eastAsia="宋体" w:cs="Times New Roman"/>
                <w:b/>
                <w:bCs/>
                <w:snapToGrid w:val="0"/>
                <w:color w:val="auto"/>
                <w:spacing w:val="-16"/>
                <w:kern w:val="21"/>
                <w:sz w:val="21"/>
                <w:szCs w:val="21"/>
              </w:rPr>
              <w:fldChar w:fldCharType="begin"/>
            </w:r>
            <w:r>
              <w:rPr>
                <w:rFonts w:hint="default" w:ascii="Times New Roman" w:hAnsi="Times New Roman" w:eastAsia="宋体" w:cs="Times New Roman"/>
                <w:b/>
                <w:bCs/>
                <w:snapToGrid w:val="0"/>
                <w:color w:val="auto"/>
                <w:spacing w:val="-16"/>
                <w:kern w:val="21"/>
                <w:sz w:val="21"/>
                <w:szCs w:val="21"/>
              </w:rPr>
              <w:instrText xml:space="preserve"> = 5 \* GB3 \* MERGEFORMAT </w:instrText>
            </w:r>
            <w:r>
              <w:rPr>
                <w:rFonts w:hint="default" w:ascii="Times New Roman" w:hAnsi="Times New Roman" w:eastAsia="宋体" w:cs="Times New Roman"/>
                <w:b/>
                <w:bCs/>
                <w:snapToGrid w:val="0"/>
                <w:color w:val="auto"/>
                <w:spacing w:val="-16"/>
                <w:kern w:val="21"/>
                <w:sz w:val="21"/>
                <w:szCs w:val="21"/>
              </w:rPr>
              <w:fldChar w:fldCharType="separate"/>
            </w:r>
            <w:r>
              <w:rPr>
                <w:rFonts w:hint="default" w:ascii="Times New Roman" w:hAnsi="Times New Roman" w:eastAsia="宋体" w:cs="Times New Roman"/>
                <w:b/>
                <w:bCs/>
                <w:color w:val="auto"/>
                <w:kern w:val="2"/>
                <w:sz w:val="21"/>
                <w:szCs w:val="21"/>
              </w:rPr>
              <w:t>⑤</w:t>
            </w:r>
            <w:r>
              <w:rPr>
                <w:rFonts w:hint="default" w:ascii="Times New Roman" w:hAnsi="Times New Roman" w:eastAsia="宋体" w:cs="Times New Roman"/>
                <w:b/>
                <w:bCs/>
                <w:snapToGrid w:val="0"/>
                <w:color w:val="auto"/>
                <w:spacing w:val="-16"/>
                <w:kern w:val="21"/>
                <w:sz w:val="21"/>
                <w:szCs w:val="21"/>
              </w:rPr>
              <w:fldChar w:fldCharType="end"/>
            </w:r>
          </w:p>
        </w:tc>
        <w:tc>
          <w:tcPr>
            <w:tcW w:w="1550" w:type="dxa"/>
            <w:noWrap w:val="0"/>
            <w:tcMar>
              <w:left w:w="28" w:type="dxa"/>
              <w:right w:w="28" w:type="dxa"/>
            </w:tcMar>
            <w:vAlign w:val="center"/>
          </w:tcPr>
          <w:p w14:paraId="429CB257">
            <w:pPr>
              <w:pStyle w:val="53"/>
              <w:spacing w:beforeLines="0" w:afterLines="0" w:line="240" w:lineRule="auto"/>
              <w:ind w:firstLine="0" w:firstLineChars="0"/>
              <w:jc w:val="center"/>
              <w:rPr>
                <w:rFonts w:hint="default" w:ascii="Times New Roman" w:hAnsi="Times New Roman" w:eastAsia="宋体" w:cs="Times New Roman"/>
                <w:b/>
                <w:bCs/>
                <w:snapToGrid w:val="0"/>
                <w:color w:val="auto"/>
                <w:spacing w:val="-16"/>
                <w:kern w:val="21"/>
                <w:sz w:val="21"/>
                <w:szCs w:val="21"/>
              </w:rPr>
            </w:pPr>
            <w:r>
              <w:rPr>
                <w:rFonts w:hint="default" w:ascii="Times New Roman" w:hAnsi="Times New Roman" w:eastAsia="宋体" w:cs="Times New Roman"/>
                <w:b/>
                <w:bCs/>
                <w:snapToGrid w:val="0"/>
                <w:color w:val="auto"/>
                <w:spacing w:val="-16"/>
                <w:kern w:val="21"/>
                <w:sz w:val="21"/>
                <w:szCs w:val="21"/>
              </w:rPr>
              <w:t>本项目建成后全厂排放量（固体废物产生量）</w:t>
            </w:r>
            <w:r>
              <w:rPr>
                <w:rFonts w:hint="default" w:ascii="Times New Roman" w:hAnsi="Times New Roman" w:eastAsia="宋体" w:cs="Times New Roman"/>
                <w:b/>
                <w:bCs/>
                <w:snapToGrid w:val="0"/>
                <w:color w:val="auto"/>
                <w:spacing w:val="-16"/>
                <w:kern w:val="21"/>
                <w:sz w:val="21"/>
                <w:szCs w:val="21"/>
              </w:rPr>
              <w:fldChar w:fldCharType="begin"/>
            </w:r>
            <w:r>
              <w:rPr>
                <w:rFonts w:hint="default" w:ascii="Times New Roman" w:hAnsi="Times New Roman" w:eastAsia="宋体" w:cs="Times New Roman"/>
                <w:b/>
                <w:bCs/>
                <w:snapToGrid w:val="0"/>
                <w:color w:val="auto"/>
                <w:spacing w:val="-16"/>
                <w:kern w:val="21"/>
                <w:sz w:val="21"/>
                <w:szCs w:val="21"/>
              </w:rPr>
              <w:instrText xml:space="preserve"> = 6 \* GB3 \* MERGEFORMAT </w:instrText>
            </w:r>
            <w:r>
              <w:rPr>
                <w:rFonts w:hint="default" w:ascii="Times New Roman" w:hAnsi="Times New Roman" w:eastAsia="宋体" w:cs="Times New Roman"/>
                <w:b/>
                <w:bCs/>
                <w:snapToGrid w:val="0"/>
                <w:color w:val="auto"/>
                <w:spacing w:val="-16"/>
                <w:kern w:val="21"/>
                <w:sz w:val="21"/>
                <w:szCs w:val="21"/>
              </w:rPr>
              <w:fldChar w:fldCharType="separate"/>
            </w:r>
            <w:r>
              <w:rPr>
                <w:rFonts w:hint="default" w:ascii="Times New Roman" w:hAnsi="Times New Roman" w:eastAsia="宋体" w:cs="Times New Roman"/>
                <w:b/>
                <w:bCs/>
                <w:color w:val="auto"/>
                <w:kern w:val="2"/>
                <w:sz w:val="21"/>
                <w:szCs w:val="21"/>
              </w:rPr>
              <w:t>⑥</w:t>
            </w:r>
            <w:r>
              <w:rPr>
                <w:rFonts w:hint="default" w:ascii="Times New Roman" w:hAnsi="Times New Roman" w:eastAsia="宋体" w:cs="Times New Roman"/>
                <w:b/>
                <w:bCs/>
                <w:snapToGrid w:val="0"/>
                <w:color w:val="auto"/>
                <w:spacing w:val="-16"/>
                <w:kern w:val="21"/>
                <w:sz w:val="21"/>
                <w:szCs w:val="21"/>
              </w:rPr>
              <w:fldChar w:fldCharType="end"/>
            </w:r>
          </w:p>
        </w:tc>
        <w:tc>
          <w:tcPr>
            <w:tcW w:w="1195" w:type="dxa"/>
            <w:noWrap w:val="0"/>
            <w:tcMar>
              <w:left w:w="28" w:type="dxa"/>
              <w:right w:w="28" w:type="dxa"/>
            </w:tcMar>
            <w:vAlign w:val="center"/>
          </w:tcPr>
          <w:p w14:paraId="329CB5D8">
            <w:pPr>
              <w:pStyle w:val="53"/>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t>变化量</w:t>
            </w:r>
          </w:p>
          <w:p w14:paraId="64CF7003">
            <w:pPr>
              <w:pStyle w:val="53"/>
              <w:spacing w:beforeLines="0" w:afterLines="0" w:line="240" w:lineRule="auto"/>
              <w:ind w:firstLine="0" w:firstLineChars="0"/>
              <w:jc w:val="center"/>
              <w:rPr>
                <w:rFonts w:hint="default" w:ascii="Times New Roman" w:hAnsi="Times New Roman" w:eastAsia="宋体" w:cs="Times New Roman"/>
                <w:b/>
                <w:bCs/>
                <w:snapToGrid w:val="0"/>
                <w:color w:val="auto"/>
                <w:spacing w:val="-6"/>
                <w:kern w:val="21"/>
                <w:sz w:val="21"/>
                <w:szCs w:val="21"/>
              </w:rPr>
            </w:pPr>
            <w:r>
              <w:rPr>
                <w:rFonts w:hint="default" w:ascii="Times New Roman" w:hAnsi="Times New Roman" w:eastAsia="宋体" w:cs="Times New Roman"/>
                <w:b/>
                <w:bCs/>
                <w:snapToGrid w:val="0"/>
                <w:color w:val="auto"/>
                <w:spacing w:val="-6"/>
                <w:kern w:val="21"/>
                <w:sz w:val="21"/>
                <w:szCs w:val="21"/>
              </w:rPr>
              <w:fldChar w:fldCharType="begin"/>
            </w:r>
            <w:r>
              <w:rPr>
                <w:rFonts w:hint="default" w:ascii="Times New Roman" w:hAnsi="Times New Roman" w:eastAsia="宋体" w:cs="Times New Roman"/>
                <w:b/>
                <w:bCs/>
                <w:snapToGrid w:val="0"/>
                <w:color w:val="auto"/>
                <w:spacing w:val="-6"/>
                <w:kern w:val="21"/>
                <w:sz w:val="21"/>
                <w:szCs w:val="21"/>
              </w:rPr>
              <w:instrText xml:space="preserve"> = 7 \* GB3 \* MERGEFORMAT </w:instrText>
            </w:r>
            <w:r>
              <w:rPr>
                <w:rFonts w:hint="default" w:ascii="Times New Roman" w:hAnsi="Times New Roman" w:eastAsia="宋体" w:cs="Times New Roman"/>
                <w:b/>
                <w:bCs/>
                <w:snapToGrid w:val="0"/>
                <w:color w:val="auto"/>
                <w:spacing w:val="-6"/>
                <w:kern w:val="21"/>
                <w:sz w:val="21"/>
                <w:szCs w:val="21"/>
              </w:rPr>
              <w:fldChar w:fldCharType="separate"/>
            </w:r>
            <w:r>
              <w:rPr>
                <w:rFonts w:hint="default" w:ascii="Times New Roman" w:hAnsi="Times New Roman" w:eastAsia="宋体" w:cs="Times New Roman"/>
                <w:b/>
                <w:bCs/>
                <w:color w:val="auto"/>
                <w:kern w:val="2"/>
                <w:sz w:val="21"/>
                <w:szCs w:val="21"/>
              </w:rPr>
              <w:t>⑦</w:t>
            </w:r>
            <w:r>
              <w:rPr>
                <w:rFonts w:hint="default" w:ascii="Times New Roman" w:hAnsi="Times New Roman" w:eastAsia="宋体" w:cs="Times New Roman"/>
                <w:b/>
                <w:bCs/>
                <w:snapToGrid w:val="0"/>
                <w:color w:val="auto"/>
                <w:spacing w:val="-6"/>
                <w:kern w:val="21"/>
                <w:sz w:val="21"/>
                <w:szCs w:val="21"/>
              </w:rPr>
              <w:fldChar w:fldCharType="end"/>
            </w:r>
          </w:p>
        </w:tc>
      </w:tr>
      <w:tr w14:paraId="476818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188" w:type="dxa"/>
            <w:vMerge w:val="restart"/>
            <w:noWrap w:val="0"/>
            <w:vAlign w:val="center"/>
          </w:tcPr>
          <w:p w14:paraId="683BA534">
            <w:pPr>
              <w:pStyle w:val="53"/>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snapToGrid w:val="0"/>
                <w:color w:val="auto"/>
                <w:kern w:val="21"/>
                <w:sz w:val="21"/>
                <w:szCs w:val="21"/>
              </w:rPr>
              <w:t>废水</w:t>
            </w:r>
          </w:p>
        </w:tc>
        <w:tc>
          <w:tcPr>
            <w:tcW w:w="1953" w:type="dxa"/>
            <w:noWrap w:val="0"/>
            <w:vAlign w:val="center"/>
          </w:tcPr>
          <w:p w14:paraId="7A480314">
            <w:pPr>
              <w:pStyle w:val="53"/>
              <w:spacing w:beforeLines="0" w:afterLines="0" w:line="240" w:lineRule="auto"/>
              <w:ind w:firstLine="0" w:firstLineChars="0"/>
              <w:jc w:val="center"/>
              <w:rPr>
                <w:rFonts w:hint="eastAsia" w:ascii="Times New Roman" w:hAnsi="Times New Roman" w:eastAsia="宋体" w:cs="Times New Roman"/>
                <w:snapToGrid w:val="0"/>
                <w:color w:val="auto"/>
                <w:kern w:val="21"/>
                <w:sz w:val="21"/>
                <w:szCs w:val="21"/>
                <w:lang w:eastAsia="zh-CN"/>
              </w:rPr>
            </w:pPr>
            <w:r>
              <w:rPr>
                <w:rFonts w:hint="eastAsia" w:ascii="Times New Roman" w:hAnsi="Times New Roman" w:eastAsia="宋体" w:cs="Times New Roman"/>
                <w:snapToGrid w:val="0"/>
                <w:color w:val="auto"/>
                <w:kern w:val="21"/>
                <w:sz w:val="21"/>
                <w:szCs w:val="21"/>
                <w:lang w:eastAsia="zh-CN"/>
              </w:rPr>
              <w:t>废水</w:t>
            </w:r>
          </w:p>
        </w:tc>
        <w:tc>
          <w:tcPr>
            <w:tcW w:w="1500" w:type="dxa"/>
            <w:noWrap w:val="0"/>
            <w:vAlign w:val="center"/>
          </w:tcPr>
          <w:p w14:paraId="4366390E">
            <w:pPr>
              <w:keepNext w:val="0"/>
              <w:keepLines w:val="0"/>
              <w:pageBreakBefore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259" w:type="dxa"/>
            <w:shd w:val="clear" w:color="auto" w:fill="auto"/>
            <w:noWrap w:val="0"/>
            <w:vAlign w:val="center"/>
          </w:tcPr>
          <w:p w14:paraId="01519C81">
            <w:pPr>
              <w:keepNext w:val="0"/>
              <w:keepLines w:val="0"/>
              <w:pageBreakBefore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677" w:type="dxa"/>
            <w:noWrap w:val="0"/>
            <w:vAlign w:val="center"/>
          </w:tcPr>
          <w:p w14:paraId="0F585E3A">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w:t>
            </w:r>
          </w:p>
        </w:tc>
        <w:tc>
          <w:tcPr>
            <w:tcW w:w="1537" w:type="dxa"/>
            <w:noWrap w:val="0"/>
            <w:vAlign w:val="center"/>
          </w:tcPr>
          <w:p w14:paraId="5CE4F01B">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color w:val="auto"/>
                <w:sz w:val="21"/>
                <w:szCs w:val="21"/>
                <w:lang w:val="en-US" w:eastAsia="zh-CN"/>
              </w:rPr>
              <w:t>249.6t/a</w:t>
            </w:r>
          </w:p>
        </w:tc>
        <w:tc>
          <w:tcPr>
            <w:tcW w:w="1736" w:type="dxa"/>
            <w:noWrap w:val="0"/>
            <w:vAlign w:val="center"/>
          </w:tcPr>
          <w:p w14:paraId="59018D29">
            <w:pPr>
              <w:keepNext w:val="0"/>
              <w:keepLines w:val="0"/>
              <w:pageBreakBefore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550" w:type="dxa"/>
            <w:noWrap w:val="0"/>
            <w:vAlign w:val="center"/>
          </w:tcPr>
          <w:p w14:paraId="0E6F2727">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color w:val="auto"/>
                <w:sz w:val="21"/>
                <w:szCs w:val="21"/>
                <w:lang w:val="en-US" w:eastAsia="zh-CN"/>
              </w:rPr>
              <w:t>249.6t/a</w:t>
            </w:r>
          </w:p>
        </w:tc>
        <w:tc>
          <w:tcPr>
            <w:tcW w:w="1195" w:type="dxa"/>
            <w:noWrap w:val="0"/>
            <w:vAlign w:val="center"/>
          </w:tcPr>
          <w:p w14:paraId="5C1706A8">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eastAsia" w:ascii="Times New Roman" w:hAnsi="Times New Roman" w:eastAsia="宋体" w:cs="Times New Roman"/>
                <w:b w:val="0"/>
                <w:bCs/>
                <w:color w:val="auto"/>
                <w:kern w:val="0"/>
                <w:sz w:val="21"/>
                <w:szCs w:val="21"/>
                <w:u w:val="none"/>
                <w:lang w:val="en-US" w:eastAsia="zh-CN" w:bidi="ar-SA"/>
              </w:rPr>
            </w:pPr>
            <w:r>
              <w:rPr>
                <w:rFonts w:hint="eastAsia" w:ascii="Times New Roman" w:hAnsi="Times New Roman" w:eastAsia="宋体" w:cs="Times New Roman"/>
                <w:b w:val="0"/>
                <w:bCs/>
                <w:color w:val="auto"/>
                <w:kern w:val="0"/>
                <w:sz w:val="21"/>
                <w:szCs w:val="21"/>
                <w:u w:val="none"/>
                <w:lang w:val="en-US" w:eastAsia="zh-CN" w:bidi="ar-SA"/>
              </w:rPr>
              <w:t>+249.6t/a</w:t>
            </w:r>
          </w:p>
        </w:tc>
      </w:tr>
      <w:tr w14:paraId="597EE94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188" w:type="dxa"/>
            <w:vMerge w:val="continue"/>
            <w:noWrap w:val="0"/>
            <w:vAlign w:val="center"/>
          </w:tcPr>
          <w:p w14:paraId="3A9434E1">
            <w:pPr>
              <w:pStyle w:val="53"/>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rPr>
            </w:pPr>
          </w:p>
        </w:tc>
        <w:tc>
          <w:tcPr>
            <w:tcW w:w="1953" w:type="dxa"/>
            <w:noWrap w:val="0"/>
            <w:vAlign w:val="center"/>
          </w:tcPr>
          <w:p w14:paraId="4F537AD1">
            <w:pPr>
              <w:pStyle w:val="53"/>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snapToGrid w:val="0"/>
                <w:color w:val="auto"/>
                <w:kern w:val="21"/>
                <w:sz w:val="21"/>
                <w:szCs w:val="21"/>
              </w:rPr>
              <w:t>COD</w:t>
            </w:r>
          </w:p>
        </w:tc>
        <w:tc>
          <w:tcPr>
            <w:tcW w:w="1500" w:type="dxa"/>
            <w:noWrap w:val="0"/>
            <w:vAlign w:val="center"/>
          </w:tcPr>
          <w:p w14:paraId="1AA97B19">
            <w:pPr>
              <w:keepNext w:val="0"/>
              <w:keepLines w:val="0"/>
              <w:pageBreakBefore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259" w:type="dxa"/>
            <w:shd w:val="clear" w:color="auto" w:fill="auto"/>
            <w:noWrap w:val="0"/>
            <w:vAlign w:val="center"/>
          </w:tcPr>
          <w:p w14:paraId="650CA3AC">
            <w:pPr>
              <w:keepNext w:val="0"/>
              <w:keepLines w:val="0"/>
              <w:pageBreakBefore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w:t>
            </w:r>
          </w:p>
        </w:tc>
        <w:tc>
          <w:tcPr>
            <w:tcW w:w="1677" w:type="dxa"/>
            <w:noWrap w:val="0"/>
            <w:vAlign w:val="center"/>
          </w:tcPr>
          <w:p w14:paraId="004C6342">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snapToGrid w:val="0"/>
                <w:color w:val="auto"/>
                <w:kern w:val="21"/>
                <w:sz w:val="21"/>
                <w:szCs w:val="21"/>
              </w:rPr>
              <w:t>/</w:t>
            </w:r>
          </w:p>
        </w:tc>
        <w:tc>
          <w:tcPr>
            <w:tcW w:w="1537" w:type="dxa"/>
            <w:noWrap w:val="0"/>
            <w:vAlign w:val="center"/>
          </w:tcPr>
          <w:p w14:paraId="1221F2D2">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0.0</w:t>
            </w:r>
            <w:r>
              <w:rPr>
                <w:rFonts w:hint="eastAsia" w:cs="Times New Roman"/>
                <w:snapToGrid w:val="0"/>
                <w:color w:val="auto"/>
                <w:kern w:val="21"/>
                <w:sz w:val="21"/>
                <w:szCs w:val="21"/>
                <w:lang w:val="en-US" w:eastAsia="zh-CN"/>
              </w:rPr>
              <w:t>1</w:t>
            </w:r>
            <w:r>
              <w:rPr>
                <w:rFonts w:hint="eastAsia" w:ascii="Times New Roman" w:hAnsi="Times New Roman" w:eastAsia="宋体" w:cs="Times New Roman"/>
                <w:snapToGrid w:val="0"/>
                <w:color w:val="auto"/>
                <w:kern w:val="21"/>
                <w:sz w:val="21"/>
                <w:szCs w:val="21"/>
                <w:lang w:val="en-US" w:eastAsia="zh-CN"/>
              </w:rPr>
              <w:t>t/a</w:t>
            </w:r>
          </w:p>
        </w:tc>
        <w:tc>
          <w:tcPr>
            <w:tcW w:w="1736" w:type="dxa"/>
            <w:noWrap w:val="0"/>
            <w:vAlign w:val="center"/>
          </w:tcPr>
          <w:p w14:paraId="06D2D2D5">
            <w:pPr>
              <w:keepNext w:val="0"/>
              <w:keepLines w:val="0"/>
              <w:pageBreakBefore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550" w:type="dxa"/>
            <w:noWrap w:val="0"/>
            <w:vAlign w:val="center"/>
          </w:tcPr>
          <w:p w14:paraId="1EDAAB90">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hAnsi="Times New Roman" w:eastAsia="宋体" w:cs="Times New Roman"/>
                <w:snapToGrid w:val="0"/>
                <w:color w:val="auto"/>
                <w:kern w:val="21"/>
                <w:sz w:val="21"/>
                <w:szCs w:val="21"/>
                <w:lang w:val="en-US" w:eastAsia="zh-CN"/>
              </w:rPr>
              <w:t>0.0</w:t>
            </w:r>
            <w:r>
              <w:rPr>
                <w:rFonts w:hint="eastAsia" w:cs="Times New Roman"/>
                <w:snapToGrid w:val="0"/>
                <w:color w:val="auto"/>
                <w:kern w:val="21"/>
                <w:sz w:val="21"/>
                <w:szCs w:val="21"/>
                <w:lang w:val="en-US" w:eastAsia="zh-CN"/>
              </w:rPr>
              <w:t>1</w:t>
            </w:r>
            <w:r>
              <w:rPr>
                <w:rFonts w:hint="eastAsia" w:ascii="Times New Roman" w:hAnsi="Times New Roman" w:eastAsia="宋体" w:cs="Times New Roman"/>
                <w:snapToGrid w:val="0"/>
                <w:color w:val="auto"/>
                <w:kern w:val="21"/>
                <w:sz w:val="21"/>
                <w:szCs w:val="21"/>
                <w:lang w:val="en-US" w:eastAsia="zh-CN"/>
              </w:rPr>
              <w:t>t/a</w:t>
            </w:r>
          </w:p>
        </w:tc>
        <w:tc>
          <w:tcPr>
            <w:tcW w:w="1195" w:type="dxa"/>
            <w:noWrap w:val="0"/>
            <w:vAlign w:val="center"/>
          </w:tcPr>
          <w:p w14:paraId="2E0750B4">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b w:val="0"/>
                <w:bCs/>
                <w:color w:val="auto"/>
                <w:kern w:val="0"/>
                <w:sz w:val="21"/>
                <w:szCs w:val="21"/>
                <w:u w:val="none"/>
                <w:lang w:val="en-US" w:eastAsia="zh-CN" w:bidi="ar-SA"/>
              </w:rPr>
              <w:t>+0.0</w:t>
            </w:r>
            <w:r>
              <w:rPr>
                <w:rFonts w:hint="eastAsia" w:cs="Times New Roman"/>
                <w:b w:val="0"/>
                <w:bCs/>
                <w:color w:val="auto"/>
                <w:kern w:val="0"/>
                <w:sz w:val="21"/>
                <w:szCs w:val="21"/>
                <w:u w:val="none"/>
                <w:lang w:val="en-US" w:eastAsia="zh-CN" w:bidi="ar-SA"/>
              </w:rPr>
              <w:t>1</w:t>
            </w:r>
            <w:r>
              <w:rPr>
                <w:rFonts w:hint="eastAsia" w:ascii="Times New Roman" w:hAnsi="Times New Roman" w:eastAsia="宋体" w:cs="Times New Roman"/>
                <w:b w:val="0"/>
                <w:bCs/>
                <w:color w:val="auto"/>
                <w:kern w:val="0"/>
                <w:sz w:val="21"/>
                <w:szCs w:val="21"/>
                <w:u w:val="none"/>
                <w:lang w:val="en-US" w:eastAsia="zh-CN" w:bidi="ar-SA"/>
              </w:rPr>
              <w:t>t/a</w:t>
            </w:r>
          </w:p>
        </w:tc>
      </w:tr>
      <w:tr w14:paraId="619588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188" w:type="dxa"/>
            <w:vMerge w:val="continue"/>
            <w:noWrap w:val="0"/>
            <w:vAlign w:val="center"/>
          </w:tcPr>
          <w:p w14:paraId="7B0CE1FC">
            <w:pPr>
              <w:pStyle w:val="53"/>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rPr>
            </w:pPr>
          </w:p>
        </w:tc>
        <w:tc>
          <w:tcPr>
            <w:tcW w:w="1953" w:type="dxa"/>
            <w:noWrap w:val="0"/>
            <w:vAlign w:val="center"/>
          </w:tcPr>
          <w:p w14:paraId="76056CFF">
            <w:pPr>
              <w:pStyle w:val="53"/>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TP</w:t>
            </w:r>
          </w:p>
        </w:tc>
        <w:tc>
          <w:tcPr>
            <w:tcW w:w="1500" w:type="dxa"/>
            <w:noWrap w:val="0"/>
            <w:vAlign w:val="center"/>
          </w:tcPr>
          <w:p w14:paraId="44D09496">
            <w:pPr>
              <w:keepNext w:val="0"/>
              <w:keepLines w:val="0"/>
              <w:pageBreakBefore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259" w:type="dxa"/>
            <w:shd w:val="clear" w:color="auto" w:fill="auto"/>
            <w:noWrap w:val="0"/>
            <w:vAlign w:val="center"/>
          </w:tcPr>
          <w:p w14:paraId="19244685">
            <w:pPr>
              <w:keepNext w:val="0"/>
              <w:keepLines w:val="0"/>
              <w:pageBreakBefore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w:t>
            </w:r>
          </w:p>
        </w:tc>
        <w:tc>
          <w:tcPr>
            <w:tcW w:w="1677" w:type="dxa"/>
            <w:noWrap w:val="0"/>
            <w:vAlign w:val="center"/>
          </w:tcPr>
          <w:p w14:paraId="13B9FFD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snapToGrid w:val="0"/>
                <w:color w:val="auto"/>
                <w:kern w:val="21"/>
                <w:sz w:val="21"/>
                <w:szCs w:val="21"/>
              </w:rPr>
              <w:t>/</w:t>
            </w:r>
          </w:p>
        </w:tc>
        <w:tc>
          <w:tcPr>
            <w:tcW w:w="1537" w:type="dxa"/>
            <w:noWrap w:val="0"/>
            <w:vAlign w:val="center"/>
          </w:tcPr>
          <w:p w14:paraId="167B7D0F">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0.0001t/a</w:t>
            </w:r>
          </w:p>
        </w:tc>
        <w:tc>
          <w:tcPr>
            <w:tcW w:w="1736" w:type="dxa"/>
            <w:noWrap w:val="0"/>
            <w:vAlign w:val="center"/>
          </w:tcPr>
          <w:p w14:paraId="154C5570">
            <w:pPr>
              <w:keepNext w:val="0"/>
              <w:keepLines w:val="0"/>
              <w:pageBreakBefore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550" w:type="dxa"/>
            <w:noWrap w:val="0"/>
            <w:vAlign w:val="center"/>
          </w:tcPr>
          <w:p w14:paraId="25E4A35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hAnsi="Times New Roman" w:eastAsia="宋体" w:cs="Times New Roman"/>
                <w:snapToGrid w:val="0"/>
                <w:color w:val="auto"/>
                <w:kern w:val="21"/>
                <w:sz w:val="21"/>
                <w:szCs w:val="21"/>
                <w:lang w:val="en-US" w:eastAsia="zh-CN"/>
              </w:rPr>
              <w:t>0.0001t/a</w:t>
            </w:r>
          </w:p>
        </w:tc>
        <w:tc>
          <w:tcPr>
            <w:tcW w:w="1195" w:type="dxa"/>
            <w:noWrap w:val="0"/>
            <w:vAlign w:val="center"/>
          </w:tcPr>
          <w:p w14:paraId="30DB29C0">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240" w:lineRule="auto"/>
              <w:ind w:left="0" w:leftChars="0" w:right="0" w:rightChars="0" w:firstLine="0" w:firstLineChars="0"/>
              <w:jc w:val="center"/>
              <w:textAlignment w:val="auto"/>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b w:val="0"/>
                <w:bCs/>
                <w:color w:val="auto"/>
                <w:kern w:val="0"/>
                <w:sz w:val="21"/>
                <w:szCs w:val="21"/>
                <w:u w:val="none"/>
                <w:lang w:val="en-US" w:eastAsia="zh-CN" w:bidi="ar-SA"/>
              </w:rPr>
              <w:t>+0.0001t/a</w:t>
            </w:r>
          </w:p>
        </w:tc>
      </w:tr>
      <w:tr w14:paraId="307D04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188" w:type="dxa"/>
            <w:vMerge w:val="restart"/>
            <w:noWrap w:val="0"/>
            <w:vAlign w:val="center"/>
          </w:tcPr>
          <w:p w14:paraId="604A01AD">
            <w:pPr>
              <w:pStyle w:val="53"/>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snapToGrid w:val="0"/>
                <w:color w:val="auto"/>
                <w:kern w:val="21"/>
                <w:sz w:val="21"/>
                <w:szCs w:val="21"/>
              </w:rPr>
              <w:t>一般工业</w:t>
            </w:r>
          </w:p>
          <w:p w14:paraId="59B28ED8">
            <w:pPr>
              <w:pStyle w:val="53"/>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rPr>
            </w:pPr>
            <w:r>
              <w:rPr>
                <w:rFonts w:hint="default" w:ascii="Times New Roman" w:hAnsi="Times New Roman" w:eastAsia="宋体" w:cs="Times New Roman"/>
                <w:snapToGrid w:val="0"/>
                <w:color w:val="auto"/>
                <w:kern w:val="21"/>
                <w:sz w:val="21"/>
                <w:szCs w:val="21"/>
              </w:rPr>
              <w:t>固体废物</w:t>
            </w:r>
          </w:p>
        </w:tc>
        <w:tc>
          <w:tcPr>
            <w:tcW w:w="1953" w:type="dxa"/>
            <w:noWrap w:val="0"/>
            <w:vAlign w:val="center"/>
          </w:tcPr>
          <w:p w14:paraId="1669551F">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不合格产品</w:t>
            </w:r>
          </w:p>
        </w:tc>
        <w:tc>
          <w:tcPr>
            <w:tcW w:w="1500" w:type="dxa"/>
            <w:noWrap w:val="0"/>
            <w:vAlign w:val="center"/>
          </w:tcPr>
          <w:p w14:paraId="3E5E4FEA">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1259" w:type="dxa"/>
            <w:shd w:val="clear" w:color="auto" w:fill="auto"/>
            <w:noWrap w:val="0"/>
            <w:vAlign w:val="center"/>
          </w:tcPr>
          <w:p w14:paraId="7431CDB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1677" w:type="dxa"/>
            <w:noWrap w:val="0"/>
            <w:vAlign w:val="center"/>
          </w:tcPr>
          <w:p w14:paraId="61D1E241">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w:t>
            </w:r>
          </w:p>
        </w:tc>
        <w:tc>
          <w:tcPr>
            <w:tcW w:w="1537" w:type="dxa"/>
            <w:noWrap w:val="0"/>
            <w:vAlign w:val="center"/>
          </w:tcPr>
          <w:p w14:paraId="616E7E9F">
            <w:pPr>
              <w:pStyle w:val="53"/>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9.1t/a</w:t>
            </w:r>
          </w:p>
        </w:tc>
        <w:tc>
          <w:tcPr>
            <w:tcW w:w="1736" w:type="dxa"/>
            <w:noWrap w:val="0"/>
            <w:vAlign w:val="center"/>
          </w:tcPr>
          <w:p w14:paraId="48B2FC51">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1550" w:type="dxa"/>
            <w:noWrap w:val="0"/>
            <w:vAlign w:val="center"/>
          </w:tcPr>
          <w:p w14:paraId="051C6F8E">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9.1t/a</w:t>
            </w:r>
          </w:p>
        </w:tc>
        <w:tc>
          <w:tcPr>
            <w:tcW w:w="1195" w:type="dxa"/>
            <w:noWrap w:val="0"/>
            <w:vAlign w:val="center"/>
          </w:tcPr>
          <w:p w14:paraId="34CEFFCA">
            <w:pPr>
              <w:pStyle w:val="53"/>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+9.1t/a</w:t>
            </w:r>
          </w:p>
        </w:tc>
      </w:tr>
      <w:tr w14:paraId="51E65E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188" w:type="dxa"/>
            <w:vMerge w:val="continue"/>
            <w:noWrap w:val="0"/>
            <w:vAlign w:val="center"/>
          </w:tcPr>
          <w:p w14:paraId="541820A6">
            <w:pPr>
              <w:pStyle w:val="53"/>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rPr>
            </w:pPr>
          </w:p>
        </w:tc>
        <w:tc>
          <w:tcPr>
            <w:tcW w:w="1953" w:type="dxa"/>
            <w:noWrap w:val="0"/>
            <w:vAlign w:val="center"/>
          </w:tcPr>
          <w:p w14:paraId="29855025">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rPr>
            </w:pPr>
            <w:r>
              <w:rPr>
                <w:rFonts w:hint="eastAsia" w:ascii="Times New Roman" w:hAnsi="Times New Roman" w:eastAsia="宋体" w:cs="Times New Roman"/>
                <w:b w:val="0"/>
                <w:bCs w:val="0"/>
                <w:color w:val="auto"/>
                <w:sz w:val="21"/>
                <w:szCs w:val="21"/>
                <w:lang w:val="en-US" w:eastAsia="zh-CN"/>
              </w:rPr>
              <w:t>废边角料</w:t>
            </w:r>
          </w:p>
        </w:tc>
        <w:tc>
          <w:tcPr>
            <w:tcW w:w="1500" w:type="dxa"/>
            <w:noWrap w:val="0"/>
            <w:vAlign w:val="center"/>
          </w:tcPr>
          <w:p w14:paraId="65F8BCB8">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w:t>
            </w:r>
          </w:p>
        </w:tc>
        <w:tc>
          <w:tcPr>
            <w:tcW w:w="1259" w:type="dxa"/>
            <w:shd w:val="clear" w:color="auto" w:fill="auto"/>
            <w:noWrap w:val="0"/>
            <w:vAlign w:val="center"/>
          </w:tcPr>
          <w:p w14:paraId="7387C792">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kern w:val="2"/>
                <w:sz w:val="21"/>
                <w:szCs w:val="21"/>
                <w:lang w:val="en-US" w:eastAsia="zh-CN" w:bidi="ar-SA"/>
              </w:rPr>
            </w:pPr>
            <w:r>
              <w:rPr>
                <w:rFonts w:hint="eastAsia" w:cs="Times New Roman"/>
                <w:color w:val="auto"/>
                <w:sz w:val="21"/>
                <w:szCs w:val="21"/>
                <w:lang w:val="en-US" w:eastAsia="zh-CN"/>
              </w:rPr>
              <w:t>/</w:t>
            </w:r>
          </w:p>
        </w:tc>
        <w:tc>
          <w:tcPr>
            <w:tcW w:w="1677" w:type="dxa"/>
            <w:noWrap w:val="0"/>
            <w:vAlign w:val="center"/>
          </w:tcPr>
          <w:p w14:paraId="2C08916D">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snapToGrid w:val="0"/>
                <w:color w:val="auto"/>
                <w:kern w:val="21"/>
                <w:sz w:val="21"/>
                <w:szCs w:val="21"/>
              </w:rPr>
              <w:t>/</w:t>
            </w:r>
          </w:p>
        </w:tc>
        <w:tc>
          <w:tcPr>
            <w:tcW w:w="1537" w:type="dxa"/>
            <w:noWrap w:val="0"/>
            <w:vAlign w:val="center"/>
          </w:tcPr>
          <w:p w14:paraId="11EC45F2">
            <w:pPr>
              <w:pStyle w:val="53"/>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hAnsi="Times New Roman" w:eastAsia="宋体" w:cs="Times New Roman"/>
                <w:snapToGrid w:val="0"/>
                <w:color w:val="auto"/>
                <w:kern w:val="21"/>
                <w:sz w:val="21"/>
                <w:szCs w:val="21"/>
                <w:lang w:val="en-US" w:eastAsia="zh-CN" w:bidi="ar-SA"/>
              </w:rPr>
              <w:t>0.91</w:t>
            </w:r>
            <w:r>
              <w:rPr>
                <w:rFonts w:hint="default" w:ascii="Times New Roman" w:hAnsi="Times New Roman" w:eastAsia="宋体" w:cs="Times New Roman"/>
                <w:snapToGrid w:val="0"/>
                <w:color w:val="auto"/>
                <w:kern w:val="21"/>
                <w:sz w:val="21"/>
                <w:szCs w:val="21"/>
                <w:lang w:val="en-US" w:eastAsia="zh-CN" w:bidi="ar-SA"/>
              </w:rPr>
              <w:t>t/a</w:t>
            </w:r>
          </w:p>
        </w:tc>
        <w:tc>
          <w:tcPr>
            <w:tcW w:w="1736" w:type="dxa"/>
            <w:noWrap w:val="0"/>
            <w:vAlign w:val="center"/>
          </w:tcPr>
          <w:p w14:paraId="701D8EA7">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hAnsi="Times New Roman" w:eastAsia="宋体" w:cs="Times New Roman"/>
                <w:snapToGrid w:val="0"/>
                <w:color w:val="auto"/>
                <w:kern w:val="21"/>
                <w:sz w:val="21"/>
                <w:szCs w:val="21"/>
                <w:lang w:val="en-US" w:eastAsia="zh-CN" w:bidi="ar-SA"/>
              </w:rPr>
              <w:t>/</w:t>
            </w:r>
          </w:p>
        </w:tc>
        <w:tc>
          <w:tcPr>
            <w:tcW w:w="1550" w:type="dxa"/>
            <w:noWrap w:val="0"/>
            <w:vAlign w:val="center"/>
          </w:tcPr>
          <w:p w14:paraId="1E07EB93">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hAnsi="Times New Roman" w:eastAsia="宋体" w:cs="Times New Roman"/>
                <w:snapToGrid w:val="0"/>
                <w:color w:val="auto"/>
                <w:kern w:val="21"/>
                <w:sz w:val="21"/>
                <w:szCs w:val="21"/>
                <w:lang w:val="en-US" w:eastAsia="zh-CN" w:bidi="ar-SA"/>
              </w:rPr>
              <w:t>0.91</w:t>
            </w:r>
            <w:r>
              <w:rPr>
                <w:rFonts w:hint="default" w:ascii="Times New Roman" w:hAnsi="Times New Roman" w:eastAsia="宋体" w:cs="Times New Roman"/>
                <w:snapToGrid w:val="0"/>
                <w:color w:val="auto"/>
                <w:kern w:val="21"/>
                <w:sz w:val="21"/>
                <w:szCs w:val="21"/>
                <w:lang w:val="en-US" w:eastAsia="zh-CN" w:bidi="ar-SA"/>
              </w:rPr>
              <w:t>t/a</w:t>
            </w:r>
          </w:p>
        </w:tc>
        <w:tc>
          <w:tcPr>
            <w:tcW w:w="1195" w:type="dxa"/>
            <w:noWrap w:val="0"/>
            <w:vAlign w:val="center"/>
          </w:tcPr>
          <w:p w14:paraId="372659FA">
            <w:pPr>
              <w:pStyle w:val="53"/>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hAnsi="Times New Roman" w:eastAsia="宋体" w:cs="Times New Roman"/>
                <w:snapToGrid w:val="0"/>
                <w:color w:val="auto"/>
                <w:kern w:val="21"/>
                <w:sz w:val="21"/>
                <w:szCs w:val="21"/>
                <w:lang w:val="en-US" w:eastAsia="zh-CN" w:bidi="ar-SA"/>
              </w:rPr>
              <w:t>+0.91</w:t>
            </w:r>
            <w:r>
              <w:rPr>
                <w:rFonts w:hint="default" w:ascii="Times New Roman" w:hAnsi="Times New Roman" w:eastAsia="宋体" w:cs="Times New Roman"/>
                <w:snapToGrid w:val="0"/>
                <w:color w:val="auto"/>
                <w:kern w:val="21"/>
                <w:sz w:val="21"/>
                <w:szCs w:val="21"/>
                <w:lang w:val="en-US" w:eastAsia="zh-CN" w:bidi="ar-SA"/>
              </w:rPr>
              <w:t>t/a</w:t>
            </w:r>
          </w:p>
        </w:tc>
      </w:tr>
      <w:tr w14:paraId="054BFDD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188" w:type="dxa"/>
            <w:vMerge w:val="continue"/>
            <w:noWrap w:val="0"/>
            <w:vAlign w:val="center"/>
          </w:tcPr>
          <w:p w14:paraId="2968B04B">
            <w:pPr>
              <w:pStyle w:val="53"/>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rPr>
            </w:pPr>
          </w:p>
        </w:tc>
        <w:tc>
          <w:tcPr>
            <w:tcW w:w="1953" w:type="dxa"/>
            <w:noWrap w:val="0"/>
            <w:vAlign w:val="center"/>
          </w:tcPr>
          <w:p w14:paraId="77C1C3CE">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val="0"/>
                <w:color w:val="auto"/>
                <w:sz w:val="21"/>
                <w:szCs w:val="21"/>
                <w:lang w:val="en-US" w:eastAsia="zh-CN"/>
              </w:rPr>
            </w:pPr>
            <w:r>
              <w:rPr>
                <w:rFonts w:hint="eastAsia" w:cs="Times New Roman"/>
                <w:b w:val="0"/>
                <w:bCs w:val="0"/>
                <w:color w:val="auto"/>
                <w:sz w:val="21"/>
                <w:szCs w:val="21"/>
                <w:lang w:val="en-US" w:eastAsia="zh-CN"/>
              </w:rPr>
              <w:t>废包装膜</w:t>
            </w:r>
          </w:p>
        </w:tc>
        <w:tc>
          <w:tcPr>
            <w:tcW w:w="1500" w:type="dxa"/>
            <w:noWrap w:val="0"/>
            <w:vAlign w:val="center"/>
          </w:tcPr>
          <w:p w14:paraId="44A09650">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259" w:type="dxa"/>
            <w:shd w:val="clear" w:color="auto" w:fill="auto"/>
            <w:noWrap w:val="0"/>
            <w:vAlign w:val="center"/>
          </w:tcPr>
          <w:p w14:paraId="3CC8730C">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w:t>
            </w:r>
          </w:p>
        </w:tc>
        <w:tc>
          <w:tcPr>
            <w:tcW w:w="1677" w:type="dxa"/>
            <w:noWrap w:val="0"/>
            <w:vAlign w:val="center"/>
          </w:tcPr>
          <w:p w14:paraId="59167F4F">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1537" w:type="dxa"/>
            <w:noWrap w:val="0"/>
            <w:vAlign w:val="center"/>
          </w:tcPr>
          <w:p w14:paraId="1A623611">
            <w:pPr>
              <w:pStyle w:val="53"/>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Times New Roman" w:hAnsi="Times New Roman" w:eastAsia="宋体" w:cs="Times New Roman"/>
                <w:snapToGrid w:val="0"/>
                <w:color w:val="auto"/>
                <w:kern w:val="21"/>
                <w:sz w:val="21"/>
                <w:szCs w:val="21"/>
                <w:lang w:val="en-US" w:eastAsia="zh-CN" w:bidi="ar-SA"/>
              </w:rPr>
            </w:pPr>
            <w:r>
              <w:rPr>
                <w:rFonts w:hint="eastAsia" w:ascii="Times New Roman" w:hAnsi="Times New Roman" w:eastAsia="宋体" w:cs="Times New Roman"/>
                <w:snapToGrid w:val="0"/>
                <w:color w:val="auto"/>
                <w:kern w:val="21"/>
                <w:sz w:val="21"/>
                <w:szCs w:val="21"/>
                <w:lang w:val="en-US" w:eastAsia="zh-CN" w:bidi="ar-SA"/>
              </w:rPr>
              <w:t>0.0</w:t>
            </w:r>
            <w:r>
              <w:rPr>
                <w:rFonts w:hint="eastAsia" w:ascii="Times New Roman" w:cs="Times New Roman"/>
                <w:snapToGrid w:val="0"/>
                <w:color w:val="auto"/>
                <w:kern w:val="21"/>
                <w:sz w:val="21"/>
                <w:szCs w:val="21"/>
                <w:lang w:val="en-US" w:eastAsia="zh-CN" w:bidi="ar-SA"/>
              </w:rPr>
              <w:t>03</w:t>
            </w:r>
            <w:r>
              <w:rPr>
                <w:rFonts w:hint="eastAsia" w:ascii="Times New Roman" w:hAnsi="Times New Roman" w:eastAsia="宋体" w:cs="Times New Roman"/>
                <w:snapToGrid w:val="0"/>
                <w:color w:val="auto"/>
                <w:kern w:val="21"/>
                <w:sz w:val="21"/>
                <w:szCs w:val="21"/>
                <w:lang w:val="en-US" w:eastAsia="zh-CN" w:bidi="ar-SA"/>
              </w:rPr>
              <w:t>t/a</w:t>
            </w:r>
          </w:p>
        </w:tc>
        <w:tc>
          <w:tcPr>
            <w:tcW w:w="1736" w:type="dxa"/>
            <w:noWrap w:val="0"/>
            <w:vAlign w:val="center"/>
          </w:tcPr>
          <w:p w14:paraId="69A0A89D">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color w:val="auto"/>
                <w:kern w:val="21"/>
                <w:sz w:val="21"/>
                <w:szCs w:val="21"/>
                <w:lang w:val="en-US" w:eastAsia="zh-CN" w:bidi="ar-SA"/>
              </w:rPr>
            </w:pPr>
            <w:r>
              <w:rPr>
                <w:rFonts w:hint="eastAsia" w:ascii="Times New Roman" w:hAnsi="Times New Roman" w:eastAsia="宋体" w:cs="Times New Roman"/>
                <w:snapToGrid w:val="0"/>
                <w:color w:val="auto"/>
                <w:kern w:val="21"/>
                <w:sz w:val="21"/>
                <w:szCs w:val="21"/>
                <w:lang w:val="en-US" w:eastAsia="zh-CN" w:bidi="ar-SA"/>
              </w:rPr>
              <w:t>/</w:t>
            </w:r>
          </w:p>
        </w:tc>
        <w:tc>
          <w:tcPr>
            <w:tcW w:w="1550" w:type="dxa"/>
            <w:noWrap w:val="0"/>
            <w:vAlign w:val="center"/>
          </w:tcPr>
          <w:p w14:paraId="765E9D47">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color w:val="auto"/>
                <w:kern w:val="21"/>
                <w:sz w:val="21"/>
                <w:szCs w:val="21"/>
                <w:lang w:val="en-US" w:eastAsia="zh-CN" w:bidi="ar-SA"/>
              </w:rPr>
            </w:pPr>
            <w:r>
              <w:rPr>
                <w:rFonts w:hint="eastAsia" w:ascii="Times New Roman" w:hAnsi="Times New Roman" w:eastAsia="宋体" w:cs="Times New Roman"/>
                <w:snapToGrid w:val="0"/>
                <w:color w:val="auto"/>
                <w:kern w:val="21"/>
                <w:sz w:val="21"/>
                <w:szCs w:val="21"/>
                <w:lang w:val="en-US" w:eastAsia="zh-CN" w:bidi="ar-SA"/>
              </w:rPr>
              <w:t>0.0</w:t>
            </w:r>
            <w:r>
              <w:rPr>
                <w:rFonts w:hint="eastAsia" w:cs="Times New Roman"/>
                <w:snapToGrid w:val="0"/>
                <w:color w:val="auto"/>
                <w:kern w:val="21"/>
                <w:sz w:val="21"/>
                <w:szCs w:val="21"/>
                <w:lang w:val="en-US" w:eastAsia="zh-CN" w:bidi="ar-SA"/>
              </w:rPr>
              <w:t>03</w:t>
            </w:r>
            <w:r>
              <w:rPr>
                <w:rFonts w:hint="eastAsia" w:ascii="Times New Roman" w:hAnsi="Times New Roman" w:eastAsia="宋体" w:cs="Times New Roman"/>
                <w:snapToGrid w:val="0"/>
                <w:color w:val="auto"/>
                <w:kern w:val="21"/>
                <w:sz w:val="21"/>
                <w:szCs w:val="21"/>
                <w:lang w:val="en-US" w:eastAsia="zh-CN" w:bidi="ar-SA"/>
              </w:rPr>
              <w:t>t/a</w:t>
            </w:r>
          </w:p>
        </w:tc>
        <w:tc>
          <w:tcPr>
            <w:tcW w:w="1195" w:type="dxa"/>
            <w:noWrap w:val="0"/>
            <w:vAlign w:val="center"/>
          </w:tcPr>
          <w:p w14:paraId="526915F9">
            <w:pPr>
              <w:pStyle w:val="53"/>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Times New Roman" w:hAnsi="Times New Roman" w:eastAsia="宋体" w:cs="Times New Roman"/>
                <w:snapToGrid w:val="0"/>
                <w:color w:val="auto"/>
                <w:kern w:val="21"/>
                <w:sz w:val="21"/>
                <w:szCs w:val="21"/>
                <w:lang w:val="en-US" w:eastAsia="zh-CN" w:bidi="ar-SA"/>
              </w:rPr>
            </w:pPr>
            <w:r>
              <w:rPr>
                <w:rFonts w:hint="eastAsia" w:ascii="Times New Roman" w:hAnsi="Times New Roman" w:eastAsia="宋体" w:cs="Times New Roman"/>
                <w:snapToGrid w:val="0"/>
                <w:color w:val="auto"/>
                <w:kern w:val="21"/>
                <w:sz w:val="21"/>
                <w:szCs w:val="21"/>
                <w:lang w:val="en-US" w:eastAsia="zh-CN" w:bidi="ar-SA"/>
              </w:rPr>
              <w:t>+0.0</w:t>
            </w:r>
            <w:r>
              <w:rPr>
                <w:rFonts w:hint="eastAsia" w:ascii="Times New Roman" w:cs="Times New Roman"/>
                <w:snapToGrid w:val="0"/>
                <w:color w:val="auto"/>
                <w:kern w:val="21"/>
                <w:sz w:val="21"/>
                <w:szCs w:val="21"/>
                <w:lang w:val="en-US" w:eastAsia="zh-CN" w:bidi="ar-SA"/>
              </w:rPr>
              <w:t>03</w:t>
            </w:r>
            <w:r>
              <w:rPr>
                <w:rFonts w:hint="eastAsia" w:ascii="Times New Roman" w:hAnsi="Times New Roman" w:eastAsia="宋体" w:cs="Times New Roman"/>
                <w:snapToGrid w:val="0"/>
                <w:color w:val="auto"/>
                <w:kern w:val="21"/>
                <w:sz w:val="21"/>
                <w:szCs w:val="21"/>
                <w:lang w:val="en-US" w:eastAsia="zh-CN" w:bidi="ar-SA"/>
              </w:rPr>
              <w:t>t/a</w:t>
            </w:r>
          </w:p>
        </w:tc>
      </w:tr>
      <w:tr w14:paraId="166EFD5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1188" w:type="dxa"/>
            <w:vMerge w:val="continue"/>
            <w:noWrap w:val="0"/>
            <w:vAlign w:val="center"/>
          </w:tcPr>
          <w:p w14:paraId="58A8630F">
            <w:pPr>
              <w:pStyle w:val="53"/>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rPr>
            </w:pPr>
          </w:p>
        </w:tc>
        <w:tc>
          <w:tcPr>
            <w:tcW w:w="1953" w:type="dxa"/>
            <w:noWrap w:val="0"/>
            <w:vAlign w:val="center"/>
          </w:tcPr>
          <w:p w14:paraId="28719D98">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b w:val="0"/>
                <w:bCs w:val="0"/>
                <w:color w:val="auto"/>
                <w:sz w:val="21"/>
                <w:szCs w:val="21"/>
                <w:lang w:eastAsia="zh-CN"/>
              </w:rPr>
              <w:t>生活垃圾</w:t>
            </w:r>
          </w:p>
        </w:tc>
        <w:tc>
          <w:tcPr>
            <w:tcW w:w="1500" w:type="dxa"/>
            <w:noWrap w:val="0"/>
            <w:vAlign w:val="center"/>
          </w:tcPr>
          <w:p w14:paraId="523729B3">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w:t>
            </w:r>
          </w:p>
        </w:tc>
        <w:tc>
          <w:tcPr>
            <w:tcW w:w="1259" w:type="dxa"/>
            <w:shd w:val="clear" w:color="auto" w:fill="auto"/>
            <w:noWrap w:val="0"/>
            <w:vAlign w:val="center"/>
          </w:tcPr>
          <w:p w14:paraId="6FD4EFDB">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bidi="ar-SA"/>
              </w:rPr>
            </w:pPr>
            <w:r>
              <w:rPr>
                <w:rFonts w:hint="eastAsia" w:ascii="Times New Roman" w:hAnsi="Times New Roman" w:eastAsia="宋体" w:cs="Times New Roman"/>
                <w:b w:val="0"/>
                <w:bCs/>
                <w:color w:val="auto"/>
                <w:sz w:val="21"/>
                <w:szCs w:val="21"/>
                <w:u w:val="none"/>
                <w:lang w:val="en-US" w:eastAsia="zh-CN"/>
              </w:rPr>
              <w:t>/</w:t>
            </w:r>
          </w:p>
        </w:tc>
        <w:tc>
          <w:tcPr>
            <w:tcW w:w="1677" w:type="dxa"/>
            <w:noWrap w:val="0"/>
            <w:vAlign w:val="center"/>
          </w:tcPr>
          <w:p w14:paraId="35275937">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w:t>
            </w:r>
          </w:p>
        </w:tc>
        <w:tc>
          <w:tcPr>
            <w:tcW w:w="1537" w:type="dxa"/>
            <w:noWrap w:val="0"/>
            <w:vAlign w:val="center"/>
          </w:tcPr>
          <w:p w14:paraId="3BB56DFE">
            <w:pPr>
              <w:pStyle w:val="53"/>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b w:val="0"/>
                <w:bCs/>
                <w:color w:val="auto"/>
                <w:sz w:val="21"/>
                <w:szCs w:val="21"/>
                <w:u w:val="none"/>
                <w:lang w:val="en-US" w:eastAsia="zh-CN"/>
              </w:rPr>
            </w:pPr>
            <w:r>
              <w:rPr>
                <w:rFonts w:hint="eastAsia" w:ascii="Times New Roman" w:hAnsi="Times New Roman" w:eastAsia="宋体" w:cs="Times New Roman"/>
                <w:b w:val="0"/>
                <w:bCs/>
                <w:color w:val="auto"/>
                <w:sz w:val="21"/>
                <w:szCs w:val="21"/>
                <w:u w:val="none"/>
                <w:lang w:val="en-US" w:eastAsia="zh-CN"/>
              </w:rPr>
              <w:t>5.2t/a</w:t>
            </w:r>
          </w:p>
        </w:tc>
        <w:tc>
          <w:tcPr>
            <w:tcW w:w="1736" w:type="dxa"/>
            <w:noWrap w:val="0"/>
            <w:vAlign w:val="center"/>
          </w:tcPr>
          <w:p w14:paraId="24764195">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w:t>
            </w:r>
          </w:p>
        </w:tc>
        <w:tc>
          <w:tcPr>
            <w:tcW w:w="1550" w:type="dxa"/>
            <w:noWrap w:val="0"/>
            <w:vAlign w:val="center"/>
          </w:tcPr>
          <w:p w14:paraId="72D6A4FF">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b w:val="0"/>
                <w:bCs/>
                <w:color w:val="auto"/>
                <w:sz w:val="21"/>
                <w:szCs w:val="21"/>
                <w:u w:val="none"/>
                <w:lang w:val="en-US" w:eastAsia="zh-CN"/>
              </w:rPr>
            </w:pPr>
            <w:r>
              <w:rPr>
                <w:rFonts w:hint="eastAsia" w:ascii="Times New Roman" w:hAnsi="Times New Roman" w:eastAsia="宋体" w:cs="Times New Roman"/>
                <w:b w:val="0"/>
                <w:bCs/>
                <w:color w:val="auto"/>
                <w:sz w:val="21"/>
                <w:szCs w:val="21"/>
                <w:u w:val="none"/>
                <w:lang w:val="en-US" w:eastAsia="zh-CN"/>
              </w:rPr>
              <w:t>5.2t/a</w:t>
            </w:r>
          </w:p>
        </w:tc>
        <w:tc>
          <w:tcPr>
            <w:tcW w:w="1195" w:type="dxa"/>
            <w:noWrap w:val="0"/>
            <w:vAlign w:val="center"/>
          </w:tcPr>
          <w:p w14:paraId="1A38F57F">
            <w:pPr>
              <w:pStyle w:val="53"/>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default" w:ascii="Times New Roman" w:hAnsi="Times New Roman" w:eastAsia="宋体" w:cs="Times New Roman"/>
                <w:b w:val="0"/>
                <w:bCs/>
                <w:color w:val="auto"/>
                <w:sz w:val="21"/>
                <w:szCs w:val="21"/>
                <w:u w:val="none"/>
                <w:lang w:val="en-US" w:eastAsia="zh-CN"/>
              </w:rPr>
            </w:pPr>
            <w:r>
              <w:rPr>
                <w:rFonts w:hint="eastAsia" w:ascii="Times New Roman" w:hAnsi="Times New Roman" w:eastAsia="宋体" w:cs="Times New Roman"/>
                <w:b w:val="0"/>
                <w:bCs/>
                <w:color w:val="auto"/>
                <w:sz w:val="21"/>
                <w:szCs w:val="21"/>
                <w:u w:val="none"/>
                <w:lang w:val="en-US" w:eastAsia="zh-CN"/>
              </w:rPr>
              <w:t>+5.2t/a</w:t>
            </w:r>
          </w:p>
        </w:tc>
      </w:tr>
      <w:tr w14:paraId="0119ADD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188" w:type="dxa"/>
            <w:noWrap w:val="0"/>
            <w:vAlign w:val="center"/>
          </w:tcPr>
          <w:p w14:paraId="6206D6CB">
            <w:pPr>
              <w:pStyle w:val="53"/>
              <w:spacing w:beforeLines="0" w:afterLines="0" w:line="240" w:lineRule="auto"/>
              <w:ind w:firstLine="0" w:firstLineChars="0"/>
              <w:jc w:val="center"/>
              <w:rPr>
                <w:rFonts w:hint="default" w:ascii="Times New Roman" w:hAnsi="Times New Roman" w:eastAsia="宋体" w:cs="Times New Roman"/>
                <w:snapToGrid w:val="0"/>
                <w:color w:val="auto"/>
                <w:kern w:val="21"/>
                <w:sz w:val="21"/>
                <w:szCs w:val="21"/>
                <w:lang w:eastAsia="zh-CN"/>
              </w:rPr>
            </w:pPr>
            <w:r>
              <w:rPr>
                <w:rFonts w:hint="default" w:ascii="Times New Roman" w:hAnsi="Times New Roman" w:eastAsia="宋体" w:cs="Times New Roman"/>
                <w:snapToGrid w:val="0"/>
                <w:color w:val="auto"/>
                <w:kern w:val="21"/>
                <w:sz w:val="21"/>
                <w:szCs w:val="21"/>
                <w:lang w:eastAsia="zh-CN"/>
              </w:rPr>
              <w:t>危险废物</w:t>
            </w:r>
          </w:p>
        </w:tc>
        <w:tc>
          <w:tcPr>
            <w:tcW w:w="1953" w:type="dxa"/>
            <w:noWrap w:val="0"/>
            <w:vAlign w:val="center"/>
          </w:tcPr>
          <w:p w14:paraId="6907F99E">
            <w:pPr>
              <w:keepNext w:val="0"/>
              <w:keepLines w:val="0"/>
              <w:pageBreakBefore w:val="0"/>
              <w:kinsoku/>
              <w:wordWrap/>
              <w:overflowPunct/>
              <w:topLinePunct w:val="0"/>
              <w:autoSpaceDE/>
              <w:autoSpaceDN/>
              <w:bidi w:val="0"/>
              <w:spacing w:line="240" w:lineRule="auto"/>
              <w:ind w:firstLine="0" w:firstLineChars="0"/>
              <w:jc w:val="center"/>
              <w:textAlignment w:val="auto"/>
              <w:rPr>
                <w:rFonts w:hint="eastAsia" w:ascii="Times New Roman" w:hAnsi="Times New Roman" w:eastAsia="宋体" w:cs="Times New Roman"/>
                <w:b w:val="0"/>
                <w:bCs w:val="0"/>
                <w:color w:val="auto"/>
                <w:sz w:val="21"/>
                <w:szCs w:val="21"/>
                <w:lang w:eastAsia="zh-CN"/>
              </w:rPr>
            </w:pPr>
            <w:r>
              <w:rPr>
                <w:rFonts w:hint="eastAsia" w:ascii="Times New Roman" w:hAnsi="Times New Roman" w:eastAsia="宋体" w:cs="Times New Roman"/>
                <w:b w:val="0"/>
                <w:bCs w:val="0"/>
                <w:color w:val="auto"/>
                <w:sz w:val="21"/>
                <w:szCs w:val="21"/>
                <w:lang w:eastAsia="zh-CN"/>
              </w:rPr>
              <w:t>废切削液</w:t>
            </w:r>
          </w:p>
        </w:tc>
        <w:tc>
          <w:tcPr>
            <w:tcW w:w="1500" w:type="dxa"/>
            <w:noWrap w:val="0"/>
            <w:vAlign w:val="center"/>
          </w:tcPr>
          <w:p w14:paraId="31E1BDBD">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1259" w:type="dxa"/>
            <w:shd w:val="clear" w:color="auto" w:fill="auto"/>
            <w:noWrap w:val="0"/>
            <w:vAlign w:val="center"/>
          </w:tcPr>
          <w:p w14:paraId="67DC937F">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1677" w:type="dxa"/>
            <w:noWrap w:val="0"/>
            <w:vAlign w:val="center"/>
          </w:tcPr>
          <w:p w14:paraId="45920D5A">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rPr>
            </w:pPr>
          </w:p>
        </w:tc>
        <w:tc>
          <w:tcPr>
            <w:tcW w:w="1537" w:type="dxa"/>
            <w:noWrap w:val="0"/>
            <w:vAlign w:val="center"/>
          </w:tcPr>
          <w:p w14:paraId="3021450C">
            <w:pPr>
              <w:pStyle w:val="53"/>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Times New Roman" w:hAnsi="Times New Roman" w:eastAsia="宋体" w:cs="Times New Roman"/>
                <w:b w:val="0"/>
                <w:bCs w:val="0"/>
                <w:snapToGrid w:val="0"/>
                <w:color w:val="auto"/>
                <w:spacing w:val="0"/>
                <w:position w:val="0"/>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0.</w:t>
            </w:r>
            <w:r>
              <w:rPr>
                <w:rFonts w:hint="eastAsia" w:ascii="Times New Roman" w:cs="Times New Roman"/>
                <w:snapToGrid w:val="0"/>
                <w:color w:val="auto"/>
                <w:kern w:val="21"/>
                <w:sz w:val="21"/>
                <w:szCs w:val="21"/>
                <w:lang w:val="en-US" w:eastAsia="zh-CN"/>
              </w:rPr>
              <w:t>0</w:t>
            </w:r>
            <w:r>
              <w:rPr>
                <w:rFonts w:hint="eastAsia" w:ascii="Times New Roman" w:hAnsi="Times New Roman" w:eastAsia="宋体" w:cs="Times New Roman"/>
                <w:snapToGrid w:val="0"/>
                <w:color w:val="auto"/>
                <w:kern w:val="21"/>
                <w:sz w:val="21"/>
                <w:szCs w:val="21"/>
                <w:lang w:val="en-US" w:eastAsia="zh-CN"/>
              </w:rPr>
              <w:t>5t/a</w:t>
            </w:r>
          </w:p>
        </w:tc>
        <w:tc>
          <w:tcPr>
            <w:tcW w:w="1736" w:type="dxa"/>
            <w:noWrap w:val="0"/>
            <w:vAlign w:val="center"/>
          </w:tcPr>
          <w:p w14:paraId="4612C2C2">
            <w:pPr>
              <w:keepNext w:val="0"/>
              <w:keepLines w:val="0"/>
              <w:pageBreakBefore w:val="0"/>
              <w:kinsoku/>
              <w:wordWrap/>
              <w:overflowPunct/>
              <w:topLinePunct w:val="0"/>
              <w:autoSpaceDE/>
              <w:autoSpaceDN/>
              <w:bidi w:val="0"/>
              <w:spacing w:line="240" w:lineRule="auto"/>
              <w:ind w:firstLine="0" w:firstLineChars="0"/>
              <w:jc w:val="center"/>
              <w:textAlignment w:val="auto"/>
              <w:rPr>
                <w:rFonts w:hint="default" w:ascii="Times New Roman" w:hAnsi="Times New Roman" w:eastAsia="宋体" w:cs="Times New Roman"/>
                <w:snapToGrid w:val="0"/>
                <w:color w:val="auto"/>
                <w:kern w:val="21"/>
                <w:sz w:val="21"/>
                <w:szCs w:val="21"/>
                <w:lang w:val="en-US" w:eastAsia="zh-CN"/>
              </w:rPr>
            </w:pPr>
            <w:r>
              <w:rPr>
                <w:rFonts w:hint="eastAsia" w:cs="Times New Roman"/>
                <w:snapToGrid w:val="0"/>
                <w:color w:val="auto"/>
                <w:kern w:val="21"/>
                <w:sz w:val="21"/>
                <w:szCs w:val="21"/>
                <w:lang w:val="en-US" w:eastAsia="zh-CN"/>
              </w:rPr>
              <w:t>/</w:t>
            </w:r>
          </w:p>
        </w:tc>
        <w:tc>
          <w:tcPr>
            <w:tcW w:w="1550" w:type="dxa"/>
            <w:noWrap w:val="0"/>
            <w:vAlign w:val="center"/>
          </w:tcPr>
          <w:p w14:paraId="6872B8BE">
            <w:pPr>
              <w:pStyle w:val="53"/>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Times New Roman" w:hAnsi="Times New Roman" w:eastAsia="宋体" w:cs="Times New Roman"/>
                <w:b w:val="0"/>
                <w:bCs w:val="0"/>
                <w:snapToGrid w:val="0"/>
                <w:color w:val="auto"/>
                <w:spacing w:val="0"/>
                <w:position w:val="0"/>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0.</w:t>
            </w:r>
            <w:r>
              <w:rPr>
                <w:rFonts w:hint="eastAsia" w:ascii="Times New Roman" w:cs="Times New Roman"/>
                <w:snapToGrid w:val="0"/>
                <w:color w:val="auto"/>
                <w:kern w:val="21"/>
                <w:sz w:val="21"/>
                <w:szCs w:val="21"/>
                <w:lang w:val="en-US" w:eastAsia="zh-CN"/>
              </w:rPr>
              <w:t>0</w:t>
            </w:r>
            <w:r>
              <w:rPr>
                <w:rFonts w:hint="eastAsia" w:ascii="Times New Roman" w:hAnsi="Times New Roman" w:eastAsia="宋体" w:cs="Times New Roman"/>
                <w:snapToGrid w:val="0"/>
                <w:color w:val="auto"/>
                <w:kern w:val="21"/>
                <w:sz w:val="21"/>
                <w:szCs w:val="21"/>
                <w:lang w:val="en-US" w:eastAsia="zh-CN"/>
              </w:rPr>
              <w:t>5t/a</w:t>
            </w:r>
          </w:p>
        </w:tc>
        <w:tc>
          <w:tcPr>
            <w:tcW w:w="1195" w:type="dxa"/>
            <w:noWrap w:val="0"/>
            <w:vAlign w:val="center"/>
          </w:tcPr>
          <w:p w14:paraId="410CEE26">
            <w:pPr>
              <w:pStyle w:val="53"/>
              <w:keepNext w:val="0"/>
              <w:keepLines w:val="0"/>
              <w:pageBreakBefore w:val="0"/>
              <w:kinsoku/>
              <w:wordWrap/>
              <w:overflowPunct/>
              <w:topLinePunct w:val="0"/>
              <w:autoSpaceDE/>
              <w:autoSpaceDN/>
              <w:bidi w:val="0"/>
              <w:spacing w:beforeLines="0" w:afterLines="0" w:line="240" w:lineRule="auto"/>
              <w:ind w:firstLine="0" w:firstLineChars="0"/>
              <w:jc w:val="center"/>
              <w:textAlignment w:val="auto"/>
              <w:rPr>
                <w:rFonts w:hint="eastAsia" w:ascii="Times New Roman" w:hAnsi="Times New Roman" w:eastAsia="宋体" w:cs="Times New Roman"/>
                <w:b w:val="0"/>
                <w:bCs w:val="0"/>
                <w:snapToGrid w:val="0"/>
                <w:color w:val="auto"/>
                <w:spacing w:val="0"/>
                <w:position w:val="0"/>
                <w:sz w:val="21"/>
                <w:szCs w:val="21"/>
                <w:lang w:val="en-US" w:eastAsia="zh-CN"/>
              </w:rPr>
            </w:pPr>
            <w:r>
              <w:rPr>
                <w:rFonts w:hint="eastAsia" w:ascii="Times New Roman" w:hAnsi="Times New Roman" w:eastAsia="宋体" w:cs="Times New Roman"/>
                <w:snapToGrid w:val="0"/>
                <w:color w:val="auto"/>
                <w:kern w:val="21"/>
                <w:sz w:val="21"/>
                <w:szCs w:val="21"/>
                <w:lang w:val="en-US" w:eastAsia="zh-CN"/>
              </w:rPr>
              <w:t>+0.0</w:t>
            </w:r>
            <w:r>
              <w:rPr>
                <w:rFonts w:hint="eastAsia" w:ascii="Times New Roman" w:cs="Times New Roman"/>
                <w:snapToGrid w:val="0"/>
                <w:color w:val="auto"/>
                <w:kern w:val="21"/>
                <w:sz w:val="21"/>
                <w:szCs w:val="21"/>
                <w:lang w:val="en-US" w:eastAsia="zh-CN"/>
              </w:rPr>
              <w:t>5</w:t>
            </w:r>
            <w:r>
              <w:rPr>
                <w:rFonts w:hint="eastAsia" w:ascii="Times New Roman" w:hAnsi="Times New Roman" w:eastAsia="宋体" w:cs="Times New Roman"/>
                <w:snapToGrid w:val="0"/>
                <w:color w:val="auto"/>
                <w:kern w:val="21"/>
                <w:sz w:val="21"/>
                <w:szCs w:val="21"/>
                <w:lang w:val="en-US" w:eastAsia="zh-CN"/>
              </w:rPr>
              <w:t>t/a</w:t>
            </w:r>
          </w:p>
        </w:tc>
      </w:tr>
    </w:tbl>
    <w:p w14:paraId="59FC41A0">
      <w:pPr>
        <w:pStyle w:val="53"/>
        <w:spacing w:before="192" w:beforeLines="80" w:after="24"/>
        <w:ind w:firstLine="480"/>
        <w:jc w:val="left"/>
        <w:rPr>
          <w:rFonts w:hint="default" w:ascii="Times New Roman" w:hAnsi="Times New Roman" w:cs="Times New Roman"/>
          <w:snapToGrid w:val="0"/>
          <w:color w:val="000000"/>
          <w:spacing w:val="-16"/>
          <w:kern w:val="21"/>
          <w:szCs w:val="21"/>
        </w:rPr>
        <w:sectPr>
          <w:footerReference r:id="rId8" w:type="default"/>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default" w:ascii="Times New Roman" w:hAnsi="Times New Roman" w:cs="Times New Roman"/>
          <w:snapToGrid w:val="0"/>
          <w:color w:val="000000"/>
          <w:kern w:val="21"/>
          <w:szCs w:val="21"/>
        </w:rPr>
        <w:t>注：</w:t>
      </w:r>
      <w:r>
        <w:rPr>
          <w:rFonts w:hint="default" w:ascii="Times New Roman" w:hAnsi="Times New Roman" w:cs="Times New Roman"/>
          <w:snapToGrid w:val="0"/>
          <w:color w:val="000000"/>
          <w:spacing w:val="-16"/>
          <w:kern w:val="21"/>
          <w:szCs w:val="21"/>
        </w:rPr>
        <w:fldChar w:fldCharType="begin"/>
      </w:r>
      <w:r>
        <w:rPr>
          <w:rFonts w:hint="default" w:ascii="Times New Roman" w:hAnsi="Times New Roman" w:cs="Times New Roman"/>
          <w:snapToGrid w:val="0"/>
          <w:color w:val="000000"/>
          <w:spacing w:val="-16"/>
          <w:kern w:val="21"/>
          <w:szCs w:val="21"/>
        </w:rPr>
        <w:instrText xml:space="preserve"> = 6 \* GB3 \* MERGEFORMAT </w:instrText>
      </w:r>
      <w:r>
        <w:rPr>
          <w:rFonts w:hint="default" w:ascii="Times New Roman" w:hAnsi="Times New Roman" w:cs="Times New Roman"/>
          <w:snapToGrid w:val="0"/>
          <w:color w:val="000000"/>
          <w:spacing w:val="-16"/>
          <w:kern w:val="21"/>
          <w:szCs w:val="21"/>
        </w:rPr>
        <w:fldChar w:fldCharType="separate"/>
      </w:r>
      <w:r>
        <w:rPr>
          <w:rFonts w:hint="default" w:ascii="Times New Roman" w:hAnsi="Times New Roman" w:cs="Times New Roman"/>
          <w:szCs w:val="21"/>
        </w:rPr>
        <w:t>⑥</w:t>
      </w:r>
      <w:r>
        <w:rPr>
          <w:rFonts w:hint="default" w:ascii="Times New Roman" w:hAnsi="Times New Roman" w:cs="Times New Roman"/>
          <w:snapToGrid w:val="0"/>
          <w:color w:val="000000"/>
          <w:spacing w:val="-16"/>
          <w:kern w:val="21"/>
          <w:szCs w:val="21"/>
        </w:rPr>
        <w:fldChar w:fldCharType="end"/>
      </w:r>
      <w:r>
        <w:rPr>
          <w:rFonts w:hint="default" w:ascii="Times New Roman" w:hAnsi="Times New Roman" w:cs="Times New Roman"/>
          <w:snapToGrid w:val="0"/>
          <w:color w:val="000000"/>
          <w:spacing w:val="-16"/>
          <w:kern w:val="21"/>
          <w:szCs w:val="21"/>
        </w:rPr>
        <w:t>=</w:t>
      </w:r>
      <w:r>
        <w:rPr>
          <w:rFonts w:hint="default" w:ascii="Times New Roman" w:hAnsi="Times New Roman" w:cs="Times New Roman"/>
          <w:snapToGrid w:val="0"/>
          <w:color w:val="000000"/>
          <w:spacing w:val="-6"/>
          <w:kern w:val="21"/>
          <w:szCs w:val="21"/>
        </w:rPr>
        <w:fldChar w:fldCharType="begin"/>
      </w:r>
      <w:r>
        <w:rPr>
          <w:rFonts w:hint="default" w:ascii="Times New Roman" w:hAnsi="Times New Roman" w:cs="Times New Roman"/>
          <w:snapToGrid w:val="0"/>
          <w:color w:val="000000"/>
          <w:spacing w:val="-6"/>
          <w:kern w:val="21"/>
          <w:szCs w:val="21"/>
        </w:rPr>
        <w:instrText xml:space="preserve"> = 1 \* GB3 \* MERGEFORMAT </w:instrText>
      </w:r>
      <w:r>
        <w:rPr>
          <w:rFonts w:hint="default" w:ascii="Times New Roman" w:hAnsi="Times New Roman" w:cs="Times New Roman"/>
          <w:snapToGrid w:val="0"/>
          <w:color w:val="000000"/>
          <w:spacing w:val="-6"/>
          <w:kern w:val="21"/>
          <w:szCs w:val="21"/>
        </w:rPr>
        <w:fldChar w:fldCharType="separate"/>
      </w:r>
      <w:r>
        <w:rPr>
          <w:rFonts w:hint="default" w:ascii="Times New Roman" w:hAnsi="Times New Roman" w:cs="Times New Roman"/>
          <w:szCs w:val="21"/>
        </w:rPr>
        <w:t>①</w:t>
      </w:r>
      <w:r>
        <w:rPr>
          <w:rFonts w:hint="default" w:ascii="Times New Roman" w:hAnsi="Times New Roman" w:cs="Times New Roman"/>
          <w:snapToGrid w:val="0"/>
          <w:color w:val="000000"/>
          <w:spacing w:val="-6"/>
          <w:kern w:val="21"/>
          <w:szCs w:val="21"/>
        </w:rPr>
        <w:fldChar w:fldCharType="end"/>
      </w:r>
      <w:r>
        <w:rPr>
          <w:rFonts w:hint="default" w:ascii="Times New Roman" w:hAnsi="Times New Roman" w:cs="Times New Roman"/>
          <w:snapToGrid w:val="0"/>
          <w:color w:val="000000"/>
          <w:spacing w:val="-6"/>
          <w:kern w:val="21"/>
          <w:szCs w:val="21"/>
        </w:rPr>
        <w:t>+</w:t>
      </w:r>
      <w:r>
        <w:rPr>
          <w:rFonts w:hint="default" w:ascii="Times New Roman" w:hAnsi="Times New Roman" w:cs="Times New Roman"/>
          <w:snapToGrid w:val="0"/>
          <w:color w:val="000000"/>
          <w:spacing w:val="-6"/>
          <w:kern w:val="21"/>
          <w:szCs w:val="21"/>
        </w:rPr>
        <w:fldChar w:fldCharType="begin"/>
      </w:r>
      <w:r>
        <w:rPr>
          <w:rFonts w:hint="default" w:ascii="Times New Roman" w:hAnsi="Times New Roman" w:cs="Times New Roman"/>
          <w:snapToGrid w:val="0"/>
          <w:color w:val="000000"/>
          <w:spacing w:val="-6"/>
          <w:kern w:val="21"/>
          <w:szCs w:val="21"/>
        </w:rPr>
        <w:instrText xml:space="preserve"> = 3 \* GB3 \* MERGEFORMAT </w:instrText>
      </w:r>
      <w:r>
        <w:rPr>
          <w:rFonts w:hint="default" w:ascii="Times New Roman" w:hAnsi="Times New Roman" w:cs="Times New Roman"/>
          <w:snapToGrid w:val="0"/>
          <w:color w:val="000000"/>
          <w:spacing w:val="-6"/>
          <w:kern w:val="21"/>
          <w:szCs w:val="21"/>
        </w:rPr>
        <w:fldChar w:fldCharType="separate"/>
      </w:r>
      <w:r>
        <w:rPr>
          <w:rFonts w:hint="default" w:ascii="Times New Roman" w:hAnsi="Times New Roman" w:cs="Times New Roman"/>
          <w:szCs w:val="21"/>
        </w:rPr>
        <w:t>③</w:t>
      </w:r>
      <w:r>
        <w:rPr>
          <w:rFonts w:hint="default" w:ascii="Times New Roman" w:hAnsi="Times New Roman" w:cs="Times New Roman"/>
          <w:snapToGrid w:val="0"/>
          <w:color w:val="000000"/>
          <w:spacing w:val="-6"/>
          <w:kern w:val="21"/>
          <w:szCs w:val="21"/>
        </w:rPr>
        <w:fldChar w:fldCharType="end"/>
      </w:r>
      <w:r>
        <w:rPr>
          <w:rFonts w:hint="default" w:ascii="Times New Roman" w:hAnsi="Times New Roman" w:cs="Times New Roman"/>
          <w:snapToGrid w:val="0"/>
          <w:color w:val="000000"/>
          <w:spacing w:val="-6"/>
          <w:kern w:val="21"/>
          <w:szCs w:val="21"/>
        </w:rPr>
        <w:t>+</w:t>
      </w:r>
      <w:r>
        <w:rPr>
          <w:rFonts w:hint="default" w:ascii="Times New Roman" w:hAnsi="Times New Roman" w:cs="Times New Roman"/>
          <w:snapToGrid w:val="0"/>
          <w:color w:val="000000"/>
          <w:spacing w:val="-6"/>
          <w:kern w:val="21"/>
          <w:szCs w:val="21"/>
        </w:rPr>
        <w:fldChar w:fldCharType="begin"/>
      </w:r>
      <w:r>
        <w:rPr>
          <w:rFonts w:hint="default" w:ascii="Times New Roman" w:hAnsi="Times New Roman" w:cs="Times New Roman"/>
          <w:snapToGrid w:val="0"/>
          <w:color w:val="000000"/>
          <w:spacing w:val="-6"/>
          <w:kern w:val="21"/>
          <w:szCs w:val="21"/>
        </w:rPr>
        <w:instrText xml:space="preserve"> = 4 \* GB3 \* MERGEFORMAT </w:instrText>
      </w:r>
      <w:r>
        <w:rPr>
          <w:rFonts w:hint="default" w:ascii="Times New Roman" w:hAnsi="Times New Roman" w:cs="Times New Roman"/>
          <w:snapToGrid w:val="0"/>
          <w:color w:val="000000"/>
          <w:spacing w:val="-6"/>
          <w:kern w:val="21"/>
          <w:szCs w:val="21"/>
        </w:rPr>
        <w:fldChar w:fldCharType="separate"/>
      </w:r>
      <w:r>
        <w:rPr>
          <w:rFonts w:hint="default" w:ascii="Times New Roman" w:hAnsi="Times New Roman" w:cs="Times New Roman"/>
          <w:szCs w:val="21"/>
        </w:rPr>
        <w:t>④</w:t>
      </w:r>
      <w:r>
        <w:rPr>
          <w:rFonts w:hint="default" w:ascii="Times New Roman" w:hAnsi="Times New Roman" w:cs="Times New Roman"/>
          <w:snapToGrid w:val="0"/>
          <w:color w:val="000000"/>
          <w:spacing w:val="-6"/>
          <w:kern w:val="21"/>
          <w:szCs w:val="21"/>
        </w:rPr>
        <w:fldChar w:fldCharType="end"/>
      </w:r>
      <w:r>
        <w:rPr>
          <w:rFonts w:hint="default" w:ascii="Times New Roman" w:hAnsi="Times New Roman" w:cs="Times New Roman"/>
          <w:snapToGrid w:val="0"/>
          <w:color w:val="000000"/>
          <w:spacing w:val="-6"/>
          <w:kern w:val="21"/>
          <w:szCs w:val="21"/>
        </w:rPr>
        <w:t>-</w:t>
      </w:r>
      <w:r>
        <w:rPr>
          <w:rFonts w:hint="default" w:ascii="Times New Roman" w:hAnsi="Times New Roman" w:cs="Times New Roman"/>
          <w:snapToGrid w:val="0"/>
          <w:color w:val="000000"/>
          <w:spacing w:val="-16"/>
          <w:kern w:val="21"/>
          <w:szCs w:val="21"/>
        </w:rPr>
        <w:fldChar w:fldCharType="begin"/>
      </w:r>
      <w:r>
        <w:rPr>
          <w:rFonts w:hint="default" w:ascii="Times New Roman" w:hAnsi="Times New Roman" w:cs="Times New Roman"/>
          <w:snapToGrid w:val="0"/>
          <w:color w:val="000000"/>
          <w:spacing w:val="-16"/>
          <w:kern w:val="21"/>
          <w:szCs w:val="21"/>
        </w:rPr>
        <w:instrText xml:space="preserve"> = 5 \* GB3 \* MERGEFORMAT </w:instrText>
      </w:r>
      <w:r>
        <w:rPr>
          <w:rFonts w:hint="default" w:ascii="Times New Roman" w:hAnsi="Times New Roman" w:cs="Times New Roman"/>
          <w:snapToGrid w:val="0"/>
          <w:color w:val="000000"/>
          <w:spacing w:val="-16"/>
          <w:kern w:val="21"/>
          <w:szCs w:val="21"/>
        </w:rPr>
        <w:fldChar w:fldCharType="separate"/>
      </w:r>
      <w:r>
        <w:rPr>
          <w:rFonts w:hint="default" w:ascii="Times New Roman" w:hAnsi="Times New Roman" w:cs="Times New Roman"/>
          <w:szCs w:val="21"/>
        </w:rPr>
        <w:t>⑤</w:t>
      </w:r>
      <w:r>
        <w:rPr>
          <w:rFonts w:hint="default" w:ascii="Times New Roman" w:hAnsi="Times New Roman" w:cs="Times New Roman"/>
          <w:snapToGrid w:val="0"/>
          <w:color w:val="000000"/>
          <w:spacing w:val="-16"/>
          <w:kern w:val="21"/>
          <w:szCs w:val="21"/>
        </w:rPr>
        <w:fldChar w:fldCharType="end"/>
      </w:r>
      <w:r>
        <w:rPr>
          <w:rFonts w:hint="default" w:ascii="Times New Roman" w:hAnsi="Times New Roman" w:cs="Times New Roman"/>
          <w:snapToGrid w:val="0"/>
          <w:color w:val="000000"/>
          <w:spacing w:val="-16"/>
          <w:kern w:val="21"/>
          <w:szCs w:val="21"/>
        </w:rPr>
        <w:t>；</w:t>
      </w:r>
      <w:r>
        <w:rPr>
          <w:rFonts w:hint="default" w:ascii="Times New Roman" w:hAnsi="Times New Roman" w:cs="Times New Roman"/>
          <w:snapToGrid w:val="0"/>
          <w:color w:val="000000"/>
          <w:spacing w:val="-6"/>
          <w:kern w:val="21"/>
          <w:szCs w:val="21"/>
        </w:rPr>
        <w:fldChar w:fldCharType="begin"/>
      </w:r>
      <w:r>
        <w:rPr>
          <w:rFonts w:hint="default" w:ascii="Times New Roman" w:hAnsi="Times New Roman" w:cs="Times New Roman"/>
          <w:snapToGrid w:val="0"/>
          <w:color w:val="000000"/>
          <w:spacing w:val="-6"/>
          <w:kern w:val="21"/>
          <w:szCs w:val="21"/>
        </w:rPr>
        <w:instrText xml:space="preserve"> = 7 \* GB3 \* MERGEFORMAT </w:instrText>
      </w:r>
      <w:r>
        <w:rPr>
          <w:rFonts w:hint="default" w:ascii="Times New Roman" w:hAnsi="Times New Roman" w:cs="Times New Roman"/>
          <w:snapToGrid w:val="0"/>
          <w:color w:val="000000"/>
          <w:spacing w:val="-6"/>
          <w:kern w:val="21"/>
          <w:szCs w:val="21"/>
        </w:rPr>
        <w:fldChar w:fldCharType="separate"/>
      </w:r>
      <w:r>
        <w:rPr>
          <w:rFonts w:hint="default" w:ascii="Times New Roman" w:hAnsi="Times New Roman" w:cs="Times New Roman"/>
          <w:szCs w:val="21"/>
        </w:rPr>
        <w:t>⑦</w:t>
      </w:r>
      <w:r>
        <w:rPr>
          <w:rFonts w:hint="default" w:ascii="Times New Roman" w:hAnsi="Times New Roman" w:cs="Times New Roman"/>
          <w:snapToGrid w:val="0"/>
          <w:color w:val="000000"/>
          <w:spacing w:val="-6"/>
          <w:kern w:val="21"/>
          <w:szCs w:val="21"/>
        </w:rPr>
        <w:fldChar w:fldCharType="end"/>
      </w:r>
      <w:r>
        <w:rPr>
          <w:rFonts w:hint="default" w:ascii="Times New Roman" w:hAnsi="Times New Roman" w:cs="Times New Roman"/>
          <w:snapToGrid w:val="0"/>
          <w:color w:val="000000"/>
          <w:spacing w:val="-6"/>
          <w:kern w:val="21"/>
          <w:szCs w:val="21"/>
        </w:rPr>
        <w:t>=</w:t>
      </w:r>
      <w:r>
        <w:rPr>
          <w:rFonts w:hint="default" w:ascii="Times New Roman" w:hAnsi="Times New Roman" w:cs="Times New Roman"/>
          <w:snapToGrid w:val="0"/>
          <w:color w:val="000000"/>
          <w:spacing w:val="-16"/>
          <w:kern w:val="21"/>
          <w:szCs w:val="21"/>
        </w:rPr>
        <w:fldChar w:fldCharType="begin"/>
      </w:r>
      <w:r>
        <w:rPr>
          <w:rFonts w:hint="default" w:ascii="Times New Roman" w:hAnsi="Times New Roman" w:cs="Times New Roman"/>
          <w:snapToGrid w:val="0"/>
          <w:color w:val="000000"/>
          <w:spacing w:val="-16"/>
          <w:kern w:val="21"/>
          <w:szCs w:val="21"/>
        </w:rPr>
        <w:instrText xml:space="preserve"> = 6 \* GB3 \* MERGEFORMAT </w:instrText>
      </w:r>
      <w:r>
        <w:rPr>
          <w:rFonts w:hint="default" w:ascii="Times New Roman" w:hAnsi="Times New Roman" w:cs="Times New Roman"/>
          <w:snapToGrid w:val="0"/>
          <w:color w:val="000000"/>
          <w:spacing w:val="-16"/>
          <w:kern w:val="21"/>
          <w:szCs w:val="21"/>
        </w:rPr>
        <w:fldChar w:fldCharType="separate"/>
      </w:r>
      <w:r>
        <w:rPr>
          <w:rFonts w:hint="default" w:ascii="Times New Roman" w:hAnsi="Times New Roman" w:cs="Times New Roman"/>
          <w:szCs w:val="21"/>
        </w:rPr>
        <w:t>⑥</w:t>
      </w:r>
      <w:r>
        <w:rPr>
          <w:rFonts w:hint="default" w:ascii="Times New Roman" w:hAnsi="Times New Roman" w:cs="Times New Roman"/>
          <w:snapToGrid w:val="0"/>
          <w:color w:val="000000"/>
          <w:spacing w:val="-16"/>
          <w:kern w:val="21"/>
          <w:szCs w:val="21"/>
        </w:rPr>
        <w:fldChar w:fldCharType="end"/>
      </w:r>
      <w:r>
        <w:rPr>
          <w:rFonts w:hint="default" w:ascii="Times New Roman" w:hAnsi="Times New Roman" w:cs="Times New Roman"/>
          <w:snapToGrid w:val="0"/>
          <w:color w:val="000000"/>
          <w:spacing w:val="-16"/>
          <w:kern w:val="21"/>
          <w:szCs w:val="21"/>
        </w:rPr>
        <w:t>-①</w:t>
      </w:r>
    </w:p>
    <w:p w14:paraId="75E52BD8">
      <w:pPr>
        <w:pStyle w:val="53"/>
        <w:spacing w:before="192" w:beforeLines="80" w:after="24"/>
        <w:ind w:firstLine="480"/>
        <w:jc w:val="left"/>
        <w:rPr>
          <w:rFonts w:hint="default" w:ascii="Times New Roman" w:hAnsi="Times New Roman" w:cs="Times New Roman"/>
          <w:snapToGrid w:val="0"/>
          <w:color w:val="000000"/>
          <w:spacing w:val="-16"/>
          <w:kern w:val="21"/>
          <w:szCs w:val="21"/>
        </w:rPr>
        <w:sectPr>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375920</wp:posOffset>
            </wp:positionH>
            <wp:positionV relativeFrom="paragraph">
              <wp:posOffset>-528320</wp:posOffset>
            </wp:positionV>
            <wp:extent cx="8693785" cy="6332220"/>
            <wp:effectExtent l="0" t="0" r="12065" b="1143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0"/>
                    <a:srcRect l="13424" t="11008" r="5229" b="4904"/>
                    <a:stretch>
                      <a:fillRect/>
                    </a:stretch>
                  </pic:blipFill>
                  <pic:spPr>
                    <a:xfrm>
                      <a:off x="0" y="0"/>
                      <a:ext cx="8693785" cy="6332220"/>
                    </a:xfrm>
                    <a:prstGeom prst="rect">
                      <a:avLst/>
                    </a:prstGeom>
                    <a:noFill/>
                    <a:ln>
                      <a:noFill/>
                    </a:ln>
                  </pic:spPr>
                </pic:pic>
              </a:graphicData>
            </a:graphic>
          </wp:anchor>
        </w:drawing>
      </w:r>
    </w:p>
    <w:p w14:paraId="2ED37720">
      <w:pPr>
        <w:pStyle w:val="53"/>
        <w:tabs>
          <w:tab w:val="left" w:pos="1111"/>
        </w:tabs>
        <w:spacing w:before="192" w:beforeLines="80" w:after="24"/>
        <w:ind w:firstLine="480"/>
        <w:jc w:val="left"/>
        <w:rPr>
          <w:rFonts w:hint="eastAsia" w:ascii="Times New Roman" w:hAnsi="Times New Roman" w:eastAsia="宋体" w:cs="Times New Roman"/>
          <w:snapToGrid w:val="0"/>
          <w:color w:val="000000"/>
          <w:spacing w:val="-16"/>
          <w:kern w:val="21"/>
          <w:szCs w:val="21"/>
          <w:lang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-925830</wp:posOffset>
            </wp:positionH>
            <wp:positionV relativeFrom="paragraph">
              <wp:posOffset>-824230</wp:posOffset>
            </wp:positionV>
            <wp:extent cx="7259955" cy="10311765"/>
            <wp:effectExtent l="0" t="0" r="17145" b="13335"/>
            <wp:wrapNone/>
            <wp:docPr id="2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3"/>
                    <pic:cNvPicPr>
                      <a:picLocks noChangeAspect="1"/>
                    </pic:cNvPicPr>
                  </pic:nvPicPr>
                  <pic:blipFill>
                    <a:blip r:embed="rId21"/>
                    <a:stretch>
                      <a:fillRect/>
                    </a:stretch>
                  </pic:blipFill>
                  <pic:spPr>
                    <a:xfrm>
                      <a:off x="0" y="0"/>
                      <a:ext cx="7259955" cy="10311765"/>
                    </a:xfrm>
                    <a:prstGeom prst="rect">
                      <a:avLst/>
                    </a:prstGeom>
                    <a:noFill/>
                    <a:ln>
                      <a:noFill/>
                    </a:ln>
                  </pic:spPr>
                </pic:pic>
              </a:graphicData>
            </a:graphic>
          </wp:anchor>
        </w:drawing>
      </w:r>
    </w:p>
    <w:p w14:paraId="168F0503">
      <w:pPr>
        <w:pStyle w:val="53"/>
        <w:spacing w:before="192" w:beforeLines="80" w:after="24"/>
        <w:ind w:firstLine="480"/>
        <w:jc w:val="left"/>
        <w:rPr>
          <w:rFonts w:hint="default" w:ascii="Times New Roman" w:hAnsi="Times New Roman" w:cs="Times New Roman"/>
          <w:snapToGrid w:val="0"/>
          <w:color w:val="000000"/>
          <w:spacing w:val="-16"/>
          <w:kern w:val="21"/>
          <w:szCs w:val="21"/>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-861060</wp:posOffset>
            </wp:positionH>
            <wp:positionV relativeFrom="paragraph">
              <wp:posOffset>-835025</wp:posOffset>
            </wp:positionV>
            <wp:extent cx="7171055" cy="10257155"/>
            <wp:effectExtent l="0" t="0" r="10795" b="10795"/>
            <wp:wrapNone/>
            <wp:docPr id="3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6"/>
                    <pic:cNvPicPr>
                      <a:picLocks noChangeAspect="1"/>
                    </pic:cNvPicPr>
                  </pic:nvPicPr>
                  <pic:blipFill>
                    <a:blip r:embed="rId22"/>
                    <a:stretch>
                      <a:fillRect/>
                    </a:stretch>
                  </pic:blipFill>
                  <pic:spPr>
                    <a:xfrm>
                      <a:off x="0" y="0"/>
                      <a:ext cx="7171055" cy="10257155"/>
                    </a:xfrm>
                    <a:prstGeom prst="rect">
                      <a:avLst/>
                    </a:prstGeom>
                    <a:noFill/>
                    <a:ln>
                      <a:noFill/>
                    </a:ln>
                  </pic:spPr>
                </pic:pic>
              </a:graphicData>
            </a:graphic>
          </wp:anchor>
        </w:drawing>
      </w:r>
    </w:p>
    <w:p w14:paraId="5187820D">
      <w:pPr>
        <w:pStyle w:val="53"/>
        <w:spacing w:before="192" w:beforeLines="80" w:after="24"/>
        <w:ind w:firstLine="480"/>
        <w:jc w:val="left"/>
        <w:rPr>
          <w:rFonts w:hint="default" w:ascii="Times New Roman" w:hAnsi="Times New Roman" w:cs="Times New Roman"/>
          <w:snapToGrid w:val="0"/>
          <w:color w:val="000000"/>
          <w:spacing w:val="-16"/>
          <w:kern w:val="21"/>
          <w:szCs w:val="21"/>
        </w:rPr>
      </w:pPr>
      <w:r>
        <w:drawing>
          <wp:anchor distT="0" distB="0" distL="114300" distR="114300" simplePos="0" relativeHeight="251662336" behindDoc="1" locked="0" layoutInCell="1" allowOverlap="1">
            <wp:simplePos x="0" y="0"/>
            <wp:positionH relativeFrom="column">
              <wp:posOffset>-719455</wp:posOffset>
            </wp:positionH>
            <wp:positionV relativeFrom="paragraph">
              <wp:posOffset>-953770</wp:posOffset>
            </wp:positionV>
            <wp:extent cx="10294620" cy="7271385"/>
            <wp:effectExtent l="0" t="0" r="11430" b="5715"/>
            <wp:wrapNone/>
            <wp:docPr id="3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5"/>
                    <pic:cNvPicPr>
                      <a:picLocks noChangeAspect="1"/>
                    </pic:cNvPicPr>
                  </pic:nvPicPr>
                  <pic:blipFill>
                    <a:blip r:embed="rId23"/>
                    <a:stretch>
                      <a:fillRect/>
                    </a:stretch>
                  </pic:blipFill>
                  <pic:spPr>
                    <a:xfrm>
                      <a:off x="0" y="0"/>
                      <a:ext cx="10294620" cy="7271385"/>
                    </a:xfrm>
                    <a:prstGeom prst="rect">
                      <a:avLst/>
                    </a:prstGeom>
                    <a:noFill/>
                    <a:ln>
                      <a:noFill/>
                    </a:ln>
                  </pic:spPr>
                </pic:pic>
              </a:graphicData>
            </a:graphic>
          </wp:anchor>
        </w:drawing>
      </w:r>
    </w:p>
    <w:p w14:paraId="46B39970">
      <w:pPr>
        <w:tabs>
          <w:tab w:val="left" w:pos="1894"/>
        </w:tabs>
        <w:bidi w:val="0"/>
        <w:jc w:val="left"/>
        <w:rPr>
          <w:rFonts w:hint="eastAsia"/>
          <w:lang w:eastAsia="zh-CN"/>
        </w:rPr>
      </w:pPr>
      <w:r>
        <w:rPr>
          <w:rFonts w:hint="eastAsia"/>
          <w:lang w:eastAsia="zh-CN"/>
        </w:rPr>
        <w:tab/>
      </w:r>
    </w:p>
    <w:p w14:paraId="16A832BF">
      <w:pPr>
        <w:tabs>
          <w:tab w:val="left" w:pos="1130"/>
        </w:tabs>
        <w:bidi w:val="0"/>
        <w:jc w:val="left"/>
        <w:rPr>
          <w:rFonts w:hint="eastAsia" w:cs="Times New Roman"/>
          <w:kern w:val="2"/>
          <w:sz w:val="24"/>
          <w:szCs w:val="24"/>
          <w:lang w:val="en-US" w:eastAsia="zh-CN" w:bidi="ar-SA"/>
        </w:rPr>
        <w:sectPr>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eastAsia" w:cs="Times New Roman"/>
          <w:kern w:val="2"/>
          <w:sz w:val="24"/>
          <w:szCs w:val="24"/>
          <w:lang w:val="en-US" w:eastAsia="zh-CN" w:bidi="ar-SA"/>
        </w:rPr>
        <w:tab/>
      </w:r>
    </w:p>
    <w:p w14:paraId="49642A9C">
      <w:pPr>
        <w:pStyle w:val="2"/>
        <w:tabs>
          <w:tab w:val="left" w:pos="844"/>
        </w:tabs>
        <w:rPr>
          <w:rFonts w:hint="eastAsia"/>
          <w:lang w:val="en-US" w:eastAsia="zh-CN"/>
        </w:rPr>
        <w:sectPr>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-424180</wp:posOffset>
            </wp:positionH>
            <wp:positionV relativeFrom="paragraph">
              <wp:posOffset>-791210</wp:posOffset>
            </wp:positionV>
            <wp:extent cx="9504680" cy="6756400"/>
            <wp:effectExtent l="0" t="0" r="1270" b="6350"/>
            <wp:wrapNone/>
            <wp:docPr id="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7"/>
                    <pic:cNvPicPr>
                      <a:picLocks noChangeAspect="1"/>
                    </pic:cNvPicPr>
                  </pic:nvPicPr>
                  <pic:blipFill>
                    <a:blip r:embed="rId24"/>
                    <a:stretch>
                      <a:fillRect/>
                    </a:stretch>
                  </pic:blipFill>
                  <pic:spPr>
                    <a:xfrm>
                      <a:off x="0" y="0"/>
                      <a:ext cx="9504680" cy="6756400"/>
                    </a:xfrm>
                    <a:prstGeom prst="rect">
                      <a:avLst/>
                    </a:prstGeom>
                    <a:noFill/>
                    <a:ln>
                      <a:noFill/>
                    </a:ln>
                  </pic:spPr>
                </pic:pic>
              </a:graphicData>
            </a:graphic>
          </wp:anchor>
        </w:drawing>
      </w:r>
    </w:p>
    <w:p w14:paraId="5B43BF24">
      <w:pPr>
        <w:rPr>
          <w:rFonts w:hint="eastAsia"/>
          <w:lang w:val="en-US" w:eastAsia="zh-CN"/>
        </w:rPr>
      </w:pPr>
      <w:r>
        <w:drawing>
          <wp:anchor distT="0" distB="0" distL="114300" distR="114300" simplePos="0" relativeHeight="251662336" behindDoc="1" locked="0" layoutInCell="1" allowOverlap="1">
            <wp:simplePos x="0" y="0"/>
            <wp:positionH relativeFrom="column">
              <wp:posOffset>-585470</wp:posOffset>
            </wp:positionH>
            <wp:positionV relativeFrom="paragraph">
              <wp:posOffset>-709295</wp:posOffset>
            </wp:positionV>
            <wp:extent cx="9643745" cy="6781800"/>
            <wp:effectExtent l="0" t="0" r="14605" b="0"/>
            <wp:wrapNone/>
            <wp:docPr id="3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8"/>
                    <pic:cNvPicPr>
                      <a:picLocks noChangeAspect="1"/>
                    </pic:cNvPicPr>
                  </pic:nvPicPr>
                  <pic:blipFill>
                    <a:blip r:embed="rId25"/>
                    <a:stretch>
                      <a:fillRect/>
                    </a:stretch>
                  </pic:blipFill>
                  <pic:spPr>
                    <a:xfrm>
                      <a:off x="0" y="0"/>
                      <a:ext cx="9643745" cy="6781800"/>
                    </a:xfrm>
                    <a:prstGeom prst="rect">
                      <a:avLst/>
                    </a:prstGeom>
                    <a:noFill/>
                    <a:ln>
                      <a:noFill/>
                    </a:ln>
                  </pic:spPr>
                </pic:pic>
              </a:graphicData>
            </a:graphic>
          </wp:anchor>
        </w:drawing>
      </w:r>
    </w:p>
    <w:p w14:paraId="2F3E5CE9">
      <w:pPr>
        <w:bidi w:val="0"/>
        <w:rPr>
          <w:rFonts w:hint="eastAsia" w:ascii="Times New Roman" w:hAnsi="Times New Roman" w:eastAsia="宋体" w:cs="Times New Roman"/>
          <w:kern w:val="2"/>
          <w:sz w:val="24"/>
          <w:szCs w:val="24"/>
          <w:lang w:val="en-US" w:eastAsia="zh-CN" w:bidi="ar-SA"/>
        </w:rPr>
      </w:pPr>
    </w:p>
    <w:p w14:paraId="0A579E81">
      <w:pPr>
        <w:tabs>
          <w:tab w:val="left" w:pos="1544"/>
        </w:tabs>
        <w:bidi w:val="0"/>
        <w:jc w:val="left"/>
        <w:rPr>
          <w:rFonts w:hint="eastAsia"/>
          <w:lang w:val="en-US" w:eastAsia="zh-CN"/>
        </w:rPr>
        <w:sectPr>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rFonts w:hint="eastAsia"/>
          <w:lang w:val="en-US" w:eastAsia="zh-CN"/>
        </w:rPr>
        <w:tab/>
      </w:r>
    </w:p>
    <w:p w14:paraId="6D89E6CC">
      <w:pPr>
        <w:pStyle w:val="2"/>
        <w:rPr>
          <w:rFonts w:hint="eastAsia"/>
          <w:lang w:val="en-US" w:eastAsia="zh-CN"/>
        </w:rPr>
        <w:sectPr>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-487680</wp:posOffset>
            </wp:positionH>
            <wp:positionV relativeFrom="paragraph">
              <wp:posOffset>-886460</wp:posOffset>
            </wp:positionV>
            <wp:extent cx="9455785" cy="6665595"/>
            <wp:effectExtent l="0" t="0" r="12065" b="1905"/>
            <wp:wrapNone/>
            <wp:docPr id="3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9"/>
                    <pic:cNvPicPr>
                      <a:picLocks noChangeAspect="1"/>
                    </pic:cNvPicPr>
                  </pic:nvPicPr>
                  <pic:blipFill>
                    <a:blip r:embed="rId26"/>
                    <a:stretch>
                      <a:fillRect/>
                    </a:stretch>
                  </pic:blipFill>
                  <pic:spPr>
                    <a:xfrm>
                      <a:off x="0" y="0"/>
                      <a:ext cx="9455785" cy="6665595"/>
                    </a:xfrm>
                    <a:prstGeom prst="rect">
                      <a:avLst/>
                    </a:prstGeom>
                    <a:noFill/>
                    <a:ln>
                      <a:noFill/>
                    </a:ln>
                  </pic:spPr>
                </pic:pic>
              </a:graphicData>
            </a:graphic>
          </wp:anchor>
        </w:drawing>
      </w:r>
    </w:p>
    <w:p w14:paraId="417D32EE">
      <w:pPr>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-478155</wp:posOffset>
            </wp:positionH>
            <wp:positionV relativeFrom="paragraph">
              <wp:posOffset>0</wp:posOffset>
            </wp:positionV>
            <wp:extent cx="6410325" cy="9030970"/>
            <wp:effectExtent l="0" t="0" r="9525" b="17780"/>
            <wp:wrapNone/>
            <wp:docPr id="3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2"/>
                    <pic:cNvPicPr>
                      <a:picLocks noChangeAspect="1"/>
                    </pic:cNvPicPr>
                  </pic:nvPicPr>
                  <pic:blipFill>
                    <a:blip r:embed="rId27"/>
                    <a:stretch>
                      <a:fillRect/>
                    </a:stretch>
                  </pic:blipFill>
                  <pic:spPr>
                    <a:xfrm>
                      <a:off x="0" y="0"/>
                      <a:ext cx="6410325" cy="9030970"/>
                    </a:xfrm>
                    <a:prstGeom prst="rect">
                      <a:avLst/>
                    </a:prstGeom>
                    <a:noFill/>
                    <a:ln>
                      <a:noFill/>
                    </a:ln>
                  </pic:spPr>
                </pic:pic>
              </a:graphicData>
            </a:graphic>
          </wp:anchor>
        </w:drawing>
      </w:r>
    </w:p>
    <w:p w14:paraId="72530DD1">
      <w:pPr>
        <w:pStyle w:val="2"/>
        <w:rPr>
          <w:rFonts w:hint="eastAsia"/>
          <w:lang w:val="en-US" w:eastAsia="zh-CN"/>
        </w:rPr>
        <w:sectPr>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-370840</wp:posOffset>
            </wp:positionH>
            <wp:positionV relativeFrom="paragraph">
              <wp:posOffset>-727710</wp:posOffset>
            </wp:positionV>
            <wp:extent cx="9292590" cy="6551930"/>
            <wp:effectExtent l="0" t="0" r="3810" b="1270"/>
            <wp:wrapNone/>
            <wp:docPr id="3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3"/>
                    <pic:cNvPicPr>
                      <a:picLocks noChangeAspect="1"/>
                    </pic:cNvPicPr>
                  </pic:nvPicPr>
                  <pic:blipFill>
                    <a:blip r:embed="rId28"/>
                    <a:stretch>
                      <a:fillRect/>
                    </a:stretch>
                  </pic:blipFill>
                  <pic:spPr>
                    <a:xfrm>
                      <a:off x="0" y="0"/>
                      <a:ext cx="9292590" cy="6551930"/>
                    </a:xfrm>
                    <a:prstGeom prst="rect">
                      <a:avLst/>
                    </a:prstGeom>
                    <a:noFill/>
                    <a:ln>
                      <a:noFill/>
                    </a:ln>
                  </pic:spPr>
                </pic:pic>
              </a:graphicData>
            </a:graphic>
          </wp:anchor>
        </w:drawing>
      </w:r>
    </w:p>
    <w:p w14:paraId="07CDB3C8">
      <w:pPr>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-690245</wp:posOffset>
            </wp:positionH>
            <wp:positionV relativeFrom="paragraph">
              <wp:posOffset>-519430</wp:posOffset>
            </wp:positionV>
            <wp:extent cx="6911975" cy="9454515"/>
            <wp:effectExtent l="0" t="0" r="3175" b="13335"/>
            <wp:wrapNone/>
            <wp:docPr id="3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4"/>
                    <pic:cNvPicPr>
                      <a:picLocks noChangeAspect="1"/>
                    </pic:cNvPicPr>
                  </pic:nvPicPr>
                  <pic:blipFill>
                    <a:blip r:embed="rId29"/>
                    <a:stretch>
                      <a:fillRect/>
                    </a:stretch>
                  </pic:blipFill>
                  <pic:spPr>
                    <a:xfrm>
                      <a:off x="0" y="0"/>
                      <a:ext cx="6911975" cy="9454515"/>
                    </a:xfrm>
                    <a:prstGeom prst="rect">
                      <a:avLst/>
                    </a:prstGeom>
                    <a:noFill/>
                    <a:ln>
                      <a:noFill/>
                    </a:ln>
                  </pic:spPr>
                </pic:pic>
              </a:graphicData>
            </a:graphic>
          </wp:anchor>
        </w:drawing>
      </w:r>
    </w:p>
    <w:p w14:paraId="0D89F6FD">
      <w:pPr>
        <w:pStyle w:val="2"/>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-1005840</wp:posOffset>
            </wp:positionH>
            <wp:positionV relativeFrom="paragraph">
              <wp:posOffset>-865505</wp:posOffset>
            </wp:positionV>
            <wp:extent cx="7454265" cy="10080625"/>
            <wp:effectExtent l="0" t="0" r="13335" b="15875"/>
            <wp:wrapNone/>
            <wp:docPr id="4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5"/>
                    <pic:cNvPicPr>
                      <a:picLocks noChangeAspect="1"/>
                    </pic:cNvPicPr>
                  </pic:nvPicPr>
                  <pic:blipFill>
                    <a:blip r:embed="rId30"/>
                    <a:stretch>
                      <a:fillRect/>
                    </a:stretch>
                  </pic:blipFill>
                  <pic:spPr>
                    <a:xfrm>
                      <a:off x="0" y="0"/>
                      <a:ext cx="7454265" cy="10080625"/>
                    </a:xfrm>
                    <a:prstGeom prst="rect">
                      <a:avLst/>
                    </a:prstGeom>
                    <a:noFill/>
                    <a:ln>
                      <a:noFill/>
                    </a:ln>
                  </pic:spPr>
                </pic:pic>
              </a:graphicData>
            </a:graphic>
          </wp:anchor>
        </w:drawing>
      </w:r>
    </w:p>
    <w:p w14:paraId="0684EF07">
      <w:pPr>
        <w:tabs>
          <w:tab w:val="left" w:pos="511"/>
        </w:tabs>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-518795</wp:posOffset>
            </wp:positionH>
            <wp:positionV relativeFrom="paragraph">
              <wp:posOffset>-213995</wp:posOffset>
            </wp:positionV>
            <wp:extent cx="6694170" cy="8989695"/>
            <wp:effectExtent l="0" t="0" r="11430" b="1905"/>
            <wp:wrapNone/>
            <wp:docPr id="41"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6"/>
                    <pic:cNvPicPr>
                      <a:picLocks noChangeAspect="1"/>
                    </pic:cNvPicPr>
                  </pic:nvPicPr>
                  <pic:blipFill>
                    <a:blip r:embed="rId31"/>
                    <a:stretch>
                      <a:fillRect/>
                    </a:stretch>
                  </pic:blipFill>
                  <pic:spPr>
                    <a:xfrm>
                      <a:off x="0" y="0"/>
                      <a:ext cx="6694170" cy="8989695"/>
                    </a:xfrm>
                    <a:prstGeom prst="rect">
                      <a:avLst/>
                    </a:prstGeom>
                    <a:noFill/>
                    <a:ln>
                      <a:noFill/>
                    </a:ln>
                  </pic:spPr>
                </pic:pic>
              </a:graphicData>
            </a:graphic>
          </wp:anchor>
        </w:drawing>
      </w:r>
      <w:r>
        <w:rPr>
          <w:rFonts w:hint="eastAsia"/>
          <w:lang w:val="en-US" w:eastAsia="zh-CN"/>
        </w:rPr>
        <w:tab/>
      </w:r>
    </w:p>
    <w:p w14:paraId="60DEFE16">
      <w:pPr>
        <w:pStyle w:val="2"/>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-909955</wp:posOffset>
            </wp:positionH>
            <wp:positionV relativeFrom="paragraph">
              <wp:posOffset>-681355</wp:posOffset>
            </wp:positionV>
            <wp:extent cx="7169150" cy="9777730"/>
            <wp:effectExtent l="0" t="0" r="12700" b="13970"/>
            <wp:wrapNone/>
            <wp:docPr id="4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7"/>
                    <pic:cNvPicPr>
                      <a:picLocks noChangeAspect="1"/>
                    </pic:cNvPicPr>
                  </pic:nvPicPr>
                  <pic:blipFill>
                    <a:blip r:embed="rId32"/>
                    <a:stretch>
                      <a:fillRect/>
                    </a:stretch>
                  </pic:blipFill>
                  <pic:spPr>
                    <a:xfrm>
                      <a:off x="0" y="0"/>
                      <a:ext cx="7169150" cy="9777730"/>
                    </a:xfrm>
                    <a:prstGeom prst="rect">
                      <a:avLst/>
                    </a:prstGeom>
                    <a:noFill/>
                    <a:ln>
                      <a:noFill/>
                    </a:ln>
                  </pic:spPr>
                </pic:pic>
              </a:graphicData>
            </a:graphic>
          </wp:anchor>
        </w:drawing>
      </w:r>
    </w:p>
    <w:p w14:paraId="6A0CB3C1">
      <w:pPr>
        <w:pStyle w:val="2"/>
        <w:tabs>
          <w:tab w:val="left" w:pos="1977"/>
        </w:tabs>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-593725</wp:posOffset>
            </wp:positionH>
            <wp:positionV relativeFrom="paragraph">
              <wp:posOffset>-377825</wp:posOffset>
            </wp:positionV>
            <wp:extent cx="6763385" cy="9313545"/>
            <wp:effectExtent l="0" t="0" r="18415" b="1905"/>
            <wp:wrapNone/>
            <wp:docPr id="4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8"/>
                    <pic:cNvPicPr>
                      <a:picLocks noChangeAspect="1"/>
                    </pic:cNvPicPr>
                  </pic:nvPicPr>
                  <pic:blipFill>
                    <a:blip r:embed="rId33"/>
                    <a:stretch>
                      <a:fillRect/>
                    </a:stretch>
                  </pic:blipFill>
                  <pic:spPr>
                    <a:xfrm>
                      <a:off x="0" y="0"/>
                      <a:ext cx="6763385" cy="9313545"/>
                    </a:xfrm>
                    <a:prstGeom prst="rect">
                      <a:avLst/>
                    </a:prstGeom>
                    <a:noFill/>
                    <a:ln>
                      <a:noFill/>
                    </a:ln>
                  </pic:spPr>
                </pic:pic>
              </a:graphicData>
            </a:graphic>
          </wp:anchor>
        </w:drawing>
      </w:r>
      <w:r>
        <w:rPr>
          <w:rFonts w:hint="eastAsia"/>
          <w:lang w:val="en-US" w:eastAsia="zh-CN"/>
        </w:rPr>
        <w:tab/>
      </w:r>
    </w:p>
    <w:p w14:paraId="1219CECE">
      <w:pPr>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-912495</wp:posOffset>
            </wp:positionH>
            <wp:positionV relativeFrom="paragraph">
              <wp:posOffset>-847090</wp:posOffset>
            </wp:positionV>
            <wp:extent cx="7218045" cy="9850120"/>
            <wp:effectExtent l="0" t="0" r="1905" b="17780"/>
            <wp:wrapNone/>
            <wp:docPr id="4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9"/>
                    <pic:cNvPicPr>
                      <a:picLocks noChangeAspect="1"/>
                    </pic:cNvPicPr>
                  </pic:nvPicPr>
                  <pic:blipFill>
                    <a:blip r:embed="rId34"/>
                    <a:stretch>
                      <a:fillRect/>
                    </a:stretch>
                  </pic:blipFill>
                  <pic:spPr>
                    <a:xfrm>
                      <a:off x="0" y="0"/>
                      <a:ext cx="7218045" cy="9850120"/>
                    </a:xfrm>
                    <a:prstGeom prst="rect">
                      <a:avLst/>
                    </a:prstGeom>
                    <a:noFill/>
                    <a:ln>
                      <a:noFill/>
                    </a:ln>
                  </pic:spPr>
                </pic:pic>
              </a:graphicData>
            </a:graphic>
          </wp:anchor>
        </w:drawing>
      </w:r>
    </w:p>
    <w:p w14:paraId="1F60EC78">
      <w:pPr>
        <w:pStyle w:val="2"/>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-984885</wp:posOffset>
            </wp:positionH>
            <wp:positionV relativeFrom="paragraph">
              <wp:posOffset>-897890</wp:posOffset>
            </wp:positionV>
            <wp:extent cx="7402830" cy="10023475"/>
            <wp:effectExtent l="0" t="0" r="7620" b="15875"/>
            <wp:wrapNone/>
            <wp:docPr id="45"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20"/>
                    <pic:cNvPicPr>
                      <a:picLocks noChangeAspect="1"/>
                    </pic:cNvPicPr>
                  </pic:nvPicPr>
                  <pic:blipFill>
                    <a:blip r:embed="rId35"/>
                    <a:stretch>
                      <a:fillRect/>
                    </a:stretch>
                  </pic:blipFill>
                  <pic:spPr>
                    <a:xfrm>
                      <a:off x="0" y="0"/>
                      <a:ext cx="7402830" cy="10023475"/>
                    </a:xfrm>
                    <a:prstGeom prst="rect">
                      <a:avLst/>
                    </a:prstGeom>
                    <a:noFill/>
                    <a:ln>
                      <a:noFill/>
                    </a:ln>
                  </pic:spPr>
                </pic:pic>
              </a:graphicData>
            </a:graphic>
          </wp:anchor>
        </w:drawing>
      </w:r>
    </w:p>
    <w:p w14:paraId="18889916">
      <w:pPr>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-361950</wp:posOffset>
            </wp:positionH>
            <wp:positionV relativeFrom="paragraph">
              <wp:posOffset>-412750</wp:posOffset>
            </wp:positionV>
            <wp:extent cx="6382385" cy="9421495"/>
            <wp:effectExtent l="0" t="0" r="18415" b="8255"/>
            <wp:wrapNone/>
            <wp:docPr id="4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21"/>
                    <pic:cNvPicPr>
                      <a:picLocks noChangeAspect="1"/>
                    </pic:cNvPicPr>
                  </pic:nvPicPr>
                  <pic:blipFill>
                    <a:blip r:embed="rId36"/>
                    <a:stretch>
                      <a:fillRect/>
                    </a:stretch>
                  </pic:blipFill>
                  <pic:spPr>
                    <a:xfrm>
                      <a:off x="0" y="0"/>
                      <a:ext cx="6382385" cy="9421495"/>
                    </a:xfrm>
                    <a:prstGeom prst="rect">
                      <a:avLst/>
                    </a:prstGeom>
                    <a:noFill/>
                    <a:ln>
                      <a:noFill/>
                    </a:ln>
                  </pic:spPr>
                </pic:pic>
              </a:graphicData>
            </a:graphic>
          </wp:anchor>
        </w:drawing>
      </w:r>
    </w:p>
    <w:p w14:paraId="581FAD68">
      <w:pPr>
        <w:pStyle w:val="2"/>
        <w:rPr>
          <w:rFonts w:hint="eastAsia"/>
          <w:lang w:val="en-US" w:eastAsia="zh-CN"/>
        </w:rPr>
        <w:sectPr>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-180975</wp:posOffset>
            </wp:positionH>
            <wp:positionV relativeFrom="paragraph">
              <wp:posOffset>-156845</wp:posOffset>
            </wp:positionV>
            <wp:extent cx="9147810" cy="5285105"/>
            <wp:effectExtent l="0" t="0" r="15240" b="10795"/>
            <wp:wrapNone/>
            <wp:docPr id="47"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2"/>
                    <pic:cNvPicPr>
                      <a:picLocks noChangeAspect="1"/>
                    </pic:cNvPicPr>
                  </pic:nvPicPr>
                  <pic:blipFill>
                    <a:blip r:embed="rId37"/>
                    <a:stretch>
                      <a:fillRect/>
                    </a:stretch>
                  </pic:blipFill>
                  <pic:spPr>
                    <a:xfrm>
                      <a:off x="0" y="0"/>
                      <a:ext cx="9147810" cy="5285105"/>
                    </a:xfrm>
                    <a:prstGeom prst="rect">
                      <a:avLst/>
                    </a:prstGeom>
                    <a:noFill/>
                    <a:ln>
                      <a:noFill/>
                    </a:ln>
                  </pic:spPr>
                </pic:pic>
              </a:graphicData>
            </a:graphic>
          </wp:anchor>
        </w:drawing>
      </w:r>
    </w:p>
    <w:p w14:paraId="37C28FDA">
      <w:pPr>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-86995</wp:posOffset>
            </wp:positionH>
            <wp:positionV relativeFrom="paragraph">
              <wp:posOffset>190500</wp:posOffset>
            </wp:positionV>
            <wp:extent cx="5675630" cy="8332470"/>
            <wp:effectExtent l="0" t="0" r="1270" b="11430"/>
            <wp:wrapNone/>
            <wp:docPr id="48"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3"/>
                    <pic:cNvPicPr>
                      <a:picLocks noChangeAspect="1"/>
                    </pic:cNvPicPr>
                  </pic:nvPicPr>
                  <pic:blipFill>
                    <a:blip r:embed="rId38"/>
                    <a:stretch>
                      <a:fillRect/>
                    </a:stretch>
                  </pic:blipFill>
                  <pic:spPr>
                    <a:xfrm>
                      <a:off x="0" y="0"/>
                      <a:ext cx="5675630" cy="8332470"/>
                    </a:xfrm>
                    <a:prstGeom prst="rect">
                      <a:avLst/>
                    </a:prstGeom>
                    <a:noFill/>
                    <a:ln>
                      <a:noFill/>
                    </a:ln>
                  </pic:spPr>
                </pic:pic>
              </a:graphicData>
            </a:graphic>
          </wp:anchor>
        </w:drawing>
      </w:r>
    </w:p>
    <w:p w14:paraId="5330C721">
      <w:pPr>
        <w:pStyle w:val="2"/>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-498475</wp:posOffset>
            </wp:positionH>
            <wp:positionV relativeFrom="paragraph">
              <wp:posOffset>1905</wp:posOffset>
            </wp:positionV>
            <wp:extent cx="5889625" cy="8465185"/>
            <wp:effectExtent l="0" t="0" r="15875" b="12065"/>
            <wp:wrapNone/>
            <wp:docPr id="49"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4"/>
                    <pic:cNvPicPr>
                      <a:picLocks noChangeAspect="1"/>
                    </pic:cNvPicPr>
                  </pic:nvPicPr>
                  <pic:blipFill>
                    <a:blip r:embed="rId39"/>
                    <a:stretch>
                      <a:fillRect/>
                    </a:stretch>
                  </pic:blipFill>
                  <pic:spPr>
                    <a:xfrm>
                      <a:off x="0" y="0"/>
                      <a:ext cx="5889625" cy="8465185"/>
                    </a:xfrm>
                    <a:prstGeom prst="rect">
                      <a:avLst/>
                    </a:prstGeom>
                    <a:noFill/>
                    <a:ln>
                      <a:noFill/>
                    </a:ln>
                  </pic:spPr>
                </pic:pic>
              </a:graphicData>
            </a:graphic>
          </wp:anchor>
        </w:drawing>
      </w:r>
    </w:p>
    <w:p w14:paraId="5B7FC0FE">
      <w:pPr>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-55245</wp:posOffset>
            </wp:positionH>
            <wp:positionV relativeFrom="paragraph">
              <wp:posOffset>-42545</wp:posOffset>
            </wp:positionV>
            <wp:extent cx="5544185" cy="8317230"/>
            <wp:effectExtent l="0" t="0" r="18415" b="7620"/>
            <wp:wrapNone/>
            <wp:docPr id="50"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5"/>
                    <pic:cNvPicPr>
                      <a:picLocks noChangeAspect="1"/>
                    </pic:cNvPicPr>
                  </pic:nvPicPr>
                  <pic:blipFill>
                    <a:blip r:embed="rId40"/>
                    <a:stretch>
                      <a:fillRect/>
                    </a:stretch>
                  </pic:blipFill>
                  <pic:spPr>
                    <a:xfrm>
                      <a:off x="0" y="0"/>
                      <a:ext cx="5544185" cy="8317230"/>
                    </a:xfrm>
                    <a:prstGeom prst="rect">
                      <a:avLst/>
                    </a:prstGeom>
                    <a:noFill/>
                    <a:ln>
                      <a:noFill/>
                    </a:ln>
                  </pic:spPr>
                </pic:pic>
              </a:graphicData>
            </a:graphic>
          </wp:anchor>
        </w:drawing>
      </w:r>
    </w:p>
    <w:p w14:paraId="3B9601DC">
      <w:pPr>
        <w:pStyle w:val="2"/>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-339090</wp:posOffset>
            </wp:positionH>
            <wp:positionV relativeFrom="paragraph">
              <wp:posOffset>-102870</wp:posOffset>
            </wp:positionV>
            <wp:extent cx="6083935" cy="8505825"/>
            <wp:effectExtent l="0" t="0" r="12065" b="9525"/>
            <wp:wrapNone/>
            <wp:docPr id="5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6"/>
                    <pic:cNvPicPr>
                      <a:picLocks noChangeAspect="1"/>
                    </pic:cNvPicPr>
                  </pic:nvPicPr>
                  <pic:blipFill>
                    <a:blip r:embed="rId41"/>
                    <a:stretch>
                      <a:fillRect/>
                    </a:stretch>
                  </pic:blipFill>
                  <pic:spPr>
                    <a:xfrm>
                      <a:off x="0" y="0"/>
                      <a:ext cx="6083935" cy="8505825"/>
                    </a:xfrm>
                    <a:prstGeom prst="rect">
                      <a:avLst/>
                    </a:prstGeom>
                    <a:noFill/>
                    <a:ln>
                      <a:noFill/>
                    </a:ln>
                  </pic:spPr>
                </pic:pic>
              </a:graphicData>
            </a:graphic>
          </wp:anchor>
        </w:drawing>
      </w:r>
    </w:p>
    <w:p w14:paraId="017E1428">
      <w:pPr>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-297815</wp:posOffset>
            </wp:positionH>
            <wp:positionV relativeFrom="paragraph">
              <wp:posOffset>-306705</wp:posOffset>
            </wp:positionV>
            <wp:extent cx="5871845" cy="8779510"/>
            <wp:effectExtent l="0" t="0" r="14605" b="2540"/>
            <wp:wrapNone/>
            <wp:docPr id="52"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27"/>
                    <pic:cNvPicPr>
                      <a:picLocks noChangeAspect="1"/>
                    </pic:cNvPicPr>
                  </pic:nvPicPr>
                  <pic:blipFill>
                    <a:blip r:embed="rId42"/>
                    <a:stretch>
                      <a:fillRect/>
                    </a:stretch>
                  </pic:blipFill>
                  <pic:spPr>
                    <a:xfrm>
                      <a:off x="0" y="0"/>
                      <a:ext cx="5871845" cy="8779510"/>
                    </a:xfrm>
                    <a:prstGeom prst="rect">
                      <a:avLst/>
                    </a:prstGeom>
                    <a:noFill/>
                    <a:ln>
                      <a:noFill/>
                    </a:ln>
                  </pic:spPr>
                </pic:pic>
              </a:graphicData>
            </a:graphic>
          </wp:anchor>
        </w:drawing>
      </w:r>
    </w:p>
    <w:p w14:paraId="28B81E88">
      <w:pPr>
        <w:pStyle w:val="2"/>
        <w:rPr>
          <w:rFonts w:hint="eastAsia"/>
          <w:lang w:val="en-US" w:eastAsia="zh-CN"/>
        </w:rPr>
      </w:pPr>
      <w:r>
        <w:drawing>
          <wp:anchor distT="0" distB="0" distL="114300" distR="114300" simplePos="0" relativeHeight="251662336" behindDoc="1" locked="0" layoutInCell="1" allowOverlap="1">
            <wp:simplePos x="0" y="0"/>
            <wp:positionH relativeFrom="column">
              <wp:posOffset>-490220</wp:posOffset>
            </wp:positionH>
            <wp:positionV relativeFrom="paragraph">
              <wp:posOffset>-180340</wp:posOffset>
            </wp:positionV>
            <wp:extent cx="6351905" cy="8936355"/>
            <wp:effectExtent l="0" t="0" r="10795" b="17145"/>
            <wp:wrapNone/>
            <wp:docPr id="5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28"/>
                    <pic:cNvPicPr>
                      <a:picLocks noChangeAspect="1"/>
                    </pic:cNvPicPr>
                  </pic:nvPicPr>
                  <pic:blipFill>
                    <a:blip r:embed="rId43"/>
                    <a:stretch>
                      <a:fillRect/>
                    </a:stretch>
                  </pic:blipFill>
                  <pic:spPr>
                    <a:xfrm>
                      <a:off x="0" y="0"/>
                      <a:ext cx="6351905" cy="8936355"/>
                    </a:xfrm>
                    <a:prstGeom prst="rect">
                      <a:avLst/>
                    </a:prstGeom>
                    <a:noFill/>
                    <a:ln>
                      <a:noFill/>
                    </a:ln>
                  </pic:spPr>
                </pic:pic>
              </a:graphicData>
            </a:graphic>
          </wp:anchor>
        </w:drawing>
      </w:r>
    </w:p>
    <w:p w14:paraId="6525A02D">
      <w:pPr>
        <w:bidi w:val="0"/>
        <w:rPr>
          <w:rFonts w:hint="eastAsia"/>
          <w:lang w:val="en-US" w:eastAsia="zh-CN"/>
        </w:rPr>
      </w:pPr>
    </w:p>
    <w:p w14:paraId="1D6DB41C">
      <w:pPr>
        <w:tabs>
          <w:tab w:val="left" w:pos="1011"/>
        </w:tabs>
        <w:bidi w:val="0"/>
        <w:jc w:val="left"/>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rFonts w:hint="eastAsia"/>
          <w:lang w:val="en-US" w:eastAsia="zh-CN"/>
        </w:rPr>
        <w:tab/>
      </w:r>
    </w:p>
    <w:p w14:paraId="28DE338E">
      <w:pPr>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-224790</wp:posOffset>
            </wp:positionH>
            <wp:positionV relativeFrom="paragraph">
              <wp:posOffset>-254000</wp:posOffset>
            </wp:positionV>
            <wp:extent cx="5523230" cy="8686165"/>
            <wp:effectExtent l="0" t="0" r="1270" b="635"/>
            <wp:wrapNone/>
            <wp:docPr id="5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29"/>
                    <pic:cNvPicPr>
                      <a:picLocks noChangeAspect="1"/>
                    </pic:cNvPicPr>
                  </pic:nvPicPr>
                  <pic:blipFill>
                    <a:blip r:embed="rId44"/>
                    <a:stretch>
                      <a:fillRect/>
                    </a:stretch>
                  </pic:blipFill>
                  <pic:spPr>
                    <a:xfrm>
                      <a:off x="0" y="0"/>
                      <a:ext cx="5523230" cy="8686165"/>
                    </a:xfrm>
                    <a:prstGeom prst="rect">
                      <a:avLst/>
                    </a:prstGeom>
                    <a:noFill/>
                    <a:ln>
                      <a:noFill/>
                    </a:ln>
                  </pic:spPr>
                </pic:pic>
              </a:graphicData>
            </a:graphic>
          </wp:anchor>
        </w:drawing>
      </w:r>
    </w:p>
    <w:p w14:paraId="18C3EDEC">
      <w:pPr>
        <w:pStyle w:val="2"/>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-95885</wp:posOffset>
            </wp:positionH>
            <wp:positionV relativeFrom="paragraph">
              <wp:posOffset>160655</wp:posOffset>
            </wp:positionV>
            <wp:extent cx="5768975" cy="8425815"/>
            <wp:effectExtent l="0" t="0" r="3175" b="13335"/>
            <wp:wrapNone/>
            <wp:docPr id="55"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30"/>
                    <pic:cNvPicPr>
                      <a:picLocks noChangeAspect="1"/>
                    </pic:cNvPicPr>
                  </pic:nvPicPr>
                  <pic:blipFill>
                    <a:blip r:embed="rId45"/>
                    <a:stretch>
                      <a:fillRect/>
                    </a:stretch>
                  </pic:blipFill>
                  <pic:spPr>
                    <a:xfrm>
                      <a:off x="0" y="0"/>
                      <a:ext cx="5768975" cy="8425815"/>
                    </a:xfrm>
                    <a:prstGeom prst="rect">
                      <a:avLst/>
                    </a:prstGeom>
                    <a:noFill/>
                    <a:ln>
                      <a:noFill/>
                    </a:ln>
                  </pic:spPr>
                </pic:pic>
              </a:graphicData>
            </a:graphic>
          </wp:anchor>
        </w:drawing>
      </w:r>
    </w:p>
    <w:p w14:paraId="6C63FFFE">
      <w:pPr>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-86995</wp:posOffset>
            </wp:positionH>
            <wp:positionV relativeFrom="paragraph">
              <wp:posOffset>0</wp:posOffset>
            </wp:positionV>
            <wp:extent cx="6203315" cy="8644890"/>
            <wp:effectExtent l="0" t="0" r="6985" b="3810"/>
            <wp:wrapNone/>
            <wp:docPr id="56"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31"/>
                    <pic:cNvPicPr>
                      <a:picLocks noChangeAspect="1"/>
                    </pic:cNvPicPr>
                  </pic:nvPicPr>
                  <pic:blipFill>
                    <a:blip r:embed="rId46"/>
                    <a:stretch>
                      <a:fillRect/>
                    </a:stretch>
                  </pic:blipFill>
                  <pic:spPr>
                    <a:xfrm>
                      <a:off x="0" y="0"/>
                      <a:ext cx="6203315" cy="8644890"/>
                    </a:xfrm>
                    <a:prstGeom prst="rect">
                      <a:avLst/>
                    </a:prstGeom>
                    <a:noFill/>
                    <a:ln>
                      <a:noFill/>
                    </a:ln>
                  </pic:spPr>
                </pic:pic>
              </a:graphicData>
            </a:graphic>
          </wp:anchor>
        </w:drawing>
      </w:r>
    </w:p>
    <w:p w14:paraId="1FA20DE4">
      <w:pPr>
        <w:pStyle w:val="2"/>
        <w:rPr>
          <w:rFonts w:hint="eastAsia"/>
          <w:lang w:val="en-US" w:eastAsia="zh-CN"/>
        </w:rPr>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drawing>
          <wp:anchor distT="0" distB="0" distL="114300" distR="114300" simplePos="0" relativeHeight="251662336" behindDoc="1" locked="0" layoutInCell="1" allowOverlap="1">
            <wp:simplePos x="0" y="0"/>
            <wp:positionH relativeFrom="column">
              <wp:posOffset>-233680</wp:posOffset>
            </wp:positionH>
            <wp:positionV relativeFrom="paragraph">
              <wp:posOffset>44450</wp:posOffset>
            </wp:positionV>
            <wp:extent cx="5711825" cy="8475345"/>
            <wp:effectExtent l="0" t="0" r="3175" b="1905"/>
            <wp:wrapNone/>
            <wp:docPr id="57"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2"/>
                    <pic:cNvPicPr>
                      <a:picLocks noChangeAspect="1"/>
                    </pic:cNvPicPr>
                  </pic:nvPicPr>
                  <pic:blipFill>
                    <a:blip r:embed="rId47"/>
                    <a:stretch>
                      <a:fillRect/>
                    </a:stretch>
                  </pic:blipFill>
                  <pic:spPr>
                    <a:xfrm>
                      <a:off x="0" y="0"/>
                      <a:ext cx="5711825" cy="8475345"/>
                    </a:xfrm>
                    <a:prstGeom prst="rect">
                      <a:avLst/>
                    </a:prstGeom>
                    <a:noFill/>
                    <a:ln>
                      <a:noFill/>
                    </a:ln>
                  </pic:spPr>
                </pic:pic>
              </a:graphicData>
            </a:graphic>
          </wp:anchor>
        </w:drawing>
      </w:r>
    </w:p>
    <w:p w14:paraId="2C29ECA4">
      <w:pPr>
        <w:rPr>
          <w:rFonts w:hint="eastAsia"/>
          <w:lang w:val="en-US" w:eastAsia="zh-CN"/>
        </w:rPr>
      </w:pPr>
      <w:r>
        <w:drawing>
          <wp:anchor distT="0" distB="0" distL="114300" distR="114300" simplePos="0" relativeHeight="251663360" behindDoc="1" locked="0" layoutInCell="1" allowOverlap="1">
            <wp:simplePos x="0" y="0"/>
            <wp:positionH relativeFrom="column">
              <wp:posOffset>-86995</wp:posOffset>
            </wp:positionH>
            <wp:positionV relativeFrom="paragraph">
              <wp:posOffset>-63500</wp:posOffset>
            </wp:positionV>
            <wp:extent cx="5697855" cy="8471535"/>
            <wp:effectExtent l="0" t="0" r="17145" b="5715"/>
            <wp:wrapNone/>
            <wp:docPr id="58"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33"/>
                    <pic:cNvPicPr>
                      <a:picLocks noChangeAspect="1"/>
                    </pic:cNvPicPr>
                  </pic:nvPicPr>
                  <pic:blipFill>
                    <a:blip r:embed="rId48"/>
                    <a:stretch>
                      <a:fillRect/>
                    </a:stretch>
                  </pic:blipFill>
                  <pic:spPr>
                    <a:xfrm>
                      <a:off x="0" y="0"/>
                      <a:ext cx="5697855" cy="8471535"/>
                    </a:xfrm>
                    <a:prstGeom prst="rect">
                      <a:avLst/>
                    </a:prstGeom>
                    <a:noFill/>
                    <a:ln>
                      <a:noFill/>
                    </a:ln>
                  </pic:spPr>
                </pic:pic>
              </a:graphicData>
            </a:graphic>
          </wp:anchor>
        </w:drawing>
      </w:r>
    </w:p>
    <w:sectPr>
      <w:pgSz w:w="11906" w:h="16838"/>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0"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Segoe UI">
    <w:panose1 w:val="020B0502040204020203"/>
    <w:charset w:val="00"/>
    <w:family w:val="auto"/>
    <w:pitch w:val="default"/>
    <w:sig w:usb0="E10022FF" w:usb1="C000E47F" w:usb2="00000029" w:usb3="00000000" w:csb0="200001DF" w:csb1="20000000"/>
  </w:font>
  <w:font w:name="MS Mincho">
    <w:panose1 w:val="02020609040205080304"/>
    <w:charset w:val="80"/>
    <w:family w:val="auto"/>
    <w:pitch w:val="default"/>
    <w:sig w:usb0="E00002FF" w:usb1="6AC7FDFB" w:usb2="00000012" w:usb3="00000000" w:csb0="4002009F" w:csb1="DFD70000"/>
  </w:font>
  <w:font w:name="Cambria Math">
    <w:panose1 w:val="02040503050406030204"/>
    <w:charset w:val="00"/>
    <w:family w:val="auto"/>
    <w:pitch w:val="default"/>
    <w:sig w:usb0="E00002FF" w:usb1="420024FF" w:usb2="00000000" w:usb3="00000000" w:csb0="2000019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F9857">
    <w:pPr>
      <w:pStyle w:val="1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0698E">
    <w:pPr>
      <w:pStyle w:val="16"/>
      <w:framePr w:wrap="around" w:vAnchor="text" w:hAnchor="margin" w:xAlign="outside" w:y="1"/>
      <w:ind w:firstLine="560"/>
      <w:rPr>
        <w:rStyle w:val="29"/>
        <w:rFonts w:ascii="宋体" w:hAnsi="宋体"/>
        <w:sz w:val="28"/>
        <w:szCs w:val="28"/>
      </w:rPr>
    </w:pPr>
    <w:r>
      <w:rPr>
        <w:rStyle w:val="29"/>
        <w:rFonts w:hint="eastAsia" w:ascii="宋体" w:hAnsi="宋体"/>
        <w:sz w:val="28"/>
        <w:szCs w:val="28"/>
      </w:rPr>
      <w:t>—</w:t>
    </w:r>
    <w:r>
      <w:rPr>
        <w:rStyle w:val="29"/>
        <w:rFonts w:hint="eastAsia" w:ascii="宋体" w:hAnsi="宋体"/>
        <w:sz w:val="20"/>
      </w:rPr>
      <w:t xml:space="preserve">  </w:t>
    </w:r>
    <w:r>
      <w:rPr>
        <w:rFonts w:hint="default" w:ascii="Times New Roman" w:hAnsi="Times New Roman" w:cs="Times New Roman"/>
        <w:sz w:val="26"/>
        <w:szCs w:val="26"/>
      </w:rPr>
      <w:fldChar w:fldCharType="begin"/>
    </w:r>
    <w:r>
      <w:rPr>
        <w:rStyle w:val="29"/>
        <w:rFonts w:hint="default" w:ascii="Times New Roman" w:hAnsi="Times New Roman" w:cs="Times New Roman"/>
        <w:sz w:val="26"/>
        <w:szCs w:val="26"/>
      </w:rPr>
      <w:instrText xml:space="preserve">PAGE  </w:instrText>
    </w:r>
    <w:r>
      <w:rPr>
        <w:rFonts w:hint="default" w:ascii="Times New Roman" w:hAnsi="Times New Roman" w:cs="Times New Roman"/>
        <w:sz w:val="26"/>
        <w:szCs w:val="26"/>
      </w:rPr>
      <w:fldChar w:fldCharType="separate"/>
    </w:r>
    <w:r>
      <w:rPr>
        <w:rStyle w:val="29"/>
        <w:rFonts w:hint="default" w:ascii="Times New Roman" w:hAnsi="Times New Roman" w:cs="Times New Roman"/>
        <w:sz w:val="26"/>
        <w:szCs w:val="26"/>
      </w:rPr>
      <w:t>48</w:t>
    </w:r>
    <w:r>
      <w:rPr>
        <w:rFonts w:hint="default" w:ascii="Times New Roman" w:hAnsi="Times New Roman" w:cs="Times New Roman"/>
        <w:sz w:val="26"/>
        <w:szCs w:val="26"/>
      </w:rPr>
      <w:fldChar w:fldCharType="end"/>
    </w:r>
    <w:r>
      <w:rPr>
        <w:rStyle w:val="29"/>
        <w:rFonts w:hint="eastAsia" w:ascii="宋体" w:hAnsi="宋体"/>
        <w:sz w:val="20"/>
      </w:rPr>
      <w:t xml:space="preserve">  </w:t>
    </w:r>
    <w:r>
      <w:rPr>
        <w:rStyle w:val="29"/>
        <w:rFonts w:hint="eastAsia" w:ascii="宋体" w:hAnsi="宋体"/>
        <w:sz w:val="28"/>
        <w:szCs w:val="28"/>
      </w:rPr>
      <w:t>—</w:t>
    </w:r>
  </w:p>
  <w:p w14:paraId="36B9B99F">
    <w:pPr>
      <w:pStyle w:val="16"/>
      <w:ind w:right="360" w:firstLine="360"/>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9D6A16">
    <w:pPr>
      <w:pStyle w:val="16"/>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A1B87">
    <w:pPr>
      <w:pStyle w:val="17"/>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F3FD17"/>
    <w:multiLevelType w:val="singleLevel"/>
    <w:tmpl w:val="C5F3FD17"/>
    <w:lvl w:ilvl="0" w:tentative="0">
      <w:start w:val="1"/>
      <w:numFmt w:val="decimal"/>
      <w:suff w:val="nothing"/>
      <w:lvlText w:val="%1、"/>
      <w:lvlJc w:val="left"/>
      <w:pPr>
        <w:ind w:left="-2"/>
      </w:pPr>
    </w:lvl>
  </w:abstractNum>
  <w:abstractNum w:abstractNumId="1">
    <w:nsid w:val="031E11E4"/>
    <w:multiLevelType w:val="singleLevel"/>
    <w:tmpl w:val="031E11E4"/>
    <w:lvl w:ilvl="0" w:tentative="0">
      <w:start w:val="1"/>
      <w:numFmt w:val="decimal"/>
      <w:suff w:val="nothing"/>
      <w:lvlText w:val="%1、"/>
      <w:lvlJc w:val="left"/>
      <w:pPr>
        <w:ind w:left="-2"/>
      </w:pPr>
    </w:lvl>
  </w:abstractNum>
  <w:abstractNum w:abstractNumId="2">
    <w:nsid w:val="160D1F89"/>
    <w:multiLevelType w:val="multilevel"/>
    <w:tmpl w:val="160D1F89"/>
    <w:lvl w:ilvl="0" w:tentative="0">
      <w:start w:val="1"/>
      <w:numFmt w:val="decimal"/>
      <w:pStyle w:val="95"/>
      <w:lvlText w:val="表%1"/>
      <w:lvlJc w:val="center"/>
      <w:pPr>
        <w:ind w:left="420" w:hanging="420"/>
      </w:pPr>
      <w:rPr>
        <w:rFonts w:hint="default" w:ascii="Times New Roman" w:hAnsi="Times New Roman"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33C2C73"/>
    <w:multiLevelType w:val="singleLevel"/>
    <w:tmpl w:val="333C2C73"/>
    <w:lvl w:ilvl="0" w:tentative="0">
      <w:start w:val="1"/>
      <w:numFmt w:val="decimal"/>
      <w:suff w:val="nothing"/>
      <w:lvlText w:val="%1、"/>
      <w:lvlJc w:val="left"/>
    </w:lvl>
  </w:abstractNum>
  <w:abstractNum w:abstractNumId="4">
    <w:nsid w:val="6A8B0564"/>
    <w:multiLevelType w:val="singleLevel"/>
    <w:tmpl w:val="6A8B0564"/>
    <w:lvl w:ilvl="0" w:tentative="0">
      <w:start w:val="1"/>
      <w:numFmt w:val="decimal"/>
      <w:suff w:val="nothing"/>
      <w:lvlText w:val="%1、"/>
      <w:lvlJc w:val="left"/>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hyphenationZone w:val="360"/>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MwMWFjZDNkYmRiNzgxYTgzNDhiNmZkYjQ4ZTU1MDgifQ=="/>
  </w:docVars>
  <w:rsids>
    <w:rsidRoot w:val="00172A27"/>
    <w:rsid w:val="00002745"/>
    <w:rsid w:val="000060B3"/>
    <w:rsid w:val="000074D6"/>
    <w:rsid w:val="00010933"/>
    <w:rsid w:val="00011180"/>
    <w:rsid w:val="0001296F"/>
    <w:rsid w:val="00013BB2"/>
    <w:rsid w:val="0001674D"/>
    <w:rsid w:val="00017EBA"/>
    <w:rsid w:val="00020FCF"/>
    <w:rsid w:val="00021CBC"/>
    <w:rsid w:val="00023723"/>
    <w:rsid w:val="00025933"/>
    <w:rsid w:val="00026177"/>
    <w:rsid w:val="000313B1"/>
    <w:rsid w:val="00034079"/>
    <w:rsid w:val="00040296"/>
    <w:rsid w:val="00040A47"/>
    <w:rsid w:val="00041899"/>
    <w:rsid w:val="00042ACE"/>
    <w:rsid w:val="0004364B"/>
    <w:rsid w:val="000437EE"/>
    <w:rsid w:val="00044F66"/>
    <w:rsid w:val="00045610"/>
    <w:rsid w:val="000460BC"/>
    <w:rsid w:val="0005038D"/>
    <w:rsid w:val="00054FBD"/>
    <w:rsid w:val="000552F5"/>
    <w:rsid w:val="00055861"/>
    <w:rsid w:val="00055AF7"/>
    <w:rsid w:val="00060618"/>
    <w:rsid w:val="00060FCD"/>
    <w:rsid w:val="000611E3"/>
    <w:rsid w:val="00061B1F"/>
    <w:rsid w:val="00061C22"/>
    <w:rsid w:val="0006253B"/>
    <w:rsid w:val="000625FB"/>
    <w:rsid w:val="00064D89"/>
    <w:rsid w:val="000657FA"/>
    <w:rsid w:val="00067378"/>
    <w:rsid w:val="000733C4"/>
    <w:rsid w:val="00074783"/>
    <w:rsid w:val="000747B2"/>
    <w:rsid w:val="00075F8A"/>
    <w:rsid w:val="00076364"/>
    <w:rsid w:val="00076EDB"/>
    <w:rsid w:val="00076FFD"/>
    <w:rsid w:val="00077D84"/>
    <w:rsid w:val="00080031"/>
    <w:rsid w:val="0008070B"/>
    <w:rsid w:val="00080CE5"/>
    <w:rsid w:val="000810AC"/>
    <w:rsid w:val="00081A02"/>
    <w:rsid w:val="00082231"/>
    <w:rsid w:val="00082A7A"/>
    <w:rsid w:val="00084699"/>
    <w:rsid w:val="00084A55"/>
    <w:rsid w:val="00084AE6"/>
    <w:rsid w:val="00085304"/>
    <w:rsid w:val="00086E86"/>
    <w:rsid w:val="00087277"/>
    <w:rsid w:val="000905EA"/>
    <w:rsid w:val="0009107A"/>
    <w:rsid w:val="000914EC"/>
    <w:rsid w:val="00091972"/>
    <w:rsid w:val="00092D38"/>
    <w:rsid w:val="0009377B"/>
    <w:rsid w:val="000937CA"/>
    <w:rsid w:val="00095325"/>
    <w:rsid w:val="00095C1E"/>
    <w:rsid w:val="00095F92"/>
    <w:rsid w:val="000971C1"/>
    <w:rsid w:val="000972CA"/>
    <w:rsid w:val="00097750"/>
    <w:rsid w:val="000A0308"/>
    <w:rsid w:val="000A1956"/>
    <w:rsid w:val="000A1BA8"/>
    <w:rsid w:val="000A20C9"/>
    <w:rsid w:val="000A3B75"/>
    <w:rsid w:val="000B035B"/>
    <w:rsid w:val="000B058F"/>
    <w:rsid w:val="000B0604"/>
    <w:rsid w:val="000B2374"/>
    <w:rsid w:val="000B3B89"/>
    <w:rsid w:val="000B4467"/>
    <w:rsid w:val="000B4DB9"/>
    <w:rsid w:val="000B5FFB"/>
    <w:rsid w:val="000B6556"/>
    <w:rsid w:val="000C09AC"/>
    <w:rsid w:val="000C0E00"/>
    <w:rsid w:val="000C0E4D"/>
    <w:rsid w:val="000C17EE"/>
    <w:rsid w:val="000C38FC"/>
    <w:rsid w:val="000C767F"/>
    <w:rsid w:val="000D359D"/>
    <w:rsid w:val="000D4805"/>
    <w:rsid w:val="000D55F1"/>
    <w:rsid w:val="000D5A44"/>
    <w:rsid w:val="000D6E70"/>
    <w:rsid w:val="000E0940"/>
    <w:rsid w:val="000E15CE"/>
    <w:rsid w:val="000E3ED2"/>
    <w:rsid w:val="000E3FFB"/>
    <w:rsid w:val="000E6ED9"/>
    <w:rsid w:val="000F202B"/>
    <w:rsid w:val="000F484E"/>
    <w:rsid w:val="000F78DA"/>
    <w:rsid w:val="001005B4"/>
    <w:rsid w:val="001034E5"/>
    <w:rsid w:val="00103B64"/>
    <w:rsid w:val="00104B2C"/>
    <w:rsid w:val="0010621C"/>
    <w:rsid w:val="00112E70"/>
    <w:rsid w:val="00122187"/>
    <w:rsid w:val="0012377F"/>
    <w:rsid w:val="0012585D"/>
    <w:rsid w:val="00125ABA"/>
    <w:rsid w:val="001305E0"/>
    <w:rsid w:val="001315A6"/>
    <w:rsid w:val="00131A7E"/>
    <w:rsid w:val="00131F42"/>
    <w:rsid w:val="0013201F"/>
    <w:rsid w:val="00132ED1"/>
    <w:rsid w:val="00133A53"/>
    <w:rsid w:val="001357F1"/>
    <w:rsid w:val="00140FA8"/>
    <w:rsid w:val="00142954"/>
    <w:rsid w:val="00142FEB"/>
    <w:rsid w:val="00143A2D"/>
    <w:rsid w:val="0014425C"/>
    <w:rsid w:val="001444E3"/>
    <w:rsid w:val="001452F7"/>
    <w:rsid w:val="001453E4"/>
    <w:rsid w:val="00145A41"/>
    <w:rsid w:val="00145DC2"/>
    <w:rsid w:val="00150BCB"/>
    <w:rsid w:val="00151675"/>
    <w:rsid w:val="001520C5"/>
    <w:rsid w:val="00155BEE"/>
    <w:rsid w:val="00157435"/>
    <w:rsid w:val="001607FE"/>
    <w:rsid w:val="00161F22"/>
    <w:rsid w:val="001658F8"/>
    <w:rsid w:val="00170BFD"/>
    <w:rsid w:val="00173A6E"/>
    <w:rsid w:val="0017504D"/>
    <w:rsid w:val="00175BFE"/>
    <w:rsid w:val="0017671A"/>
    <w:rsid w:val="00176B40"/>
    <w:rsid w:val="00177422"/>
    <w:rsid w:val="00177BA5"/>
    <w:rsid w:val="00180117"/>
    <w:rsid w:val="00180E68"/>
    <w:rsid w:val="00182595"/>
    <w:rsid w:val="00182B2F"/>
    <w:rsid w:val="00182ECA"/>
    <w:rsid w:val="001842A6"/>
    <w:rsid w:val="00184590"/>
    <w:rsid w:val="00184FD6"/>
    <w:rsid w:val="001870D1"/>
    <w:rsid w:val="0018781E"/>
    <w:rsid w:val="00190F89"/>
    <w:rsid w:val="00191963"/>
    <w:rsid w:val="0019262D"/>
    <w:rsid w:val="00192AC4"/>
    <w:rsid w:val="00192DFD"/>
    <w:rsid w:val="00193990"/>
    <w:rsid w:val="0019453D"/>
    <w:rsid w:val="0019501E"/>
    <w:rsid w:val="00196033"/>
    <w:rsid w:val="00196560"/>
    <w:rsid w:val="00197447"/>
    <w:rsid w:val="00197942"/>
    <w:rsid w:val="00197A2F"/>
    <w:rsid w:val="001A05A0"/>
    <w:rsid w:val="001A0724"/>
    <w:rsid w:val="001A1B35"/>
    <w:rsid w:val="001A2020"/>
    <w:rsid w:val="001A48A2"/>
    <w:rsid w:val="001A49E2"/>
    <w:rsid w:val="001A5BCA"/>
    <w:rsid w:val="001A5CD2"/>
    <w:rsid w:val="001A6F61"/>
    <w:rsid w:val="001B1809"/>
    <w:rsid w:val="001B412D"/>
    <w:rsid w:val="001B4FED"/>
    <w:rsid w:val="001B7058"/>
    <w:rsid w:val="001B72B8"/>
    <w:rsid w:val="001C003C"/>
    <w:rsid w:val="001C4922"/>
    <w:rsid w:val="001C69B3"/>
    <w:rsid w:val="001C6A8C"/>
    <w:rsid w:val="001C7345"/>
    <w:rsid w:val="001C7B9E"/>
    <w:rsid w:val="001D3211"/>
    <w:rsid w:val="001D3CCE"/>
    <w:rsid w:val="001D47C3"/>
    <w:rsid w:val="001D5595"/>
    <w:rsid w:val="001D5776"/>
    <w:rsid w:val="001D6CD9"/>
    <w:rsid w:val="001D6E7C"/>
    <w:rsid w:val="001D7874"/>
    <w:rsid w:val="001D7F22"/>
    <w:rsid w:val="001E0507"/>
    <w:rsid w:val="001E2173"/>
    <w:rsid w:val="001E35DB"/>
    <w:rsid w:val="001E3C5E"/>
    <w:rsid w:val="001E3C96"/>
    <w:rsid w:val="001F0229"/>
    <w:rsid w:val="001F0F17"/>
    <w:rsid w:val="001F2204"/>
    <w:rsid w:val="001F3347"/>
    <w:rsid w:val="001F3638"/>
    <w:rsid w:val="001F36C6"/>
    <w:rsid w:val="001F3AED"/>
    <w:rsid w:val="001F53AE"/>
    <w:rsid w:val="001F69E4"/>
    <w:rsid w:val="001F7738"/>
    <w:rsid w:val="0020214B"/>
    <w:rsid w:val="00202252"/>
    <w:rsid w:val="00202260"/>
    <w:rsid w:val="002041A9"/>
    <w:rsid w:val="00206D7B"/>
    <w:rsid w:val="00206EAA"/>
    <w:rsid w:val="00207680"/>
    <w:rsid w:val="00210D66"/>
    <w:rsid w:val="002121D2"/>
    <w:rsid w:val="002125B4"/>
    <w:rsid w:val="00212F2D"/>
    <w:rsid w:val="002131F8"/>
    <w:rsid w:val="00213F8A"/>
    <w:rsid w:val="002155B8"/>
    <w:rsid w:val="0022127A"/>
    <w:rsid w:val="00221811"/>
    <w:rsid w:val="00222715"/>
    <w:rsid w:val="00223C85"/>
    <w:rsid w:val="00224839"/>
    <w:rsid w:val="002249B2"/>
    <w:rsid w:val="00226574"/>
    <w:rsid w:val="002265A5"/>
    <w:rsid w:val="002271BB"/>
    <w:rsid w:val="002278EC"/>
    <w:rsid w:val="00231A17"/>
    <w:rsid w:val="002325A6"/>
    <w:rsid w:val="0023280E"/>
    <w:rsid w:val="00232910"/>
    <w:rsid w:val="00237447"/>
    <w:rsid w:val="002377D1"/>
    <w:rsid w:val="0024154A"/>
    <w:rsid w:val="00243448"/>
    <w:rsid w:val="00243E3C"/>
    <w:rsid w:val="002502DA"/>
    <w:rsid w:val="00250573"/>
    <w:rsid w:val="002506BC"/>
    <w:rsid w:val="002514D6"/>
    <w:rsid w:val="00251722"/>
    <w:rsid w:val="00254345"/>
    <w:rsid w:val="0025747F"/>
    <w:rsid w:val="002578AF"/>
    <w:rsid w:val="0026047A"/>
    <w:rsid w:val="00262026"/>
    <w:rsid w:val="002620DF"/>
    <w:rsid w:val="00264557"/>
    <w:rsid w:val="00264759"/>
    <w:rsid w:val="00266674"/>
    <w:rsid w:val="00270550"/>
    <w:rsid w:val="00272FA3"/>
    <w:rsid w:val="00275C70"/>
    <w:rsid w:val="00277EB3"/>
    <w:rsid w:val="002805AB"/>
    <w:rsid w:val="00284204"/>
    <w:rsid w:val="00287978"/>
    <w:rsid w:val="00287F34"/>
    <w:rsid w:val="002902CD"/>
    <w:rsid w:val="002913C1"/>
    <w:rsid w:val="00291773"/>
    <w:rsid w:val="00292390"/>
    <w:rsid w:val="00292AAD"/>
    <w:rsid w:val="00293A1E"/>
    <w:rsid w:val="00294235"/>
    <w:rsid w:val="00295443"/>
    <w:rsid w:val="00295755"/>
    <w:rsid w:val="002964AC"/>
    <w:rsid w:val="0029742D"/>
    <w:rsid w:val="00297E55"/>
    <w:rsid w:val="002A168C"/>
    <w:rsid w:val="002A3DC7"/>
    <w:rsid w:val="002A4950"/>
    <w:rsid w:val="002A5C79"/>
    <w:rsid w:val="002A6B50"/>
    <w:rsid w:val="002B3476"/>
    <w:rsid w:val="002B49E2"/>
    <w:rsid w:val="002B55ED"/>
    <w:rsid w:val="002B7B00"/>
    <w:rsid w:val="002B7C44"/>
    <w:rsid w:val="002C008E"/>
    <w:rsid w:val="002C2B17"/>
    <w:rsid w:val="002C5139"/>
    <w:rsid w:val="002C666F"/>
    <w:rsid w:val="002C764A"/>
    <w:rsid w:val="002D1899"/>
    <w:rsid w:val="002D1D03"/>
    <w:rsid w:val="002D29F2"/>
    <w:rsid w:val="002D3DD0"/>
    <w:rsid w:val="002E091A"/>
    <w:rsid w:val="002E0A7A"/>
    <w:rsid w:val="002E0FF6"/>
    <w:rsid w:val="002E14B1"/>
    <w:rsid w:val="002E1BF7"/>
    <w:rsid w:val="002E1F3A"/>
    <w:rsid w:val="002E298A"/>
    <w:rsid w:val="002E4478"/>
    <w:rsid w:val="002F3FCE"/>
    <w:rsid w:val="002F6496"/>
    <w:rsid w:val="002F6EB4"/>
    <w:rsid w:val="002F725F"/>
    <w:rsid w:val="00300481"/>
    <w:rsid w:val="00301978"/>
    <w:rsid w:val="0030332C"/>
    <w:rsid w:val="00304AF7"/>
    <w:rsid w:val="003051C2"/>
    <w:rsid w:val="00312296"/>
    <w:rsid w:val="00312D28"/>
    <w:rsid w:val="00312D5E"/>
    <w:rsid w:val="00314F0E"/>
    <w:rsid w:val="0031653E"/>
    <w:rsid w:val="00320222"/>
    <w:rsid w:val="00320507"/>
    <w:rsid w:val="00321901"/>
    <w:rsid w:val="00321D8E"/>
    <w:rsid w:val="003228F6"/>
    <w:rsid w:val="00324A11"/>
    <w:rsid w:val="00325894"/>
    <w:rsid w:val="00325928"/>
    <w:rsid w:val="00330B5C"/>
    <w:rsid w:val="00331043"/>
    <w:rsid w:val="0033244A"/>
    <w:rsid w:val="00332863"/>
    <w:rsid w:val="00332FB4"/>
    <w:rsid w:val="00333B3E"/>
    <w:rsid w:val="00334905"/>
    <w:rsid w:val="00335729"/>
    <w:rsid w:val="00335EBA"/>
    <w:rsid w:val="0033684D"/>
    <w:rsid w:val="0033704E"/>
    <w:rsid w:val="00337B42"/>
    <w:rsid w:val="00337E41"/>
    <w:rsid w:val="00340421"/>
    <w:rsid w:val="00341B42"/>
    <w:rsid w:val="003433D4"/>
    <w:rsid w:val="0034348F"/>
    <w:rsid w:val="00344383"/>
    <w:rsid w:val="00345917"/>
    <w:rsid w:val="00347A34"/>
    <w:rsid w:val="00352B3B"/>
    <w:rsid w:val="00356653"/>
    <w:rsid w:val="0035743F"/>
    <w:rsid w:val="00357BE2"/>
    <w:rsid w:val="00357C22"/>
    <w:rsid w:val="00360D4D"/>
    <w:rsid w:val="0036170C"/>
    <w:rsid w:val="00362300"/>
    <w:rsid w:val="003661BB"/>
    <w:rsid w:val="00366E0F"/>
    <w:rsid w:val="00366F43"/>
    <w:rsid w:val="003676EB"/>
    <w:rsid w:val="0037239C"/>
    <w:rsid w:val="00372B1F"/>
    <w:rsid w:val="003731AA"/>
    <w:rsid w:val="00377134"/>
    <w:rsid w:val="00381A72"/>
    <w:rsid w:val="00381A89"/>
    <w:rsid w:val="0038299A"/>
    <w:rsid w:val="0038309D"/>
    <w:rsid w:val="00383D10"/>
    <w:rsid w:val="00384676"/>
    <w:rsid w:val="00385B39"/>
    <w:rsid w:val="00390857"/>
    <w:rsid w:val="00390E5D"/>
    <w:rsid w:val="00391351"/>
    <w:rsid w:val="003915ED"/>
    <w:rsid w:val="00392407"/>
    <w:rsid w:val="0039318C"/>
    <w:rsid w:val="003976D4"/>
    <w:rsid w:val="003A08AB"/>
    <w:rsid w:val="003A21A2"/>
    <w:rsid w:val="003A2808"/>
    <w:rsid w:val="003A2907"/>
    <w:rsid w:val="003A4BF3"/>
    <w:rsid w:val="003A4FBA"/>
    <w:rsid w:val="003A619C"/>
    <w:rsid w:val="003A62E6"/>
    <w:rsid w:val="003A6626"/>
    <w:rsid w:val="003A6BA5"/>
    <w:rsid w:val="003B2296"/>
    <w:rsid w:val="003B34A6"/>
    <w:rsid w:val="003B3C27"/>
    <w:rsid w:val="003B3CBE"/>
    <w:rsid w:val="003B420D"/>
    <w:rsid w:val="003B625C"/>
    <w:rsid w:val="003B652C"/>
    <w:rsid w:val="003B7922"/>
    <w:rsid w:val="003B7E9A"/>
    <w:rsid w:val="003C04C1"/>
    <w:rsid w:val="003C1D6F"/>
    <w:rsid w:val="003C24E4"/>
    <w:rsid w:val="003C5589"/>
    <w:rsid w:val="003C6C16"/>
    <w:rsid w:val="003C7262"/>
    <w:rsid w:val="003D158F"/>
    <w:rsid w:val="003D1885"/>
    <w:rsid w:val="003D28ED"/>
    <w:rsid w:val="003D3244"/>
    <w:rsid w:val="003D4B6E"/>
    <w:rsid w:val="003D5870"/>
    <w:rsid w:val="003D5C3D"/>
    <w:rsid w:val="003D794D"/>
    <w:rsid w:val="003E3058"/>
    <w:rsid w:val="003E36FE"/>
    <w:rsid w:val="003E470E"/>
    <w:rsid w:val="003E4768"/>
    <w:rsid w:val="003E604C"/>
    <w:rsid w:val="003E76A9"/>
    <w:rsid w:val="003F0809"/>
    <w:rsid w:val="003F278D"/>
    <w:rsid w:val="003F3780"/>
    <w:rsid w:val="003F6847"/>
    <w:rsid w:val="003F6A8C"/>
    <w:rsid w:val="003F72A8"/>
    <w:rsid w:val="003F755C"/>
    <w:rsid w:val="003F7BB3"/>
    <w:rsid w:val="00400C2E"/>
    <w:rsid w:val="00401A88"/>
    <w:rsid w:val="00405AC1"/>
    <w:rsid w:val="00405FC6"/>
    <w:rsid w:val="00406981"/>
    <w:rsid w:val="00406F01"/>
    <w:rsid w:val="00410820"/>
    <w:rsid w:val="004126FF"/>
    <w:rsid w:val="00413687"/>
    <w:rsid w:val="00416D50"/>
    <w:rsid w:val="00416FD5"/>
    <w:rsid w:val="00417358"/>
    <w:rsid w:val="00417772"/>
    <w:rsid w:val="00417FEF"/>
    <w:rsid w:val="00420028"/>
    <w:rsid w:val="00420E6A"/>
    <w:rsid w:val="00425A9E"/>
    <w:rsid w:val="0042685C"/>
    <w:rsid w:val="00426D6B"/>
    <w:rsid w:val="00427DB9"/>
    <w:rsid w:val="0043041B"/>
    <w:rsid w:val="00430D55"/>
    <w:rsid w:val="004314F5"/>
    <w:rsid w:val="00431DCB"/>
    <w:rsid w:val="00431E6C"/>
    <w:rsid w:val="00433121"/>
    <w:rsid w:val="00433CE7"/>
    <w:rsid w:val="0043497B"/>
    <w:rsid w:val="00436B20"/>
    <w:rsid w:val="004376B0"/>
    <w:rsid w:val="00437F86"/>
    <w:rsid w:val="0044041F"/>
    <w:rsid w:val="0044115A"/>
    <w:rsid w:val="00441EB7"/>
    <w:rsid w:val="004424CE"/>
    <w:rsid w:val="00442E35"/>
    <w:rsid w:val="00450F8D"/>
    <w:rsid w:val="0045186D"/>
    <w:rsid w:val="00452738"/>
    <w:rsid w:val="00455026"/>
    <w:rsid w:val="00455362"/>
    <w:rsid w:val="00456091"/>
    <w:rsid w:val="004575AD"/>
    <w:rsid w:val="00457D2F"/>
    <w:rsid w:val="00461664"/>
    <w:rsid w:val="0046226C"/>
    <w:rsid w:val="00463873"/>
    <w:rsid w:val="00465A77"/>
    <w:rsid w:val="00466321"/>
    <w:rsid w:val="00467690"/>
    <w:rsid w:val="004705EC"/>
    <w:rsid w:val="004718B7"/>
    <w:rsid w:val="00472E31"/>
    <w:rsid w:val="00473C5F"/>
    <w:rsid w:val="00474C91"/>
    <w:rsid w:val="00475F70"/>
    <w:rsid w:val="00476E99"/>
    <w:rsid w:val="00480512"/>
    <w:rsid w:val="0048218D"/>
    <w:rsid w:val="00483643"/>
    <w:rsid w:val="00484048"/>
    <w:rsid w:val="00484B9B"/>
    <w:rsid w:val="004855F6"/>
    <w:rsid w:val="0048661E"/>
    <w:rsid w:val="00486F4F"/>
    <w:rsid w:val="00491411"/>
    <w:rsid w:val="0049414F"/>
    <w:rsid w:val="00494235"/>
    <w:rsid w:val="00494670"/>
    <w:rsid w:val="0049581C"/>
    <w:rsid w:val="00495979"/>
    <w:rsid w:val="004962D8"/>
    <w:rsid w:val="004966EB"/>
    <w:rsid w:val="00496D70"/>
    <w:rsid w:val="004A3823"/>
    <w:rsid w:val="004A3E7D"/>
    <w:rsid w:val="004A5209"/>
    <w:rsid w:val="004A570E"/>
    <w:rsid w:val="004A59C5"/>
    <w:rsid w:val="004B1D6F"/>
    <w:rsid w:val="004B3455"/>
    <w:rsid w:val="004B3856"/>
    <w:rsid w:val="004B3DBA"/>
    <w:rsid w:val="004B421F"/>
    <w:rsid w:val="004B57CA"/>
    <w:rsid w:val="004B6950"/>
    <w:rsid w:val="004C1563"/>
    <w:rsid w:val="004C225C"/>
    <w:rsid w:val="004C43D0"/>
    <w:rsid w:val="004C4773"/>
    <w:rsid w:val="004C6ADB"/>
    <w:rsid w:val="004C7C86"/>
    <w:rsid w:val="004D2511"/>
    <w:rsid w:val="004D3FBF"/>
    <w:rsid w:val="004D519F"/>
    <w:rsid w:val="004D62B6"/>
    <w:rsid w:val="004E09FB"/>
    <w:rsid w:val="004E1B99"/>
    <w:rsid w:val="004E41D8"/>
    <w:rsid w:val="004E4B85"/>
    <w:rsid w:val="004E4ED5"/>
    <w:rsid w:val="004E519E"/>
    <w:rsid w:val="004E6946"/>
    <w:rsid w:val="004E7384"/>
    <w:rsid w:val="004F0C3F"/>
    <w:rsid w:val="004F1AD8"/>
    <w:rsid w:val="004F2156"/>
    <w:rsid w:val="004F3D89"/>
    <w:rsid w:val="004F3FF2"/>
    <w:rsid w:val="004F6A41"/>
    <w:rsid w:val="00503283"/>
    <w:rsid w:val="005039CB"/>
    <w:rsid w:val="00504B7C"/>
    <w:rsid w:val="00504D84"/>
    <w:rsid w:val="0050558F"/>
    <w:rsid w:val="00506286"/>
    <w:rsid w:val="00510813"/>
    <w:rsid w:val="00510D96"/>
    <w:rsid w:val="005110AF"/>
    <w:rsid w:val="00511990"/>
    <w:rsid w:val="005119E1"/>
    <w:rsid w:val="00511DE0"/>
    <w:rsid w:val="005131DB"/>
    <w:rsid w:val="0051473B"/>
    <w:rsid w:val="00514870"/>
    <w:rsid w:val="00514B9B"/>
    <w:rsid w:val="00515481"/>
    <w:rsid w:val="005179DA"/>
    <w:rsid w:val="00517F02"/>
    <w:rsid w:val="005200BA"/>
    <w:rsid w:val="00520964"/>
    <w:rsid w:val="00520C5E"/>
    <w:rsid w:val="005230D1"/>
    <w:rsid w:val="00524303"/>
    <w:rsid w:val="00525311"/>
    <w:rsid w:val="005258A2"/>
    <w:rsid w:val="0052793B"/>
    <w:rsid w:val="0053025C"/>
    <w:rsid w:val="00532F06"/>
    <w:rsid w:val="00533B7C"/>
    <w:rsid w:val="00535492"/>
    <w:rsid w:val="00535F3A"/>
    <w:rsid w:val="00537788"/>
    <w:rsid w:val="00537C37"/>
    <w:rsid w:val="005401AE"/>
    <w:rsid w:val="0054069B"/>
    <w:rsid w:val="0054241E"/>
    <w:rsid w:val="00542E07"/>
    <w:rsid w:val="0054313F"/>
    <w:rsid w:val="00545424"/>
    <w:rsid w:val="00554A7B"/>
    <w:rsid w:val="0055572C"/>
    <w:rsid w:val="00555A11"/>
    <w:rsid w:val="0055773D"/>
    <w:rsid w:val="0056106A"/>
    <w:rsid w:val="00562008"/>
    <w:rsid w:val="00562A25"/>
    <w:rsid w:val="00564E2B"/>
    <w:rsid w:val="005656EE"/>
    <w:rsid w:val="00565A57"/>
    <w:rsid w:val="005663C1"/>
    <w:rsid w:val="005701D6"/>
    <w:rsid w:val="00570D91"/>
    <w:rsid w:val="0057129E"/>
    <w:rsid w:val="005720AE"/>
    <w:rsid w:val="00574C58"/>
    <w:rsid w:val="00574CB1"/>
    <w:rsid w:val="00575E34"/>
    <w:rsid w:val="00575EAA"/>
    <w:rsid w:val="0058312C"/>
    <w:rsid w:val="00583F73"/>
    <w:rsid w:val="00585BE4"/>
    <w:rsid w:val="00587D27"/>
    <w:rsid w:val="00591113"/>
    <w:rsid w:val="00592A2E"/>
    <w:rsid w:val="00592F74"/>
    <w:rsid w:val="005940CC"/>
    <w:rsid w:val="00594600"/>
    <w:rsid w:val="005948D9"/>
    <w:rsid w:val="00594D77"/>
    <w:rsid w:val="005969E4"/>
    <w:rsid w:val="0059721C"/>
    <w:rsid w:val="00597A43"/>
    <w:rsid w:val="005A06B7"/>
    <w:rsid w:val="005A0A34"/>
    <w:rsid w:val="005A1759"/>
    <w:rsid w:val="005A17DA"/>
    <w:rsid w:val="005A3055"/>
    <w:rsid w:val="005A5876"/>
    <w:rsid w:val="005A6515"/>
    <w:rsid w:val="005A68A7"/>
    <w:rsid w:val="005A6C60"/>
    <w:rsid w:val="005A6C65"/>
    <w:rsid w:val="005B4091"/>
    <w:rsid w:val="005B4513"/>
    <w:rsid w:val="005B46A8"/>
    <w:rsid w:val="005B628E"/>
    <w:rsid w:val="005B7D8A"/>
    <w:rsid w:val="005C0A2C"/>
    <w:rsid w:val="005C2DAC"/>
    <w:rsid w:val="005C5D25"/>
    <w:rsid w:val="005C6042"/>
    <w:rsid w:val="005C6BAC"/>
    <w:rsid w:val="005D049F"/>
    <w:rsid w:val="005D1EEA"/>
    <w:rsid w:val="005D36AB"/>
    <w:rsid w:val="005D546F"/>
    <w:rsid w:val="005D5EEE"/>
    <w:rsid w:val="005D5EF3"/>
    <w:rsid w:val="005D7853"/>
    <w:rsid w:val="005E068E"/>
    <w:rsid w:val="005E1231"/>
    <w:rsid w:val="005E36E4"/>
    <w:rsid w:val="005E442B"/>
    <w:rsid w:val="005E722B"/>
    <w:rsid w:val="005F3405"/>
    <w:rsid w:val="005F3417"/>
    <w:rsid w:val="005F5688"/>
    <w:rsid w:val="005F6CF8"/>
    <w:rsid w:val="005F7519"/>
    <w:rsid w:val="00600266"/>
    <w:rsid w:val="00600358"/>
    <w:rsid w:val="00601E96"/>
    <w:rsid w:val="00601EB0"/>
    <w:rsid w:val="0060307A"/>
    <w:rsid w:val="00603E9C"/>
    <w:rsid w:val="00605024"/>
    <w:rsid w:val="00606E8F"/>
    <w:rsid w:val="00607999"/>
    <w:rsid w:val="006110F0"/>
    <w:rsid w:val="00611389"/>
    <w:rsid w:val="00611615"/>
    <w:rsid w:val="00613578"/>
    <w:rsid w:val="00613E60"/>
    <w:rsid w:val="0061420B"/>
    <w:rsid w:val="00617CC3"/>
    <w:rsid w:val="00622050"/>
    <w:rsid w:val="0062316D"/>
    <w:rsid w:val="006249B7"/>
    <w:rsid w:val="00624A11"/>
    <w:rsid w:val="00626573"/>
    <w:rsid w:val="00631193"/>
    <w:rsid w:val="006336F1"/>
    <w:rsid w:val="00636494"/>
    <w:rsid w:val="006377A6"/>
    <w:rsid w:val="00637A3D"/>
    <w:rsid w:val="006411EF"/>
    <w:rsid w:val="00641FD6"/>
    <w:rsid w:val="006443A3"/>
    <w:rsid w:val="006451A9"/>
    <w:rsid w:val="00645D82"/>
    <w:rsid w:val="0065034B"/>
    <w:rsid w:val="00650412"/>
    <w:rsid w:val="00651CFF"/>
    <w:rsid w:val="00651F8A"/>
    <w:rsid w:val="006536C6"/>
    <w:rsid w:val="00653B2A"/>
    <w:rsid w:val="00662892"/>
    <w:rsid w:val="0066333B"/>
    <w:rsid w:val="00663B98"/>
    <w:rsid w:val="0066400F"/>
    <w:rsid w:val="00665422"/>
    <w:rsid w:val="006658ED"/>
    <w:rsid w:val="0066661F"/>
    <w:rsid w:val="00666A06"/>
    <w:rsid w:val="0066749B"/>
    <w:rsid w:val="006676FA"/>
    <w:rsid w:val="006748B8"/>
    <w:rsid w:val="006765A1"/>
    <w:rsid w:val="00676907"/>
    <w:rsid w:val="006775C3"/>
    <w:rsid w:val="00680282"/>
    <w:rsid w:val="00681856"/>
    <w:rsid w:val="00683C5A"/>
    <w:rsid w:val="00683D20"/>
    <w:rsid w:val="00687D33"/>
    <w:rsid w:val="006901C2"/>
    <w:rsid w:val="0069290A"/>
    <w:rsid w:val="006933EA"/>
    <w:rsid w:val="00695115"/>
    <w:rsid w:val="00695159"/>
    <w:rsid w:val="006960D6"/>
    <w:rsid w:val="0069775A"/>
    <w:rsid w:val="00697813"/>
    <w:rsid w:val="006A0863"/>
    <w:rsid w:val="006A2D8A"/>
    <w:rsid w:val="006A3044"/>
    <w:rsid w:val="006A30A5"/>
    <w:rsid w:val="006A369D"/>
    <w:rsid w:val="006A3EE8"/>
    <w:rsid w:val="006A52BB"/>
    <w:rsid w:val="006A583C"/>
    <w:rsid w:val="006A717A"/>
    <w:rsid w:val="006A72BF"/>
    <w:rsid w:val="006B03F2"/>
    <w:rsid w:val="006B0FC7"/>
    <w:rsid w:val="006B37DC"/>
    <w:rsid w:val="006B40B1"/>
    <w:rsid w:val="006B4F68"/>
    <w:rsid w:val="006B719F"/>
    <w:rsid w:val="006B7B96"/>
    <w:rsid w:val="006C0180"/>
    <w:rsid w:val="006C0592"/>
    <w:rsid w:val="006C06D0"/>
    <w:rsid w:val="006C1022"/>
    <w:rsid w:val="006C2625"/>
    <w:rsid w:val="006C265B"/>
    <w:rsid w:val="006C272E"/>
    <w:rsid w:val="006C356C"/>
    <w:rsid w:val="006C528B"/>
    <w:rsid w:val="006C5479"/>
    <w:rsid w:val="006C5962"/>
    <w:rsid w:val="006D13B5"/>
    <w:rsid w:val="006D183A"/>
    <w:rsid w:val="006D2D50"/>
    <w:rsid w:val="006D44E8"/>
    <w:rsid w:val="006D45D6"/>
    <w:rsid w:val="006E12FF"/>
    <w:rsid w:val="006E1CF9"/>
    <w:rsid w:val="006E2D69"/>
    <w:rsid w:val="006E45C0"/>
    <w:rsid w:val="006E52E9"/>
    <w:rsid w:val="006E607E"/>
    <w:rsid w:val="006E7088"/>
    <w:rsid w:val="006E71BA"/>
    <w:rsid w:val="006E767B"/>
    <w:rsid w:val="006F0DA6"/>
    <w:rsid w:val="006F2E78"/>
    <w:rsid w:val="006F599B"/>
    <w:rsid w:val="007023B7"/>
    <w:rsid w:val="0070395E"/>
    <w:rsid w:val="007039F5"/>
    <w:rsid w:val="00703EF6"/>
    <w:rsid w:val="0070576F"/>
    <w:rsid w:val="00706C5D"/>
    <w:rsid w:val="00710451"/>
    <w:rsid w:val="00710484"/>
    <w:rsid w:val="00712678"/>
    <w:rsid w:val="00714049"/>
    <w:rsid w:val="0071410C"/>
    <w:rsid w:val="00714F9E"/>
    <w:rsid w:val="007151FF"/>
    <w:rsid w:val="007152EE"/>
    <w:rsid w:val="007154B5"/>
    <w:rsid w:val="00715F3E"/>
    <w:rsid w:val="0071703F"/>
    <w:rsid w:val="0072076A"/>
    <w:rsid w:val="0072146D"/>
    <w:rsid w:val="00723131"/>
    <w:rsid w:val="00725576"/>
    <w:rsid w:val="007255DF"/>
    <w:rsid w:val="00727397"/>
    <w:rsid w:val="00727F59"/>
    <w:rsid w:val="00732922"/>
    <w:rsid w:val="00733655"/>
    <w:rsid w:val="00734335"/>
    <w:rsid w:val="007370E0"/>
    <w:rsid w:val="00737FA7"/>
    <w:rsid w:val="00741616"/>
    <w:rsid w:val="00742B78"/>
    <w:rsid w:val="007449C0"/>
    <w:rsid w:val="00745073"/>
    <w:rsid w:val="00745ACF"/>
    <w:rsid w:val="00746630"/>
    <w:rsid w:val="00747FA3"/>
    <w:rsid w:val="00750288"/>
    <w:rsid w:val="00750D1E"/>
    <w:rsid w:val="0075162E"/>
    <w:rsid w:val="00754034"/>
    <w:rsid w:val="00754239"/>
    <w:rsid w:val="00756556"/>
    <w:rsid w:val="007570E6"/>
    <w:rsid w:val="00757CB0"/>
    <w:rsid w:val="00757F77"/>
    <w:rsid w:val="007618C4"/>
    <w:rsid w:val="00761AE6"/>
    <w:rsid w:val="007658FC"/>
    <w:rsid w:val="00766C9C"/>
    <w:rsid w:val="00767980"/>
    <w:rsid w:val="00770B19"/>
    <w:rsid w:val="00771C06"/>
    <w:rsid w:val="00771CFD"/>
    <w:rsid w:val="00771E2B"/>
    <w:rsid w:val="007724A2"/>
    <w:rsid w:val="0077316C"/>
    <w:rsid w:val="0077463F"/>
    <w:rsid w:val="00774EE1"/>
    <w:rsid w:val="00775C4C"/>
    <w:rsid w:val="007813F4"/>
    <w:rsid w:val="0078220B"/>
    <w:rsid w:val="00782C10"/>
    <w:rsid w:val="007836EA"/>
    <w:rsid w:val="00784BEA"/>
    <w:rsid w:val="00784CDA"/>
    <w:rsid w:val="007906C4"/>
    <w:rsid w:val="007940EA"/>
    <w:rsid w:val="00795D52"/>
    <w:rsid w:val="007967E8"/>
    <w:rsid w:val="007A1AC4"/>
    <w:rsid w:val="007A2170"/>
    <w:rsid w:val="007A22BF"/>
    <w:rsid w:val="007A3323"/>
    <w:rsid w:val="007A3573"/>
    <w:rsid w:val="007A38E7"/>
    <w:rsid w:val="007A5417"/>
    <w:rsid w:val="007B028A"/>
    <w:rsid w:val="007B0EF7"/>
    <w:rsid w:val="007B193E"/>
    <w:rsid w:val="007B2603"/>
    <w:rsid w:val="007B277C"/>
    <w:rsid w:val="007B2D10"/>
    <w:rsid w:val="007B72B8"/>
    <w:rsid w:val="007B7A58"/>
    <w:rsid w:val="007C0B4A"/>
    <w:rsid w:val="007C1169"/>
    <w:rsid w:val="007C21B5"/>
    <w:rsid w:val="007C2D78"/>
    <w:rsid w:val="007C41F6"/>
    <w:rsid w:val="007C4A36"/>
    <w:rsid w:val="007C71F4"/>
    <w:rsid w:val="007D23C0"/>
    <w:rsid w:val="007D29CC"/>
    <w:rsid w:val="007D31F3"/>
    <w:rsid w:val="007D5E25"/>
    <w:rsid w:val="007D725F"/>
    <w:rsid w:val="007E07B6"/>
    <w:rsid w:val="007E0FE4"/>
    <w:rsid w:val="007E4196"/>
    <w:rsid w:val="007E49E4"/>
    <w:rsid w:val="007E4BD2"/>
    <w:rsid w:val="007E50B4"/>
    <w:rsid w:val="007F024B"/>
    <w:rsid w:val="007F0745"/>
    <w:rsid w:val="007F142D"/>
    <w:rsid w:val="007F1938"/>
    <w:rsid w:val="007F27BA"/>
    <w:rsid w:val="007F39DC"/>
    <w:rsid w:val="007F4004"/>
    <w:rsid w:val="007F7783"/>
    <w:rsid w:val="00800ABE"/>
    <w:rsid w:val="00801393"/>
    <w:rsid w:val="0080163C"/>
    <w:rsid w:val="00801A4B"/>
    <w:rsid w:val="00802F40"/>
    <w:rsid w:val="00802F88"/>
    <w:rsid w:val="00803521"/>
    <w:rsid w:val="00803DEF"/>
    <w:rsid w:val="00804058"/>
    <w:rsid w:val="00805380"/>
    <w:rsid w:val="00805812"/>
    <w:rsid w:val="00806354"/>
    <w:rsid w:val="00807DDE"/>
    <w:rsid w:val="00807F23"/>
    <w:rsid w:val="0081168A"/>
    <w:rsid w:val="0081293E"/>
    <w:rsid w:val="00815465"/>
    <w:rsid w:val="00817A20"/>
    <w:rsid w:val="00817E9A"/>
    <w:rsid w:val="0082015E"/>
    <w:rsid w:val="00821AA0"/>
    <w:rsid w:val="00822731"/>
    <w:rsid w:val="008229AC"/>
    <w:rsid w:val="00825E65"/>
    <w:rsid w:val="00826893"/>
    <w:rsid w:val="008306BD"/>
    <w:rsid w:val="00831A80"/>
    <w:rsid w:val="0083203E"/>
    <w:rsid w:val="00833743"/>
    <w:rsid w:val="008340A4"/>
    <w:rsid w:val="008351E7"/>
    <w:rsid w:val="008353E4"/>
    <w:rsid w:val="00836896"/>
    <w:rsid w:val="00837DFE"/>
    <w:rsid w:val="00840560"/>
    <w:rsid w:val="00840705"/>
    <w:rsid w:val="00841C88"/>
    <w:rsid w:val="00844211"/>
    <w:rsid w:val="0084514E"/>
    <w:rsid w:val="008465B9"/>
    <w:rsid w:val="00850340"/>
    <w:rsid w:val="008518D4"/>
    <w:rsid w:val="00852F28"/>
    <w:rsid w:val="008536EC"/>
    <w:rsid w:val="00853DCF"/>
    <w:rsid w:val="00854721"/>
    <w:rsid w:val="00857A03"/>
    <w:rsid w:val="008615E9"/>
    <w:rsid w:val="008618C4"/>
    <w:rsid w:val="00861A9D"/>
    <w:rsid w:val="00863B59"/>
    <w:rsid w:val="00863F78"/>
    <w:rsid w:val="00866030"/>
    <w:rsid w:val="008664B7"/>
    <w:rsid w:val="0087070B"/>
    <w:rsid w:val="0087135F"/>
    <w:rsid w:val="00871F4E"/>
    <w:rsid w:val="00872D94"/>
    <w:rsid w:val="00873DB7"/>
    <w:rsid w:val="00875D03"/>
    <w:rsid w:val="00875FB2"/>
    <w:rsid w:val="00876FDF"/>
    <w:rsid w:val="0087700D"/>
    <w:rsid w:val="00877879"/>
    <w:rsid w:val="00877DAA"/>
    <w:rsid w:val="00880364"/>
    <w:rsid w:val="008814F2"/>
    <w:rsid w:val="008816CE"/>
    <w:rsid w:val="008860C8"/>
    <w:rsid w:val="008862B0"/>
    <w:rsid w:val="00886CE3"/>
    <w:rsid w:val="00887C74"/>
    <w:rsid w:val="00887F58"/>
    <w:rsid w:val="00890301"/>
    <w:rsid w:val="00891592"/>
    <w:rsid w:val="00891E9E"/>
    <w:rsid w:val="0089235E"/>
    <w:rsid w:val="008940E1"/>
    <w:rsid w:val="008944C9"/>
    <w:rsid w:val="008951BB"/>
    <w:rsid w:val="0089696C"/>
    <w:rsid w:val="008A0A7B"/>
    <w:rsid w:val="008A2F68"/>
    <w:rsid w:val="008A4229"/>
    <w:rsid w:val="008A50FC"/>
    <w:rsid w:val="008B2033"/>
    <w:rsid w:val="008B2A43"/>
    <w:rsid w:val="008B4082"/>
    <w:rsid w:val="008B4FA6"/>
    <w:rsid w:val="008B5282"/>
    <w:rsid w:val="008B615C"/>
    <w:rsid w:val="008B6CBC"/>
    <w:rsid w:val="008B7059"/>
    <w:rsid w:val="008B7C17"/>
    <w:rsid w:val="008C06C7"/>
    <w:rsid w:val="008C100F"/>
    <w:rsid w:val="008C1B9A"/>
    <w:rsid w:val="008C2D01"/>
    <w:rsid w:val="008C40E6"/>
    <w:rsid w:val="008C485F"/>
    <w:rsid w:val="008C4A6E"/>
    <w:rsid w:val="008C576F"/>
    <w:rsid w:val="008C6FDD"/>
    <w:rsid w:val="008C7448"/>
    <w:rsid w:val="008C7A6A"/>
    <w:rsid w:val="008D0F7A"/>
    <w:rsid w:val="008D4906"/>
    <w:rsid w:val="008D68E4"/>
    <w:rsid w:val="008D6B7B"/>
    <w:rsid w:val="008E0506"/>
    <w:rsid w:val="008E0CFF"/>
    <w:rsid w:val="008E1FC9"/>
    <w:rsid w:val="008E2F33"/>
    <w:rsid w:val="008E53A4"/>
    <w:rsid w:val="008E5ABF"/>
    <w:rsid w:val="008E5D6B"/>
    <w:rsid w:val="008E76F0"/>
    <w:rsid w:val="008E7D76"/>
    <w:rsid w:val="008E7DF2"/>
    <w:rsid w:val="008F05E2"/>
    <w:rsid w:val="008F15FE"/>
    <w:rsid w:val="008F2D29"/>
    <w:rsid w:val="008F30F2"/>
    <w:rsid w:val="008F3195"/>
    <w:rsid w:val="008F5187"/>
    <w:rsid w:val="008F5F9C"/>
    <w:rsid w:val="008F60D8"/>
    <w:rsid w:val="00901086"/>
    <w:rsid w:val="00902133"/>
    <w:rsid w:val="009022E7"/>
    <w:rsid w:val="0090232C"/>
    <w:rsid w:val="00902727"/>
    <w:rsid w:val="00902851"/>
    <w:rsid w:val="0090312B"/>
    <w:rsid w:val="00903691"/>
    <w:rsid w:val="00905326"/>
    <w:rsid w:val="00905821"/>
    <w:rsid w:val="00906166"/>
    <w:rsid w:val="00906B21"/>
    <w:rsid w:val="00911266"/>
    <w:rsid w:val="0091736D"/>
    <w:rsid w:val="0092226F"/>
    <w:rsid w:val="00922A4B"/>
    <w:rsid w:val="00923926"/>
    <w:rsid w:val="00927B13"/>
    <w:rsid w:val="0093037A"/>
    <w:rsid w:val="00931FA9"/>
    <w:rsid w:val="009350CE"/>
    <w:rsid w:val="00935E51"/>
    <w:rsid w:val="00936C0A"/>
    <w:rsid w:val="00937170"/>
    <w:rsid w:val="00940324"/>
    <w:rsid w:val="00940A0D"/>
    <w:rsid w:val="0094154D"/>
    <w:rsid w:val="009421B0"/>
    <w:rsid w:val="009428ED"/>
    <w:rsid w:val="009461E9"/>
    <w:rsid w:val="00946A90"/>
    <w:rsid w:val="00947F17"/>
    <w:rsid w:val="0095155F"/>
    <w:rsid w:val="00952920"/>
    <w:rsid w:val="00952DEB"/>
    <w:rsid w:val="00954429"/>
    <w:rsid w:val="00954E1B"/>
    <w:rsid w:val="00955619"/>
    <w:rsid w:val="00955D6C"/>
    <w:rsid w:val="00955E74"/>
    <w:rsid w:val="009563CE"/>
    <w:rsid w:val="00957696"/>
    <w:rsid w:val="009609FB"/>
    <w:rsid w:val="00962E5E"/>
    <w:rsid w:val="00966747"/>
    <w:rsid w:val="00967394"/>
    <w:rsid w:val="0097160A"/>
    <w:rsid w:val="00972364"/>
    <w:rsid w:val="00972448"/>
    <w:rsid w:val="009733BB"/>
    <w:rsid w:val="009754D6"/>
    <w:rsid w:val="00976328"/>
    <w:rsid w:val="00976597"/>
    <w:rsid w:val="0097680D"/>
    <w:rsid w:val="009816C9"/>
    <w:rsid w:val="00982438"/>
    <w:rsid w:val="009833F5"/>
    <w:rsid w:val="00983BFA"/>
    <w:rsid w:val="0098404C"/>
    <w:rsid w:val="00985283"/>
    <w:rsid w:val="00986C90"/>
    <w:rsid w:val="00990B08"/>
    <w:rsid w:val="009910A5"/>
    <w:rsid w:val="00994361"/>
    <w:rsid w:val="009956BB"/>
    <w:rsid w:val="00995992"/>
    <w:rsid w:val="00996CD7"/>
    <w:rsid w:val="009975B0"/>
    <w:rsid w:val="009A024F"/>
    <w:rsid w:val="009A03E5"/>
    <w:rsid w:val="009A0F3B"/>
    <w:rsid w:val="009A1BB4"/>
    <w:rsid w:val="009A2628"/>
    <w:rsid w:val="009A2FAD"/>
    <w:rsid w:val="009A3200"/>
    <w:rsid w:val="009A3C76"/>
    <w:rsid w:val="009A4C69"/>
    <w:rsid w:val="009A4F3B"/>
    <w:rsid w:val="009B0897"/>
    <w:rsid w:val="009B096C"/>
    <w:rsid w:val="009B2A30"/>
    <w:rsid w:val="009B5417"/>
    <w:rsid w:val="009B7BD9"/>
    <w:rsid w:val="009C14D5"/>
    <w:rsid w:val="009C1DE6"/>
    <w:rsid w:val="009C65D3"/>
    <w:rsid w:val="009C7959"/>
    <w:rsid w:val="009C7DD5"/>
    <w:rsid w:val="009D239A"/>
    <w:rsid w:val="009D2753"/>
    <w:rsid w:val="009D2AC3"/>
    <w:rsid w:val="009D31F2"/>
    <w:rsid w:val="009D4789"/>
    <w:rsid w:val="009D49BB"/>
    <w:rsid w:val="009D571B"/>
    <w:rsid w:val="009D6AE0"/>
    <w:rsid w:val="009D6D61"/>
    <w:rsid w:val="009E0062"/>
    <w:rsid w:val="009E1876"/>
    <w:rsid w:val="009E227D"/>
    <w:rsid w:val="009E3478"/>
    <w:rsid w:val="009E3D73"/>
    <w:rsid w:val="009E43B2"/>
    <w:rsid w:val="009E5019"/>
    <w:rsid w:val="009F1E1E"/>
    <w:rsid w:val="009F30FB"/>
    <w:rsid w:val="009F3326"/>
    <w:rsid w:val="009F4B87"/>
    <w:rsid w:val="009F4E99"/>
    <w:rsid w:val="009F7BA9"/>
    <w:rsid w:val="00A0458A"/>
    <w:rsid w:val="00A04F1B"/>
    <w:rsid w:val="00A0501B"/>
    <w:rsid w:val="00A06A53"/>
    <w:rsid w:val="00A10587"/>
    <w:rsid w:val="00A11512"/>
    <w:rsid w:val="00A11938"/>
    <w:rsid w:val="00A12741"/>
    <w:rsid w:val="00A13AA7"/>
    <w:rsid w:val="00A142E9"/>
    <w:rsid w:val="00A14947"/>
    <w:rsid w:val="00A20BA0"/>
    <w:rsid w:val="00A23214"/>
    <w:rsid w:val="00A263A0"/>
    <w:rsid w:val="00A30D0F"/>
    <w:rsid w:val="00A32A83"/>
    <w:rsid w:val="00A3457E"/>
    <w:rsid w:val="00A35C5B"/>
    <w:rsid w:val="00A368DB"/>
    <w:rsid w:val="00A375C4"/>
    <w:rsid w:val="00A41A06"/>
    <w:rsid w:val="00A423AA"/>
    <w:rsid w:val="00A45B8C"/>
    <w:rsid w:val="00A47576"/>
    <w:rsid w:val="00A519EC"/>
    <w:rsid w:val="00A52584"/>
    <w:rsid w:val="00A53EC6"/>
    <w:rsid w:val="00A54824"/>
    <w:rsid w:val="00A55C0F"/>
    <w:rsid w:val="00A57766"/>
    <w:rsid w:val="00A60185"/>
    <w:rsid w:val="00A60C08"/>
    <w:rsid w:val="00A6277E"/>
    <w:rsid w:val="00A64640"/>
    <w:rsid w:val="00A6481E"/>
    <w:rsid w:val="00A6485C"/>
    <w:rsid w:val="00A65097"/>
    <w:rsid w:val="00A66037"/>
    <w:rsid w:val="00A72C59"/>
    <w:rsid w:val="00A73656"/>
    <w:rsid w:val="00A73775"/>
    <w:rsid w:val="00A75034"/>
    <w:rsid w:val="00A7521A"/>
    <w:rsid w:val="00A77A21"/>
    <w:rsid w:val="00A811A6"/>
    <w:rsid w:val="00A84B31"/>
    <w:rsid w:val="00A85458"/>
    <w:rsid w:val="00A868B6"/>
    <w:rsid w:val="00A8713F"/>
    <w:rsid w:val="00A905F2"/>
    <w:rsid w:val="00A90BA1"/>
    <w:rsid w:val="00A90EE8"/>
    <w:rsid w:val="00A91510"/>
    <w:rsid w:val="00A93553"/>
    <w:rsid w:val="00A957A7"/>
    <w:rsid w:val="00A95AA5"/>
    <w:rsid w:val="00A96E11"/>
    <w:rsid w:val="00A97A9A"/>
    <w:rsid w:val="00AA0671"/>
    <w:rsid w:val="00AA1B76"/>
    <w:rsid w:val="00AA20D8"/>
    <w:rsid w:val="00AA2531"/>
    <w:rsid w:val="00AA65EC"/>
    <w:rsid w:val="00AB1A06"/>
    <w:rsid w:val="00AB1E09"/>
    <w:rsid w:val="00AB5330"/>
    <w:rsid w:val="00AB5807"/>
    <w:rsid w:val="00AB5978"/>
    <w:rsid w:val="00AB65CD"/>
    <w:rsid w:val="00AB7383"/>
    <w:rsid w:val="00AB763B"/>
    <w:rsid w:val="00AB7747"/>
    <w:rsid w:val="00AC14CE"/>
    <w:rsid w:val="00AC2A56"/>
    <w:rsid w:val="00AC401D"/>
    <w:rsid w:val="00AC413D"/>
    <w:rsid w:val="00AC4648"/>
    <w:rsid w:val="00AC54D9"/>
    <w:rsid w:val="00AD008E"/>
    <w:rsid w:val="00AD055E"/>
    <w:rsid w:val="00AD1390"/>
    <w:rsid w:val="00AD2D35"/>
    <w:rsid w:val="00AD30D3"/>
    <w:rsid w:val="00AD3A45"/>
    <w:rsid w:val="00AD3B65"/>
    <w:rsid w:val="00AD47A7"/>
    <w:rsid w:val="00AD49DA"/>
    <w:rsid w:val="00AD6515"/>
    <w:rsid w:val="00AD6995"/>
    <w:rsid w:val="00AD7EBB"/>
    <w:rsid w:val="00AE2054"/>
    <w:rsid w:val="00AE24AA"/>
    <w:rsid w:val="00AE3651"/>
    <w:rsid w:val="00AE3CC9"/>
    <w:rsid w:val="00AE5EEC"/>
    <w:rsid w:val="00AF0260"/>
    <w:rsid w:val="00AF0CBF"/>
    <w:rsid w:val="00AF1A26"/>
    <w:rsid w:val="00AF257F"/>
    <w:rsid w:val="00AF3229"/>
    <w:rsid w:val="00AF33CF"/>
    <w:rsid w:val="00AF3BD3"/>
    <w:rsid w:val="00AF4D50"/>
    <w:rsid w:val="00AF5839"/>
    <w:rsid w:val="00AF6179"/>
    <w:rsid w:val="00AF6D75"/>
    <w:rsid w:val="00B004B0"/>
    <w:rsid w:val="00B016A6"/>
    <w:rsid w:val="00B0224C"/>
    <w:rsid w:val="00B02DAE"/>
    <w:rsid w:val="00B034AB"/>
    <w:rsid w:val="00B0568D"/>
    <w:rsid w:val="00B06844"/>
    <w:rsid w:val="00B07037"/>
    <w:rsid w:val="00B077EB"/>
    <w:rsid w:val="00B07CC5"/>
    <w:rsid w:val="00B117C4"/>
    <w:rsid w:val="00B11FA7"/>
    <w:rsid w:val="00B1295A"/>
    <w:rsid w:val="00B15F3C"/>
    <w:rsid w:val="00B164EB"/>
    <w:rsid w:val="00B16EE3"/>
    <w:rsid w:val="00B170B7"/>
    <w:rsid w:val="00B20A45"/>
    <w:rsid w:val="00B214DE"/>
    <w:rsid w:val="00B222F6"/>
    <w:rsid w:val="00B22C5C"/>
    <w:rsid w:val="00B24F30"/>
    <w:rsid w:val="00B270C6"/>
    <w:rsid w:val="00B300DB"/>
    <w:rsid w:val="00B3067E"/>
    <w:rsid w:val="00B308AE"/>
    <w:rsid w:val="00B3150D"/>
    <w:rsid w:val="00B31ABF"/>
    <w:rsid w:val="00B33BE3"/>
    <w:rsid w:val="00B35799"/>
    <w:rsid w:val="00B40257"/>
    <w:rsid w:val="00B41324"/>
    <w:rsid w:val="00B418F7"/>
    <w:rsid w:val="00B45C4F"/>
    <w:rsid w:val="00B45D05"/>
    <w:rsid w:val="00B47D59"/>
    <w:rsid w:val="00B52277"/>
    <w:rsid w:val="00B53479"/>
    <w:rsid w:val="00B53B5D"/>
    <w:rsid w:val="00B5457E"/>
    <w:rsid w:val="00B5534B"/>
    <w:rsid w:val="00B565B8"/>
    <w:rsid w:val="00B56A31"/>
    <w:rsid w:val="00B6055E"/>
    <w:rsid w:val="00B60713"/>
    <w:rsid w:val="00B6084B"/>
    <w:rsid w:val="00B60E14"/>
    <w:rsid w:val="00B6317D"/>
    <w:rsid w:val="00B64B60"/>
    <w:rsid w:val="00B65225"/>
    <w:rsid w:val="00B65B11"/>
    <w:rsid w:val="00B66AA4"/>
    <w:rsid w:val="00B66C65"/>
    <w:rsid w:val="00B672DE"/>
    <w:rsid w:val="00B7479A"/>
    <w:rsid w:val="00B74FB7"/>
    <w:rsid w:val="00B76A16"/>
    <w:rsid w:val="00B7723F"/>
    <w:rsid w:val="00B80534"/>
    <w:rsid w:val="00B81982"/>
    <w:rsid w:val="00B82EF1"/>
    <w:rsid w:val="00B8303E"/>
    <w:rsid w:val="00B842B1"/>
    <w:rsid w:val="00B8433C"/>
    <w:rsid w:val="00B86930"/>
    <w:rsid w:val="00B86E0E"/>
    <w:rsid w:val="00B86E9D"/>
    <w:rsid w:val="00B8725E"/>
    <w:rsid w:val="00B87491"/>
    <w:rsid w:val="00B87523"/>
    <w:rsid w:val="00B91BEE"/>
    <w:rsid w:val="00B9221B"/>
    <w:rsid w:val="00B9274C"/>
    <w:rsid w:val="00B92D96"/>
    <w:rsid w:val="00B932E0"/>
    <w:rsid w:val="00B93CB7"/>
    <w:rsid w:val="00B9635A"/>
    <w:rsid w:val="00B97283"/>
    <w:rsid w:val="00BA0C29"/>
    <w:rsid w:val="00BA2023"/>
    <w:rsid w:val="00BA29E9"/>
    <w:rsid w:val="00BA4D52"/>
    <w:rsid w:val="00BA649F"/>
    <w:rsid w:val="00BA6642"/>
    <w:rsid w:val="00BA7142"/>
    <w:rsid w:val="00BA7D5C"/>
    <w:rsid w:val="00BB0A66"/>
    <w:rsid w:val="00BB15ED"/>
    <w:rsid w:val="00BB2044"/>
    <w:rsid w:val="00BB237C"/>
    <w:rsid w:val="00BB2A76"/>
    <w:rsid w:val="00BB3A85"/>
    <w:rsid w:val="00BB41A3"/>
    <w:rsid w:val="00BC22C1"/>
    <w:rsid w:val="00BC3143"/>
    <w:rsid w:val="00BC32DC"/>
    <w:rsid w:val="00BC35B6"/>
    <w:rsid w:val="00BC4816"/>
    <w:rsid w:val="00BC795B"/>
    <w:rsid w:val="00BC7BE2"/>
    <w:rsid w:val="00BD0816"/>
    <w:rsid w:val="00BD1B51"/>
    <w:rsid w:val="00BD2267"/>
    <w:rsid w:val="00BD22CA"/>
    <w:rsid w:val="00BD414D"/>
    <w:rsid w:val="00BD4596"/>
    <w:rsid w:val="00BD4BA8"/>
    <w:rsid w:val="00BD6880"/>
    <w:rsid w:val="00BD6DF6"/>
    <w:rsid w:val="00BE1405"/>
    <w:rsid w:val="00BE1712"/>
    <w:rsid w:val="00BE3021"/>
    <w:rsid w:val="00BE312D"/>
    <w:rsid w:val="00BE4D78"/>
    <w:rsid w:val="00BE5118"/>
    <w:rsid w:val="00BE7B1E"/>
    <w:rsid w:val="00BF0894"/>
    <w:rsid w:val="00BF1436"/>
    <w:rsid w:val="00BF1C20"/>
    <w:rsid w:val="00BF2FB7"/>
    <w:rsid w:val="00BF3104"/>
    <w:rsid w:val="00BF3779"/>
    <w:rsid w:val="00BF449E"/>
    <w:rsid w:val="00BF4AA3"/>
    <w:rsid w:val="00BF6AAE"/>
    <w:rsid w:val="00BF74E6"/>
    <w:rsid w:val="00C0021A"/>
    <w:rsid w:val="00C016D6"/>
    <w:rsid w:val="00C029CC"/>
    <w:rsid w:val="00C03477"/>
    <w:rsid w:val="00C034F2"/>
    <w:rsid w:val="00C05736"/>
    <w:rsid w:val="00C06B02"/>
    <w:rsid w:val="00C10578"/>
    <w:rsid w:val="00C10E0B"/>
    <w:rsid w:val="00C11242"/>
    <w:rsid w:val="00C135BC"/>
    <w:rsid w:val="00C14051"/>
    <w:rsid w:val="00C14375"/>
    <w:rsid w:val="00C15005"/>
    <w:rsid w:val="00C15537"/>
    <w:rsid w:val="00C156A4"/>
    <w:rsid w:val="00C15C95"/>
    <w:rsid w:val="00C15CA2"/>
    <w:rsid w:val="00C16371"/>
    <w:rsid w:val="00C22393"/>
    <w:rsid w:val="00C22767"/>
    <w:rsid w:val="00C2361B"/>
    <w:rsid w:val="00C2596A"/>
    <w:rsid w:val="00C26939"/>
    <w:rsid w:val="00C27537"/>
    <w:rsid w:val="00C315D4"/>
    <w:rsid w:val="00C328FE"/>
    <w:rsid w:val="00C33507"/>
    <w:rsid w:val="00C34174"/>
    <w:rsid w:val="00C34AFB"/>
    <w:rsid w:val="00C359FF"/>
    <w:rsid w:val="00C36AF1"/>
    <w:rsid w:val="00C372B7"/>
    <w:rsid w:val="00C4409D"/>
    <w:rsid w:val="00C44C25"/>
    <w:rsid w:val="00C44E72"/>
    <w:rsid w:val="00C45A06"/>
    <w:rsid w:val="00C47E5B"/>
    <w:rsid w:val="00C515B5"/>
    <w:rsid w:val="00C5187C"/>
    <w:rsid w:val="00C52121"/>
    <w:rsid w:val="00C568EC"/>
    <w:rsid w:val="00C575A0"/>
    <w:rsid w:val="00C60A0E"/>
    <w:rsid w:val="00C61717"/>
    <w:rsid w:val="00C6180B"/>
    <w:rsid w:val="00C61E4B"/>
    <w:rsid w:val="00C62F02"/>
    <w:rsid w:val="00C63DB2"/>
    <w:rsid w:val="00C64BFF"/>
    <w:rsid w:val="00C66217"/>
    <w:rsid w:val="00C66F06"/>
    <w:rsid w:val="00C67391"/>
    <w:rsid w:val="00C679B2"/>
    <w:rsid w:val="00C704E9"/>
    <w:rsid w:val="00C726CC"/>
    <w:rsid w:val="00C738D2"/>
    <w:rsid w:val="00C73CFF"/>
    <w:rsid w:val="00C74BBC"/>
    <w:rsid w:val="00C74D6E"/>
    <w:rsid w:val="00C75086"/>
    <w:rsid w:val="00C7520C"/>
    <w:rsid w:val="00C75DAC"/>
    <w:rsid w:val="00C763C9"/>
    <w:rsid w:val="00C77E09"/>
    <w:rsid w:val="00C80057"/>
    <w:rsid w:val="00C80524"/>
    <w:rsid w:val="00C81292"/>
    <w:rsid w:val="00C81418"/>
    <w:rsid w:val="00C816D1"/>
    <w:rsid w:val="00C82232"/>
    <w:rsid w:val="00C82913"/>
    <w:rsid w:val="00C86E1B"/>
    <w:rsid w:val="00C902D0"/>
    <w:rsid w:val="00C904E5"/>
    <w:rsid w:val="00C94823"/>
    <w:rsid w:val="00C951E5"/>
    <w:rsid w:val="00C972B1"/>
    <w:rsid w:val="00C97DC1"/>
    <w:rsid w:val="00CA08EA"/>
    <w:rsid w:val="00CA2CCE"/>
    <w:rsid w:val="00CA38B9"/>
    <w:rsid w:val="00CA43FD"/>
    <w:rsid w:val="00CA48E6"/>
    <w:rsid w:val="00CA64C1"/>
    <w:rsid w:val="00CA6522"/>
    <w:rsid w:val="00CA7EF8"/>
    <w:rsid w:val="00CB0E74"/>
    <w:rsid w:val="00CB1EBC"/>
    <w:rsid w:val="00CB23C6"/>
    <w:rsid w:val="00CB3B61"/>
    <w:rsid w:val="00CB5651"/>
    <w:rsid w:val="00CB6ED3"/>
    <w:rsid w:val="00CB72D7"/>
    <w:rsid w:val="00CC1D19"/>
    <w:rsid w:val="00CC2DCC"/>
    <w:rsid w:val="00CC489B"/>
    <w:rsid w:val="00CC4D80"/>
    <w:rsid w:val="00CC5916"/>
    <w:rsid w:val="00CC6309"/>
    <w:rsid w:val="00CC7077"/>
    <w:rsid w:val="00CC722D"/>
    <w:rsid w:val="00CC78A0"/>
    <w:rsid w:val="00CC7D89"/>
    <w:rsid w:val="00CD00B9"/>
    <w:rsid w:val="00CD2511"/>
    <w:rsid w:val="00CD2BCD"/>
    <w:rsid w:val="00CD373C"/>
    <w:rsid w:val="00CD3A4C"/>
    <w:rsid w:val="00CD3C55"/>
    <w:rsid w:val="00CD63AA"/>
    <w:rsid w:val="00CD78ED"/>
    <w:rsid w:val="00CE0AB8"/>
    <w:rsid w:val="00CE10E9"/>
    <w:rsid w:val="00CE247A"/>
    <w:rsid w:val="00CE2910"/>
    <w:rsid w:val="00CE33E4"/>
    <w:rsid w:val="00CE36E7"/>
    <w:rsid w:val="00CE3F7E"/>
    <w:rsid w:val="00CE4448"/>
    <w:rsid w:val="00CE48F1"/>
    <w:rsid w:val="00CE5393"/>
    <w:rsid w:val="00CE6468"/>
    <w:rsid w:val="00CE6642"/>
    <w:rsid w:val="00CF1194"/>
    <w:rsid w:val="00CF1CCF"/>
    <w:rsid w:val="00CF248C"/>
    <w:rsid w:val="00CF36BE"/>
    <w:rsid w:val="00CF539A"/>
    <w:rsid w:val="00CF5C5C"/>
    <w:rsid w:val="00CF6000"/>
    <w:rsid w:val="00CF6D12"/>
    <w:rsid w:val="00CF7773"/>
    <w:rsid w:val="00D003F3"/>
    <w:rsid w:val="00D025DD"/>
    <w:rsid w:val="00D0364F"/>
    <w:rsid w:val="00D06834"/>
    <w:rsid w:val="00D11975"/>
    <w:rsid w:val="00D13FA6"/>
    <w:rsid w:val="00D145FB"/>
    <w:rsid w:val="00D15C32"/>
    <w:rsid w:val="00D17056"/>
    <w:rsid w:val="00D232EE"/>
    <w:rsid w:val="00D2355C"/>
    <w:rsid w:val="00D23F8D"/>
    <w:rsid w:val="00D26B44"/>
    <w:rsid w:val="00D2707D"/>
    <w:rsid w:val="00D271C9"/>
    <w:rsid w:val="00D308ED"/>
    <w:rsid w:val="00D31095"/>
    <w:rsid w:val="00D31129"/>
    <w:rsid w:val="00D31854"/>
    <w:rsid w:val="00D31990"/>
    <w:rsid w:val="00D32D74"/>
    <w:rsid w:val="00D33708"/>
    <w:rsid w:val="00D34EB3"/>
    <w:rsid w:val="00D36D86"/>
    <w:rsid w:val="00D40637"/>
    <w:rsid w:val="00D40855"/>
    <w:rsid w:val="00D41071"/>
    <w:rsid w:val="00D4133C"/>
    <w:rsid w:val="00D428AA"/>
    <w:rsid w:val="00D43B47"/>
    <w:rsid w:val="00D43FAA"/>
    <w:rsid w:val="00D44196"/>
    <w:rsid w:val="00D45DFE"/>
    <w:rsid w:val="00D46F1F"/>
    <w:rsid w:val="00D50A34"/>
    <w:rsid w:val="00D51DB4"/>
    <w:rsid w:val="00D521C5"/>
    <w:rsid w:val="00D5234E"/>
    <w:rsid w:val="00D53EFA"/>
    <w:rsid w:val="00D54A78"/>
    <w:rsid w:val="00D562D1"/>
    <w:rsid w:val="00D56A1F"/>
    <w:rsid w:val="00D61F3E"/>
    <w:rsid w:val="00D6231E"/>
    <w:rsid w:val="00D625D4"/>
    <w:rsid w:val="00D63D9C"/>
    <w:rsid w:val="00D640DA"/>
    <w:rsid w:val="00D64BC9"/>
    <w:rsid w:val="00D66BAE"/>
    <w:rsid w:val="00D67CE8"/>
    <w:rsid w:val="00D707D9"/>
    <w:rsid w:val="00D72170"/>
    <w:rsid w:val="00D72AAB"/>
    <w:rsid w:val="00D73CB8"/>
    <w:rsid w:val="00D74D37"/>
    <w:rsid w:val="00D75D7A"/>
    <w:rsid w:val="00D75DEF"/>
    <w:rsid w:val="00D76685"/>
    <w:rsid w:val="00D77CEA"/>
    <w:rsid w:val="00D802D4"/>
    <w:rsid w:val="00D81491"/>
    <w:rsid w:val="00D84B24"/>
    <w:rsid w:val="00D8573B"/>
    <w:rsid w:val="00D873D1"/>
    <w:rsid w:val="00D90F4E"/>
    <w:rsid w:val="00D91478"/>
    <w:rsid w:val="00D92443"/>
    <w:rsid w:val="00D94607"/>
    <w:rsid w:val="00D948ED"/>
    <w:rsid w:val="00D94A7C"/>
    <w:rsid w:val="00D94BE1"/>
    <w:rsid w:val="00D95896"/>
    <w:rsid w:val="00D9589D"/>
    <w:rsid w:val="00D96CED"/>
    <w:rsid w:val="00DA0316"/>
    <w:rsid w:val="00DA0A10"/>
    <w:rsid w:val="00DA1553"/>
    <w:rsid w:val="00DA25CE"/>
    <w:rsid w:val="00DA25EA"/>
    <w:rsid w:val="00DA27BB"/>
    <w:rsid w:val="00DA3203"/>
    <w:rsid w:val="00DA4B5B"/>
    <w:rsid w:val="00DA55B7"/>
    <w:rsid w:val="00DA55C2"/>
    <w:rsid w:val="00DA5DCB"/>
    <w:rsid w:val="00DA63BE"/>
    <w:rsid w:val="00DA69ED"/>
    <w:rsid w:val="00DB03AF"/>
    <w:rsid w:val="00DB294D"/>
    <w:rsid w:val="00DB2983"/>
    <w:rsid w:val="00DB35E3"/>
    <w:rsid w:val="00DB526D"/>
    <w:rsid w:val="00DB563D"/>
    <w:rsid w:val="00DB61A2"/>
    <w:rsid w:val="00DC0FA9"/>
    <w:rsid w:val="00DC1257"/>
    <w:rsid w:val="00DC1513"/>
    <w:rsid w:val="00DC1CC0"/>
    <w:rsid w:val="00DC210A"/>
    <w:rsid w:val="00DC23E8"/>
    <w:rsid w:val="00DC258A"/>
    <w:rsid w:val="00DC3DC0"/>
    <w:rsid w:val="00DC5156"/>
    <w:rsid w:val="00DC5B2B"/>
    <w:rsid w:val="00DC60F4"/>
    <w:rsid w:val="00DC662C"/>
    <w:rsid w:val="00DC6D15"/>
    <w:rsid w:val="00DC6E38"/>
    <w:rsid w:val="00DC7611"/>
    <w:rsid w:val="00DC7BEB"/>
    <w:rsid w:val="00DD0E37"/>
    <w:rsid w:val="00DD318D"/>
    <w:rsid w:val="00DD41F7"/>
    <w:rsid w:val="00DD55CB"/>
    <w:rsid w:val="00DD7885"/>
    <w:rsid w:val="00DD78DA"/>
    <w:rsid w:val="00DD7CD3"/>
    <w:rsid w:val="00DE04DE"/>
    <w:rsid w:val="00DE47E6"/>
    <w:rsid w:val="00DE51CE"/>
    <w:rsid w:val="00DE51EE"/>
    <w:rsid w:val="00DE56CC"/>
    <w:rsid w:val="00DE6EA5"/>
    <w:rsid w:val="00DF1A00"/>
    <w:rsid w:val="00DF2E12"/>
    <w:rsid w:val="00DF3BF6"/>
    <w:rsid w:val="00DF514A"/>
    <w:rsid w:val="00DF5F6C"/>
    <w:rsid w:val="00DF6690"/>
    <w:rsid w:val="00DF669E"/>
    <w:rsid w:val="00DF6804"/>
    <w:rsid w:val="00E007BD"/>
    <w:rsid w:val="00E00994"/>
    <w:rsid w:val="00E01B60"/>
    <w:rsid w:val="00E02439"/>
    <w:rsid w:val="00E0358D"/>
    <w:rsid w:val="00E04323"/>
    <w:rsid w:val="00E045E6"/>
    <w:rsid w:val="00E070A2"/>
    <w:rsid w:val="00E100B3"/>
    <w:rsid w:val="00E101E5"/>
    <w:rsid w:val="00E10254"/>
    <w:rsid w:val="00E13DE4"/>
    <w:rsid w:val="00E1565E"/>
    <w:rsid w:val="00E16568"/>
    <w:rsid w:val="00E1713D"/>
    <w:rsid w:val="00E23281"/>
    <w:rsid w:val="00E23C97"/>
    <w:rsid w:val="00E247FC"/>
    <w:rsid w:val="00E2656A"/>
    <w:rsid w:val="00E30DC9"/>
    <w:rsid w:val="00E33D9B"/>
    <w:rsid w:val="00E34591"/>
    <w:rsid w:val="00E35180"/>
    <w:rsid w:val="00E35F79"/>
    <w:rsid w:val="00E3674F"/>
    <w:rsid w:val="00E412D0"/>
    <w:rsid w:val="00E42238"/>
    <w:rsid w:val="00E43127"/>
    <w:rsid w:val="00E44C5E"/>
    <w:rsid w:val="00E44F09"/>
    <w:rsid w:val="00E46564"/>
    <w:rsid w:val="00E46BDB"/>
    <w:rsid w:val="00E46E52"/>
    <w:rsid w:val="00E47E1F"/>
    <w:rsid w:val="00E5008E"/>
    <w:rsid w:val="00E508C5"/>
    <w:rsid w:val="00E51E77"/>
    <w:rsid w:val="00E53B55"/>
    <w:rsid w:val="00E54884"/>
    <w:rsid w:val="00E54B9D"/>
    <w:rsid w:val="00E560D0"/>
    <w:rsid w:val="00E56322"/>
    <w:rsid w:val="00E605FF"/>
    <w:rsid w:val="00E60982"/>
    <w:rsid w:val="00E612FC"/>
    <w:rsid w:val="00E6192F"/>
    <w:rsid w:val="00E62C62"/>
    <w:rsid w:val="00E62FEA"/>
    <w:rsid w:val="00E64A5D"/>
    <w:rsid w:val="00E65093"/>
    <w:rsid w:val="00E654C1"/>
    <w:rsid w:val="00E65D97"/>
    <w:rsid w:val="00E66E09"/>
    <w:rsid w:val="00E675E8"/>
    <w:rsid w:val="00E7053C"/>
    <w:rsid w:val="00E71177"/>
    <w:rsid w:val="00E72A5A"/>
    <w:rsid w:val="00E73354"/>
    <w:rsid w:val="00E76367"/>
    <w:rsid w:val="00E76413"/>
    <w:rsid w:val="00E7773E"/>
    <w:rsid w:val="00E777DC"/>
    <w:rsid w:val="00E851C1"/>
    <w:rsid w:val="00E869DE"/>
    <w:rsid w:val="00E879F4"/>
    <w:rsid w:val="00E90C85"/>
    <w:rsid w:val="00E91B68"/>
    <w:rsid w:val="00E9242D"/>
    <w:rsid w:val="00E937C2"/>
    <w:rsid w:val="00E93E6C"/>
    <w:rsid w:val="00E97E0C"/>
    <w:rsid w:val="00EA0E31"/>
    <w:rsid w:val="00EA11A0"/>
    <w:rsid w:val="00EA253F"/>
    <w:rsid w:val="00EA5E92"/>
    <w:rsid w:val="00EA6BA8"/>
    <w:rsid w:val="00EB030E"/>
    <w:rsid w:val="00EB1C31"/>
    <w:rsid w:val="00EB2873"/>
    <w:rsid w:val="00EB332B"/>
    <w:rsid w:val="00EB3350"/>
    <w:rsid w:val="00EB37A0"/>
    <w:rsid w:val="00EB5255"/>
    <w:rsid w:val="00EB5C47"/>
    <w:rsid w:val="00EB60DF"/>
    <w:rsid w:val="00EB6933"/>
    <w:rsid w:val="00EC1607"/>
    <w:rsid w:val="00EC28B1"/>
    <w:rsid w:val="00EC4AB9"/>
    <w:rsid w:val="00EC76F2"/>
    <w:rsid w:val="00ED0639"/>
    <w:rsid w:val="00ED2208"/>
    <w:rsid w:val="00ED2505"/>
    <w:rsid w:val="00ED494C"/>
    <w:rsid w:val="00ED5720"/>
    <w:rsid w:val="00ED61C7"/>
    <w:rsid w:val="00ED77A9"/>
    <w:rsid w:val="00ED7E25"/>
    <w:rsid w:val="00EE13C8"/>
    <w:rsid w:val="00EE2202"/>
    <w:rsid w:val="00EE2CE9"/>
    <w:rsid w:val="00EE2CEC"/>
    <w:rsid w:val="00EE3D40"/>
    <w:rsid w:val="00EE3E60"/>
    <w:rsid w:val="00EE55EE"/>
    <w:rsid w:val="00EE5667"/>
    <w:rsid w:val="00EF07D8"/>
    <w:rsid w:val="00EF36F3"/>
    <w:rsid w:val="00EF4510"/>
    <w:rsid w:val="00EF4755"/>
    <w:rsid w:val="00EF63F0"/>
    <w:rsid w:val="00EF7135"/>
    <w:rsid w:val="00EF73BD"/>
    <w:rsid w:val="00F00231"/>
    <w:rsid w:val="00F027DB"/>
    <w:rsid w:val="00F03F40"/>
    <w:rsid w:val="00F04144"/>
    <w:rsid w:val="00F06E8C"/>
    <w:rsid w:val="00F121F4"/>
    <w:rsid w:val="00F14A7A"/>
    <w:rsid w:val="00F14C21"/>
    <w:rsid w:val="00F17883"/>
    <w:rsid w:val="00F2108F"/>
    <w:rsid w:val="00F21B2D"/>
    <w:rsid w:val="00F22985"/>
    <w:rsid w:val="00F23208"/>
    <w:rsid w:val="00F23A84"/>
    <w:rsid w:val="00F26032"/>
    <w:rsid w:val="00F30B4A"/>
    <w:rsid w:val="00F32F63"/>
    <w:rsid w:val="00F33294"/>
    <w:rsid w:val="00F335D0"/>
    <w:rsid w:val="00F3383E"/>
    <w:rsid w:val="00F33C42"/>
    <w:rsid w:val="00F33C87"/>
    <w:rsid w:val="00F3566C"/>
    <w:rsid w:val="00F36BA8"/>
    <w:rsid w:val="00F416B4"/>
    <w:rsid w:val="00F4277A"/>
    <w:rsid w:val="00F454DD"/>
    <w:rsid w:val="00F45E16"/>
    <w:rsid w:val="00F465A7"/>
    <w:rsid w:val="00F50B7C"/>
    <w:rsid w:val="00F536BF"/>
    <w:rsid w:val="00F550E6"/>
    <w:rsid w:val="00F551D2"/>
    <w:rsid w:val="00F61698"/>
    <w:rsid w:val="00F61F9D"/>
    <w:rsid w:val="00F62B08"/>
    <w:rsid w:val="00F63A3D"/>
    <w:rsid w:val="00F71FBF"/>
    <w:rsid w:val="00F727C6"/>
    <w:rsid w:val="00F74345"/>
    <w:rsid w:val="00F75568"/>
    <w:rsid w:val="00F769DD"/>
    <w:rsid w:val="00F777E3"/>
    <w:rsid w:val="00F80A0A"/>
    <w:rsid w:val="00F80A14"/>
    <w:rsid w:val="00F80B52"/>
    <w:rsid w:val="00F81059"/>
    <w:rsid w:val="00F820CE"/>
    <w:rsid w:val="00F82B19"/>
    <w:rsid w:val="00F832BF"/>
    <w:rsid w:val="00F84321"/>
    <w:rsid w:val="00F85352"/>
    <w:rsid w:val="00F86111"/>
    <w:rsid w:val="00F8614E"/>
    <w:rsid w:val="00F8657C"/>
    <w:rsid w:val="00F86F34"/>
    <w:rsid w:val="00F9212D"/>
    <w:rsid w:val="00F965DA"/>
    <w:rsid w:val="00F978DF"/>
    <w:rsid w:val="00FA0A20"/>
    <w:rsid w:val="00FA109F"/>
    <w:rsid w:val="00FA2E3D"/>
    <w:rsid w:val="00FA3975"/>
    <w:rsid w:val="00FA406A"/>
    <w:rsid w:val="00FA49D5"/>
    <w:rsid w:val="00FA4D7C"/>
    <w:rsid w:val="00FA5B16"/>
    <w:rsid w:val="00FA671D"/>
    <w:rsid w:val="00FA6E76"/>
    <w:rsid w:val="00FB0AC5"/>
    <w:rsid w:val="00FB26B0"/>
    <w:rsid w:val="00FB2DC8"/>
    <w:rsid w:val="00FB503A"/>
    <w:rsid w:val="00FB516C"/>
    <w:rsid w:val="00FB67E6"/>
    <w:rsid w:val="00FB7556"/>
    <w:rsid w:val="00FB78F6"/>
    <w:rsid w:val="00FC1345"/>
    <w:rsid w:val="00FC13C2"/>
    <w:rsid w:val="00FC1EAB"/>
    <w:rsid w:val="00FC2CEB"/>
    <w:rsid w:val="00FC497B"/>
    <w:rsid w:val="00FC5C6A"/>
    <w:rsid w:val="00FC6C6B"/>
    <w:rsid w:val="00FC6FE8"/>
    <w:rsid w:val="00FC73DF"/>
    <w:rsid w:val="00FC7DFF"/>
    <w:rsid w:val="00FD0236"/>
    <w:rsid w:val="00FD0C06"/>
    <w:rsid w:val="00FD18F4"/>
    <w:rsid w:val="00FD1BEC"/>
    <w:rsid w:val="00FD3328"/>
    <w:rsid w:val="00FD4033"/>
    <w:rsid w:val="00FD54DB"/>
    <w:rsid w:val="00FD619F"/>
    <w:rsid w:val="00FD707F"/>
    <w:rsid w:val="00FE2E96"/>
    <w:rsid w:val="00FE32AD"/>
    <w:rsid w:val="00FE477C"/>
    <w:rsid w:val="00FE4EEE"/>
    <w:rsid w:val="00FE7324"/>
    <w:rsid w:val="00FF227D"/>
    <w:rsid w:val="00FF290C"/>
    <w:rsid w:val="00FF3A7F"/>
    <w:rsid w:val="00FF4F93"/>
    <w:rsid w:val="00FF5A75"/>
    <w:rsid w:val="00FF5E13"/>
    <w:rsid w:val="00FF6E56"/>
    <w:rsid w:val="00FF6E63"/>
    <w:rsid w:val="00FF76F4"/>
    <w:rsid w:val="010D6A12"/>
    <w:rsid w:val="011F61C5"/>
    <w:rsid w:val="01290F7E"/>
    <w:rsid w:val="015D1E09"/>
    <w:rsid w:val="01944FA6"/>
    <w:rsid w:val="01B42966"/>
    <w:rsid w:val="02100F99"/>
    <w:rsid w:val="02307803"/>
    <w:rsid w:val="02697903"/>
    <w:rsid w:val="02B069D1"/>
    <w:rsid w:val="02F96569"/>
    <w:rsid w:val="038F49F5"/>
    <w:rsid w:val="03AB350D"/>
    <w:rsid w:val="03AD7259"/>
    <w:rsid w:val="03D3283C"/>
    <w:rsid w:val="03EA7B21"/>
    <w:rsid w:val="03F91A6B"/>
    <w:rsid w:val="03FF2A13"/>
    <w:rsid w:val="04372FD3"/>
    <w:rsid w:val="04C9566C"/>
    <w:rsid w:val="04F26060"/>
    <w:rsid w:val="0535732B"/>
    <w:rsid w:val="05B42FBD"/>
    <w:rsid w:val="05F83EAE"/>
    <w:rsid w:val="063E7D85"/>
    <w:rsid w:val="064A228E"/>
    <w:rsid w:val="067D680B"/>
    <w:rsid w:val="067F2639"/>
    <w:rsid w:val="06A30B9A"/>
    <w:rsid w:val="06A92017"/>
    <w:rsid w:val="06C513B3"/>
    <w:rsid w:val="070F0F5A"/>
    <w:rsid w:val="07293586"/>
    <w:rsid w:val="07295285"/>
    <w:rsid w:val="07636392"/>
    <w:rsid w:val="07770C56"/>
    <w:rsid w:val="0790701B"/>
    <w:rsid w:val="082A0972"/>
    <w:rsid w:val="08A416B0"/>
    <w:rsid w:val="08B638AE"/>
    <w:rsid w:val="08B92F5C"/>
    <w:rsid w:val="08BF5D29"/>
    <w:rsid w:val="08D37440"/>
    <w:rsid w:val="08D6115F"/>
    <w:rsid w:val="092217DD"/>
    <w:rsid w:val="0928493F"/>
    <w:rsid w:val="09331C27"/>
    <w:rsid w:val="09332561"/>
    <w:rsid w:val="093A7294"/>
    <w:rsid w:val="09615163"/>
    <w:rsid w:val="09624FD4"/>
    <w:rsid w:val="09733EB1"/>
    <w:rsid w:val="09A91553"/>
    <w:rsid w:val="09AE2811"/>
    <w:rsid w:val="0A263993"/>
    <w:rsid w:val="0A2D3AC2"/>
    <w:rsid w:val="0A451FDE"/>
    <w:rsid w:val="0A5F76B3"/>
    <w:rsid w:val="0A8864B6"/>
    <w:rsid w:val="0AA755DF"/>
    <w:rsid w:val="0AC41E4E"/>
    <w:rsid w:val="0B120D44"/>
    <w:rsid w:val="0B3E4E83"/>
    <w:rsid w:val="0B425C19"/>
    <w:rsid w:val="0B5B5EEE"/>
    <w:rsid w:val="0BD27BF6"/>
    <w:rsid w:val="0BE64530"/>
    <w:rsid w:val="0C031B2E"/>
    <w:rsid w:val="0C157960"/>
    <w:rsid w:val="0C3B3C7D"/>
    <w:rsid w:val="0C477939"/>
    <w:rsid w:val="0C8F2C97"/>
    <w:rsid w:val="0CA84876"/>
    <w:rsid w:val="0CAB2EAE"/>
    <w:rsid w:val="0D373A0B"/>
    <w:rsid w:val="0D4402DB"/>
    <w:rsid w:val="0D621C7D"/>
    <w:rsid w:val="0D800C11"/>
    <w:rsid w:val="0DBB5B1F"/>
    <w:rsid w:val="0DC26257"/>
    <w:rsid w:val="0DD14FB3"/>
    <w:rsid w:val="0E2B3F92"/>
    <w:rsid w:val="0E37505E"/>
    <w:rsid w:val="0E555607"/>
    <w:rsid w:val="0E6C0156"/>
    <w:rsid w:val="0E73034D"/>
    <w:rsid w:val="0E901F34"/>
    <w:rsid w:val="0ED21086"/>
    <w:rsid w:val="0F13775A"/>
    <w:rsid w:val="0F260E32"/>
    <w:rsid w:val="0F491B88"/>
    <w:rsid w:val="0F5A11DF"/>
    <w:rsid w:val="0F5F45FE"/>
    <w:rsid w:val="0F9A112B"/>
    <w:rsid w:val="0FCB1378"/>
    <w:rsid w:val="10020088"/>
    <w:rsid w:val="100952D6"/>
    <w:rsid w:val="10110E04"/>
    <w:rsid w:val="10117E47"/>
    <w:rsid w:val="10200217"/>
    <w:rsid w:val="10287AF0"/>
    <w:rsid w:val="10490802"/>
    <w:rsid w:val="106D2F64"/>
    <w:rsid w:val="10711606"/>
    <w:rsid w:val="10B63710"/>
    <w:rsid w:val="10B91620"/>
    <w:rsid w:val="10B9388C"/>
    <w:rsid w:val="10DA7F31"/>
    <w:rsid w:val="10EC7A09"/>
    <w:rsid w:val="10F10820"/>
    <w:rsid w:val="111C2F7A"/>
    <w:rsid w:val="113E216F"/>
    <w:rsid w:val="11665CA1"/>
    <w:rsid w:val="11E72E33"/>
    <w:rsid w:val="12015FE0"/>
    <w:rsid w:val="12464B7E"/>
    <w:rsid w:val="126B72EC"/>
    <w:rsid w:val="12F5486C"/>
    <w:rsid w:val="12F91104"/>
    <w:rsid w:val="12FC1620"/>
    <w:rsid w:val="130552BB"/>
    <w:rsid w:val="13623FB2"/>
    <w:rsid w:val="136A269D"/>
    <w:rsid w:val="1388140D"/>
    <w:rsid w:val="13951726"/>
    <w:rsid w:val="13A97E33"/>
    <w:rsid w:val="13E72B27"/>
    <w:rsid w:val="1421237B"/>
    <w:rsid w:val="14396509"/>
    <w:rsid w:val="14B60A59"/>
    <w:rsid w:val="14DD2C3C"/>
    <w:rsid w:val="14E85E71"/>
    <w:rsid w:val="152F1DAD"/>
    <w:rsid w:val="15847E65"/>
    <w:rsid w:val="160550C9"/>
    <w:rsid w:val="16087E1D"/>
    <w:rsid w:val="161811DD"/>
    <w:rsid w:val="162E2871"/>
    <w:rsid w:val="163D0739"/>
    <w:rsid w:val="1642632E"/>
    <w:rsid w:val="169745A9"/>
    <w:rsid w:val="17701D14"/>
    <w:rsid w:val="17735226"/>
    <w:rsid w:val="17945043"/>
    <w:rsid w:val="186B4AC9"/>
    <w:rsid w:val="189F624C"/>
    <w:rsid w:val="18BE612E"/>
    <w:rsid w:val="18E575D0"/>
    <w:rsid w:val="190E060F"/>
    <w:rsid w:val="191B09EA"/>
    <w:rsid w:val="19471413"/>
    <w:rsid w:val="19552630"/>
    <w:rsid w:val="196853BA"/>
    <w:rsid w:val="19BA39F1"/>
    <w:rsid w:val="19C72A50"/>
    <w:rsid w:val="19D964D3"/>
    <w:rsid w:val="19EC6CCB"/>
    <w:rsid w:val="1A1C66C0"/>
    <w:rsid w:val="1A42393B"/>
    <w:rsid w:val="1A5F1459"/>
    <w:rsid w:val="1AAD45DE"/>
    <w:rsid w:val="1ADF4158"/>
    <w:rsid w:val="1AF855C3"/>
    <w:rsid w:val="1B046F80"/>
    <w:rsid w:val="1B080D46"/>
    <w:rsid w:val="1B0846BD"/>
    <w:rsid w:val="1B0A2094"/>
    <w:rsid w:val="1B1D4B81"/>
    <w:rsid w:val="1B3267B5"/>
    <w:rsid w:val="1B40161D"/>
    <w:rsid w:val="1B441859"/>
    <w:rsid w:val="1B6606B1"/>
    <w:rsid w:val="1B6B7C2C"/>
    <w:rsid w:val="1B8B5859"/>
    <w:rsid w:val="1BAD0563"/>
    <w:rsid w:val="1BE42050"/>
    <w:rsid w:val="1C134A9D"/>
    <w:rsid w:val="1C4F044D"/>
    <w:rsid w:val="1C5E7925"/>
    <w:rsid w:val="1C603E61"/>
    <w:rsid w:val="1CF030EB"/>
    <w:rsid w:val="1CFA5A39"/>
    <w:rsid w:val="1CFD070F"/>
    <w:rsid w:val="1D3F3D52"/>
    <w:rsid w:val="1D5F6196"/>
    <w:rsid w:val="1D6132A5"/>
    <w:rsid w:val="1D6C0388"/>
    <w:rsid w:val="1D8A53BB"/>
    <w:rsid w:val="1D8E56D5"/>
    <w:rsid w:val="1DF61C12"/>
    <w:rsid w:val="1E641DAB"/>
    <w:rsid w:val="1E72000D"/>
    <w:rsid w:val="1E7A43DA"/>
    <w:rsid w:val="1EC51B1E"/>
    <w:rsid w:val="1ECA6208"/>
    <w:rsid w:val="1EF53A59"/>
    <w:rsid w:val="1EF85C50"/>
    <w:rsid w:val="1F3B13F3"/>
    <w:rsid w:val="1F9536FA"/>
    <w:rsid w:val="1FE7539E"/>
    <w:rsid w:val="1FF33BCE"/>
    <w:rsid w:val="1FF3623A"/>
    <w:rsid w:val="20671BE0"/>
    <w:rsid w:val="208E40C7"/>
    <w:rsid w:val="208F215E"/>
    <w:rsid w:val="20963CB8"/>
    <w:rsid w:val="20A05C20"/>
    <w:rsid w:val="20A81A1B"/>
    <w:rsid w:val="20AB6F7B"/>
    <w:rsid w:val="20B07FB6"/>
    <w:rsid w:val="20B646FB"/>
    <w:rsid w:val="20CA5FD8"/>
    <w:rsid w:val="213B74B1"/>
    <w:rsid w:val="214B412D"/>
    <w:rsid w:val="215A2310"/>
    <w:rsid w:val="218112EB"/>
    <w:rsid w:val="21CE75F7"/>
    <w:rsid w:val="21DE318A"/>
    <w:rsid w:val="21E71895"/>
    <w:rsid w:val="21E8730B"/>
    <w:rsid w:val="21EF5B80"/>
    <w:rsid w:val="22267A99"/>
    <w:rsid w:val="223F7CBE"/>
    <w:rsid w:val="22507FB7"/>
    <w:rsid w:val="22576990"/>
    <w:rsid w:val="22761145"/>
    <w:rsid w:val="22F47480"/>
    <w:rsid w:val="22FF06CD"/>
    <w:rsid w:val="23467CA5"/>
    <w:rsid w:val="23A82AE6"/>
    <w:rsid w:val="23DE1C48"/>
    <w:rsid w:val="240210CD"/>
    <w:rsid w:val="24395EBC"/>
    <w:rsid w:val="24BF09F7"/>
    <w:rsid w:val="24C0422D"/>
    <w:rsid w:val="24C97AC0"/>
    <w:rsid w:val="24CB5E03"/>
    <w:rsid w:val="24D31866"/>
    <w:rsid w:val="24DB300A"/>
    <w:rsid w:val="251530EB"/>
    <w:rsid w:val="252D53FE"/>
    <w:rsid w:val="2530794C"/>
    <w:rsid w:val="25834631"/>
    <w:rsid w:val="2584667C"/>
    <w:rsid w:val="25983C0C"/>
    <w:rsid w:val="259F2358"/>
    <w:rsid w:val="25C32BCA"/>
    <w:rsid w:val="25DB517C"/>
    <w:rsid w:val="25EC2D81"/>
    <w:rsid w:val="26217CFD"/>
    <w:rsid w:val="264141A3"/>
    <w:rsid w:val="2647197F"/>
    <w:rsid w:val="27270405"/>
    <w:rsid w:val="275703DE"/>
    <w:rsid w:val="277057A2"/>
    <w:rsid w:val="27775093"/>
    <w:rsid w:val="28E862AC"/>
    <w:rsid w:val="29162BC5"/>
    <w:rsid w:val="29206EB8"/>
    <w:rsid w:val="29374FF1"/>
    <w:rsid w:val="29443C37"/>
    <w:rsid w:val="294856D2"/>
    <w:rsid w:val="29595666"/>
    <w:rsid w:val="29816F23"/>
    <w:rsid w:val="29874881"/>
    <w:rsid w:val="29E325E0"/>
    <w:rsid w:val="29E90B31"/>
    <w:rsid w:val="29F1759E"/>
    <w:rsid w:val="2A0216BC"/>
    <w:rsid w:val="2A452503"/>
    <w:rsid w:val="2A5D137B"/>
    <w:rsid w:val="2B2D01CF"/>
    <w:rsid w:val="2B400C25"/>
    <w:rsid w:val="2B5368B0"/>
    <w:rsid w:val="2B591CE7"/>
    <w:rsid w:val="2BA936A8"/>
    <w:rsid w:val="2C0C1576"/>
    <w:rsid w:val="2C315A5A"/>
    <w:rsid w:val="2C4B1C25"/>
    <w:rsid w:val="2C4B3937"/>
    <w:rsid w:val="2C504E98"/>
    <w:rsid w:val="2C6703CD"/>
    <w:rsid w:val="2CAC475F"/>
    <w:rsid w:val="2CB07BE7"/>
    <w:rsid w:val="2D197542"/>
    <w:rsid w:val="2D480265"/>
    <w:rsid w:val="2D6A68D5"/>
    <w:rsid w:val="2D7F2833"/>
    <w:rsid w:val="2D9E56F5"/>
    <w:rsid w:val="2DCF701F"/>
    <w:rsid w:val="2E110181"/>
    <w:rsid w:val="2E534AA2"/>
    <w:rsid w:val="2E5C3FC8"/>
    <w:rsid w:val="2E667F96"/>
    <w:rsid w:val="2E8226AB"/>
    <w:rsid w:val="2EB24C46"/>
    <w:rsid w:val="2EE465D5"/>
    <w:rsid w:val="2EF06BE9"/>
    <w:rsid w:val="2EF44200"/>
    <w:rsid w:val="2F2B5CE3"/>
    <w:rsid w:val="2F540E91"/>
    <w:rsid w:val="2FB25651"/>
    <w:rsid w:val="2FB67708"/>
    <w:rsid w:val="2FD065E6"/>
    <w:rsid w:val="2FD96870"/>
    <w:rsid w:val="2FF371D9"/>
    <w:rsid w:val="301F6A9B"/>
    <w:rsid w:val="302C1778"/>
    <w:rsid w:val="302D5A00"/>
    <w:rsid w:val="30321239"/>
    <w:rsid w:val="30466CDD"/>
    <w:rsid w:val="30580BC9"/>
    <w:rsid w:val="30E63C30"/>
    <w:rsid w:val="3106646D"/>
    <w:rsid w:val="311E2ED7"/>
    <w:rsid w:val="31402E1B"/>
    <w:rsid w:val="314068BF"/>
    <w:rsid w:val="315610DB"/>
    <w:rsid w:val="315619EE"/>
    <w:rsid w:val="315C449C"/>
    <w:rsid w:val="319E679E"/>
    <w:rsid w:val="31B82709"/>
    <w:rsid w:val="31D05482"/>
    <w:rsid w:val="31F65DC8"/>
    <w:rsid w:val="3223727D"/>
    <w:rsid w:val="322F6531"/>
    <w:rsid w:val="32400B34"/>
    <w:rsid w:val="329E6876"/>
    <w:rsid w:val="32BE4284"/>
    <w:rsid w:val="333015F2"/>
    <w:rsid w:val="334B6320"/>
    <w:rsid w:val="33541FD5"/>
    <w:rsid w:val="33BD5024"/>
    <w:rsid w:val="33D934D4"/>
    <w:rsid w:val="33FE2F6A"/>
    <w:rsid w:val="340B4238"/>
    <w:rsid w:val="340E07E5"/>
    <w:rsid w:val="34126FC9"/>
    <w:rsid w:val="34235BF7"/>
    <w:rsid w:val="343307E1"/>
    <w:rsid w:val="345163B4"/>
    <w:rsid w:val="348D039C"/>
    <w:rsid w:val="34BB131C"/>
    <w:rsid w:val="34D339F9"/>
    <w:rsid w:val="358C5FA8"/>
    <w:rsid w:val="359B75A3"/>
    <w:rsid w:val="35A71611"/>
    <w:rsid w:val="35C15DF1"/>
    <w:rsid w:val="35C8524D"/>
    <w:rsid w:val="36074A7F"/>
    <w:rsid w:val="361E726F"/>
    <w:rsid w:val="36923549"/>
    <w:rsid w:val="36B75FBF"/>
    <w:rsid w:val="36BD0C45"/>
    <w:rsid w:val="36FB21DC"/>
    <w:rsid w:val="37133692"/>
    <w:rsid w:val="371C7F29"/>
    <w:rsid w:val="377D6D5D"/>
    <w:rsid w:val="37CB1876"/>
    <w:rsid w:val="37DA181F"/>
    <w:rsid w:val="37E00298"/>
    <w:rsid w:val="380B7184"/>
    <w:rsid w:val="382341E9"/>
    <w:rsid w:val="38A05BB7"/>
    <w:rsid w:val="38AB7B1E"/>
    <w:rsid w:val="38B302F9"/>
    <w:rsid w:val="38B73B53"/>
    <w:rsid w:val="38D26ECD"/>
    <w:rsid w:val="38F12CD3"/>
    <w:rsid w:val="38F94775"/>
    <w:rsid w:val="38FB0BEA"/>
    <w:rsid w:val="392971ED"/>
    <w:rsid w:val="39325651"/>
    <w:rsid w:val="39385CB2"/>
    <w:rsid w:val="3A303B8E"/>
    <w:rsid w:val="3A337C8F"/>
    <w:rsid w:val="3A872856"/>
    <w:rsid w:val="3AAF21A5"/>
    <w:rsid w:val="3B2C75A0"/>
    <w:rsid w:val="3B3763D1"/>
    <w:rsid w:val="3B5D312D"/>
    <w:rsid w:val="3B710987"/>
    <w:rsid w:val="3BEC483D"/>
    <w:rsid w:val="3C2F6E1E"/>
    <w:rsid w:val="3C351CFC"/>
    <w:rsid w:val="3C4F64BA"/>
    <w:rsid w:val="3C78598D"/>
    <w:rsid w:val="3C7A532C"/>
    <w:rsid w:val="3C8D2284"/>
    <w:rsid w:val="3C8F704B"/>
    <w:rsid w:val="3C90308E"/>
    <w:rsid w:val="3C916CAA"/>
    <w:rsid w:val="3CA14969"/>
    <w:rsid w:val="3CDA245A"/>
    <w:rsid w:val="3CDB11F3"/>
    <w:rsid w:val="3D1E06B7"/>
    <w:rsid w:val="3D4E71D1"/>
    <w:rsid w:val="3D6767CE"/>
    <w:rsid w:val="3D6B4490"/>
    <w:rsid w:val="3D8C7AF4"/>
    <w:rsid w:val="3DD1381D"/>
    <w:rsid w:val="3DE53439"/>
    <w:rsid w:val="3DF45379"/>
    <w:rsid w:val="3E4F1453"/>
    <w:rsid w:val="3E7F0F3D"/>
    <w:rsid w:val="3E9E1C73"/>
    <w:rsid w:val="3EDA0523"/>
    <w:rsid w:val="3F437D83"/>
    <w:rsid w:val="3F57350E"/>
    <w:rsid w:val="3F5C4211"/>
    <w:rsid w:val="3F644EEF"/>
    <w:rsid w:val="3FA11D1E"/>
    <w:rsid w:val="3FFE468A"/>
    <w:rsid w:val="407A6407"/>
    <w:rsid w:val="40A5053E"/>
    <w:rsid w:val="40B9482A"/>
    <w:rsid w:val="40C402BA"/>
    <w:rsid w:val="413E44A0"/>
    <w:rsid w:val="416A3E71"/>
    <w:rsid w:val="41790595"/>
    <w:rsid w:val="41F71A21"/>
    <w:rsid w:val="4200449D"/>
    <w:rsid w:val="423A3BCC"/>
    <w:rsid w:val="424E57D2"/>
    <w:rsid w:val="42956D2E"/>
    <w:rsid w:val="42A17DA3"/>
    <w:rsid w:val="42B26C49"/>
    <w:rsid w:val="433A6FE6"/>
    <w:rsid w:val="43480868"/>
    <w:rsid w:val="4350713C"/>
    <w:rsid w:val="436653E0"/>
    <w:rsid w:val="43C4431A"/>
    <w:rsid w:val="43D03296"/>
    <w:rsid w:val="4413225B"/>
    <w:rsid w:val="442F17E9"/>
    <w:rsid w:val="44411F7C"/>
    <w:rsid w:val="444E7F88"/>
    <w:rsid w:val="446B184F"/>
    <w:rsid w:val="44B951CC"/>
    <w:rsid w:val="44CD14E0"/>
    <w:rsid w:val="44F20B0B"/>
    <w:rsid w:val="451D7C5D"/>
    <w:rsid w:val="452E5F4C"/>
    <w:rsid w:val="45612018"/>
    <w:rsid w:val="458946E9"/>
    <w:rsid w:val="45A47C0E"/>
    <w:rsid w:val="45A90CA0"/>
    <w:rsid w:val="460839F7"/>
    <w:rsid w:val="461940F5"/>
    <w:rsid w:val="46577FD6"/>
    <w:rsid w:val="467D233C"/>
    <w:rsid w:val="46C17263"/>
    <w:rsid w:val="46D955A7"/>
    <w:rsid w:val="47036F6E"/>
    <w:rsid w:val="47133957"/>
    <w:rsid w:val="47417D43"/>
    <w:rsid w:val="47513E55"/>
    <w:rsid w:val="478948AD"/>
    <w:rsid w:val="47906BC6"/>
    <w:rsid w:val="47A07E0C"/>
    <w:rsid w:val="47BA4345"/>
    <w:rsid w:val="48084C78"/>
    <w:rsid w:val="480B2094"/>
    <w:rsid w:val="480C0BF5"/>
    <w:rsid w:val="48173546"/>
    <w:rsid w:val="48226D7F"/>
    <w:rsid w:val="483B72D6"/>
    <w:rsid w:val="4870272E"/>
    <w:rsid w:val="488B06F8"/>
    <w:rsid w:val="48F63CE0"/>
    <w:rsid w:val="49417F62"/>
    <w:rsid w:val="496F6FE5"/>
    <w:rsid w:val="49A25432"/>
    <w:rsid w:val="49B242BD"/>
    <w:rsid w:val="49DC7715"/>
    <w:rsid w:val="49E31D69"/>
    <w:rsid w:val="4A023139"/>
    <w:rsid w:val="4A171283"/>
    <w:rsid w:val="4A1A4CC4"/>
    <w:rsid w:val="4A365275"/>
    <w:rsid w:val="4A4C2A82"/>
    <w:rsid w:val="4A7B576F"/>
    <w:rsid w:val="4A841034"/>
    <w:rsid w:val="4ABC7255"/>
    <w:rsid w:val="4AF561A9"/>
    <w:rsid w:val="4B365F45"/>
    <w:rsid w:val="4B413ED2"/>
    <w:rsid w:val="4B5261D1"/>
    <w:rsid w:val="4B6068B8"/>
    <w:rsid w:val="4C4812B9"/>
    <w:rsid w:val="4C4A0649"/>
    <w:rsid w:val="4C7E5ECA"/>
    <w:rsid w:val="4C876AA5"/>
    <w:rsid w:val="4CBB5E4D"/>
    <w:rsid w:val="4CBC3CCA"/>
    <w:rsid w:val="4D0E00FB"/>
    <w:rsid w:val="4D16313C"/>
    <w:rsid w:val="4D176606"/>
    <w:rsid w:val="4D7D371C"/>
    <w:rsid w:val="4D955ED5"/>
    <w:rsid w:val="4DA50B6C"/>
    <w:rsid w:val="4DB11B4D"/>
    <w:rsid w:val="4DE14E7D"/>
    <w:rsid w:val="4DE30B55"/>
    <w:rsid w:val="4DEC4FB0"/>
    <w:rsid w:val="4E075D8A"/>
    <w:rsid w:val="4E0A0AAF"/>
    <w:rsid w:val="4E8447A7"/>
    <w:rsid w:val="4E960A1F"/>
    <w:rsid w:val="4EA44C2A"/>
    <w:rsid w:val="4EC00FAD"/>
    <w:rsid w:val="4EC376A5"/>
    <w:rsid w:val="4F37600C"/>
    <w:rsid w:val="4F9843DC"/>
    <w:rsid w:val="4FC62A8C"/>
    <w:rsid w:val="4FDB39C3"/>
    <w:rsid w:val="4FE20F0D"/>
    <w:rsid w:val="4FE51552"/>
    <w:rsid w:val="4FF77ED1"/>
    <w:rsid w:val="503C2847"/>
    <w:rsid w:val="50504C4B"/>
    <w:rsid w:val="507D064A"/>
    <w:rsid w:val="50923D7E"/>
    <w:rsid w:val="509368D1"/>
    <w:rsid w:val="509C6E7C"/>
    <w:rsid w:val="50EE3547"/>
    <w:rsid w:val="510002CE"/>
    <w:rsid w:val="515C6672"/>
    <w:rsid w:val="515F7347"/>
    <w:rsid w:val="5162104E"/>
    <w:rsid w:val="51705AEA"/>
    <w:rsid w:val="519E15C9"/>
    <w:rsid w:val="51AF3FC9"/>
    <w:rsid w:val="51B51175"/>
    <w:rsid w:val="51F704D9"/>
    <w:rsid w:val="52447FE7"/>
    <w:rsid w:val="529E1C09"/>
    <w:rsid w:val="52DC0984"/>
    <w:rsid w:val="52E3610B"/>
    <w:rsid w:val="52ED4064"/>
    <w:rsid w:val="53540F78"/>
    <w:rsid w:val="53796336"/>
    <w:rsid w:val="53A039CC"/>
    <w:rsid w:val="53A1505A"/>
    <w:rsid w:val="53C76825"/>
    <w:rsid w:val="53E6370E"/>
    <w:rsid w:val="54063E08"/>
    <w:rsid w:val="540E30B2"/>
    <w:rsid w:val="541E00C5"/>
    <w:rsid w:val="54283657"/>
    <w:rsid w:val="543437E8"/>
    <w:rsid w:val="543A25C4"/>
    <w:rsid w:val="543F6901"/>
    <w:rsid w:val="54CB3D53"/>
    <w:rsid w:val="54CD4A78"/>
    <w:rsid w:val="54F73313"/>
    <w:rsid w:val="54F80955"/>
    <w:rsid w:val="555170A7"/>
    <w:rsid w:val="55673D05"/>
    <w:rsid w:val="5587536D"/>
    <w:rsid w:val="558F26B9"/>
    <w:rsid w:val="559B174B"/>
    <w:rsid w:val="55B65B20"/>
    <w:rsid w:val="55CE0CF4"/>
    <w:rsid w:val="55CF494C"/>
    <w:rsid w:val="55F74B93"/>
    <w:rsid w:val="56771B5C"/>
    <w:rsid w:val="56B22A9C"/>
    <w:rsid w:val="56B934B6"/>
    <w:rsid w:val="57212E09"/>
    <w:rsid w:val="57B72A76"/>
    <w:rsid w:val="57B8758F"/>
    <w:rsid w:val="57C3426C"/>
    <w:rsid w:val="57CE1F93"/>
    <w:rsid w:val="583102EB"/>
    <w:rsid w:val="587B4164"/>
    <w:rsid w:val="588743D1"/>
    <w:rsid w:val="5887701A"/>
    <w:rsid w:val="58BA1B79"/>
    <w:rsid w:val="58C83E84"/>
    <w:rsid w:val="58CB3159"/>
    <w:rsid w:val="58FE2301"/>
    <w:rsid w:val="59077885"/>
    <w:rsid w:val="59351788"/>
    <w:rsid w:val="593C4218"/>
    <w:rsid w:val="59A47D9D"/>
    <w:rsid w:val="59C0439F"/>
    <w:rsid w:val="59EC0CBC"/>
    <w:rsid w:val="59FF5F51"/>
    <w:rsid w:val="5A1352DB"/>
    <w:rsid w:val="5A412114"/>
    <w:rsid w:val="5A4612C4"/>
    <w:rsid w:val="5A5D09FE"/>
    <w:rsid w:val="5A754C38"/>
    <w:rsid w:val="5A835D31"/>
    <w:rsid w:val="5ABE2233"/>
    <w:rsid w:val="5AC32C1E"/>
    <w:rsid w:val="5AFA2C14"/>
    <w:rsid w:val="5B180C4A"/>
    <w:rsid w:val="5B361D70"/>
    <w:rsid w:val="5B4219B2"/>
    <w:rsid w:val="5BD14980"/>
    <w:rsid w:val="5BDF5D95"/>
    <w:rsid w:val="5BE0108F"/>
    <w:rsid w:val="5BFE7528"/>
    <w:rsid w:val="5C294C0E"/>
    <w:rsid w:val="5C480805"/>
    <w:rsid w:val="5C537931"/>
    <w:rsid w:val="5C835C87"/>
    <w:rsid w:val="5D115481"/>
    <w:rsid w:val="5D1F2257"/>
    <w:rsid w:val="5D790035"/>
    <w:rsid w:val="5DB15378"/>
    <w:rsid w:val="5E2467F1"/>
    <w:rsid w:val="5E3C457C"/>
    <w:rsid w:val="5E3F48A4"/>
    <w:rsid w:val="5ED13367"/>
    <w:rsid w:val="5F1A2B43"/>
    <w:rsid w:val="5F426012"/>
    <w:rsid w:val="5F4623EB"/>
    <w:rsid w:val="5F8106EC"/>
    <w:rsid w:val="5FAF0583"/>
    <w:rsid w:val="5FAF19A5"/>
    <w:rsid w:val="5FB4598D"/>
    <w:rsid w:val="5FB837BB"/>
    <w:rsid w:val="5FE707D9"/>
    <w:rsid w:val="608428C9"/>
    <w:rsid w:val="609B23AF"/>
    <w:rsid w:val="609C3E0F"/>
    <w:rsid w:val="60BA2373"/>
    <w:rsid w:val="60CC405A"/>
    <w:rsid w:val="60E03176"/>
    <w:rsid w:val="60F835AA"/>
    <w:rsid w:val="61D56453"/>
    <w:rsid w:val="61E215D8"/>
    <w:rsid w:val="621579CD"/>
    <w:rsid w:val="621B3775"/>
    <w:rsid w:val="622925AE"/>
    <w:rsid w:val="62330D2A"/>
    <w:rsid w:val="62364782"/>
    <w:rsid w:val="625D62D7"/>
    <w:rsid w:val="62854D01"/>
    <w:rsid w:val="62A969EB"/>
    <w:rsid w:val="62D8049A"/>
    <w:rsid w:val="62EF025F"/>
    <w:rsid w:val="632D34C9"/>
    <w:rsid w:val="6394356A"/>
    <w:rsid w:val="63B75221"/>
    <w:rsid w:val="63C61B2C"/>
    <w:rsid w:val="63D40BE9"/>
    <w:rsid w:val="640B5748"/>
    <w:rsid w:val="64102431"/>
    <w:rsid w:val="64422B50"/>
    <w:rsid w:val="647626BC"/>
    <w:rsid w:val="647E53E7"/>
    <w:rsid w:val="64A5243A"/>
    <w:rsid w:val="64BF252B"/>
    <w:rsid w:val="64E74CE1"/>
    <w:rsid w:val="64F531DE"/>
    <w:rsid w:val="64F658D5"/>
    <w:rsid w:val="650578B7"/>
    <w:rsid w:val="65327A51"/>
    <w:rsid w:val="65373578"/>
    <w:rsid w:val="6547305D"/>
    <w:rsid w:val="659F6296"/>
    <w:rsid w:val="65B337C6"/>
    <w:rsid w:val="65B37A89"/>
    <w:rsid w:val="65FE13C3"/>
    <w:rsid w:val="670073E4"/>
    <w:rsid w:val="671B19A8"/>
    <w:rsid w:val="671F124A"/>
    <w:rsid w:val="673E1EB4"/>
    <w:rsid w:val="677A33C6"/>
    <w:rsid w:val="67CD77DC"/>
    <w:rsid w:val="681F6961"/>
    <w:rsid w:val="68610A2F"/>
    <w:rsid w:val="6865397B"/>
    <w:rsid w:val="68805514"/>
    <w:rsid w:val="688F1E4D"/>
    <w:rsid w:val="68A14D55"/>
    <w:rsid w:val="68F700EE"/>
    <w:rsid w:val="69316E2F"/>
    <w:rsid w:val="694E2071"/>
    <w:rsid w:val="69766163"/>
    <w:rsid w:val="697A3B33"/>
    <w:rsid w:val="69D44760"/>
    <w:rsid w:val="69DB651B"/>
    <w:rsid w:val="6A026E5A"/>
    <w:rsid w:val="6A0C7949"/>
    <w:rsid w:val="6A1D029D"/>
    <w:rsid w:val="6A292EE8"/>
    <w:rsid w:val="6A485FDA"/>
    <w:rsid w:val="6A520EC7"/>
    <w:rsid w:val="6AA375D8"/>
    <w:rsid w:val="6ABA31EF"/>
    <w:rsid w:val="6ABC3FD1"/>
    <w:rsid w:val="6AF7390A"/>
    <w:rsid w:val="6AF84B39"/>
    <w:rsid w:val="6AF87E20"/>
    <w:rsid w:val="6B276E0D"/>
    <w:rsid w:val="6B322639"/>
    <w:rsid w:val="6B5143E2"/>
    <w:rsid w:val="6B9419A4"/>
    <w:rsid w:val="6BA44A48"/>
    <w:rsid w:val="6BAF2C82"/>
    <w:rsid w:val="6BC404DB"/>
    <w:rsid w:val="6BEA457A"/>
    <w:rsid w:val="6C0905E4"/>
    <w:rsid w:val="6C0F3D57"/>
    <w:rsid w:val="6C636C38"/>
    <w:rsid w:val="6C87109B"/>
    <w:rsid w:val="6C991968"/>
    <w:rsid w:val="6CA40154"/>
    <w:rsid w:val="6CEA3D18"/>
    <w:rsid w:val="6D0112BB"/>
    <w:rsid w:val="6D106881"/>
    <w:rsid w:val="6D3474F9"/>
    <w:rsid w:val="6D37551F"/>
    <w:rsid w:val="6D633D24"/>
    <w:rsid w:val="6D986F34"/>
    <w:rsid w:val="6DB34098"/>
    <w:rsid w:val="6DB545B6"/>
    <w:rsid w:val="6DB602F7"/>
    <w:rsid w:val="6DD53383"/>
    <w:rsid w:val="6DDA112F"/>
    <w:rsid w:val="6DE02FB4"/>
    <w:rsid w:val="6E065159"/>
    <w:rsid w:val="6E4B4EE4"/>
    <w:rsid w:val="6E514CED"/>
    <w:rsid w:val="6E525B0A"/>
    <w:rsid w:val="6E8B3153"/>
    <w:rsid w:val="6EB563D5"/>
    <w:rsid w:val="6EBE4284"/>
    <w:rsid w:val="6ED92677"/>
    <w:rsid w:val="6EEF7E3C"/>
    <w:rsid w:val="6F225983"/>
    <w:rsid w:val="6F317A5A"/>
    <w:rsid w:val="6F623EC3"/>
    <w:rsid w:val="6F6967A0"/>
    <w:rsid w:val="6F937C78"/>
    <w:rsid w:val="6F9B0077"/>
    <w:rsid w:val="6FCC5BB0"/>
    <w:rsid w:val="6FF40146"/>
    <w:rsid w:val="6FFC5590"/>
    <w:rsid w:val="701E2CFF"/>
    <w:rsid w:val="70603B66"/>
    <w:rsid w:val="70657DB3"/>
    <w:rsid w:val="706D1DD0"/>
    <w:rsid w:val="707B056C"/>
    <w:rsid w:val="70856B87"/>
    <w:rsid w:val="70BE7804"/>
    <w:rsid w:val="70C25013"/>
    <w:rsid w:val="70D527EE"/>
    <w:rsid w:val="70FC36BE"/>
    <w:rsid w:val="710518F4"/>
    <w:rsid w:val="715667FD"/>
    <w:rsid w:val="715B5300"/>
    <w:rsid w:val="71855122"/>
    <w:rsid w:val="7191417A"/>
    <w:rsid w:val="719360E4"/>
    <w:rsid w:val="71C066E5"/>
    <w:rsid w:val="71C0788F"/>
    <w:rsid w:val="71C23B99"/>
    <w:rsid w:val="71D27F8A"/>
    <w:rsid w:val="71E3575C"/>
    <w:rsid w:val="72553024"/>
    <w:rsid w:val="72672E2C"/>
    <w:rsid w:val="729F6449"/>
    <w:rsid w:val="72E01F74"/>
    <w:rsid w:val="72E02FBD"/>
    <w:rsid w:val="72E22130"/>
    <w:rsid w:val="73122968"/>
    <w:rsid w:val="731F5D5E"/>
    <w:rsid w:val="73AA5941"/>
    <w:rsid w:val="73C51AD5"/>
    <w:rsid w:val="74085625"/>
    <w:rsid w:val="741E793C"/>
    <w:rsid w:val="742E55D2"/>
    <w:rsid w:val="744E0160"/>
    <w:rsid w:val="745E3944"/>
    <w:rsid w:val="74847690"/>
    <w:rsid w:val="74CE02BA"/>
    <w:rsid w:val="75273889"/>
    <w:rsid w:val="753B20EB"/>
    <w:rsid w:val="755D295A"/>
    <w:rsid w:val="7568350E"/>
    <w:rsid w:val="75C666D8"/>
    <w:rsid w:val="76072D30"/>
    <w:rsid w:val="76303E0C"/>
    <w:rsid w:val="7635099D"/>
    <w:rsid w:val="763B694A"/>
    <w:rsid w:val="768C1033"/>
    <w:rsid w:val="76BF3AB3"/>
    <w:rsid w:val="77145059"/>
    <w:rsid w:val="772325E6"/>
    <w:rsid w:val="773053D8"/>
    <w:rsid w:val="77542EA2"/>
    <w:rsid w:val="7762504C"/>
    <w:rsid w:val="77762421"/>
    <w:rsid w:val="779573D4"/>
    <w:rsid w:val="77B56B1F"/>
    <w:rsid w:val="7804286E"/>
    <w:rsid w:val="780F09F4"/>
    <w:rsid w:val="78412112"/>
    <w:rsid w:val="78A90480"/>
    <w:rsid w:val="78E03122"/>
    <w:rsid w:val="78E07DD1"/>
    <w:rsid w:val="79904882"/>
    <w:rsid w:val="7A005375"/>
    <w:rsid w:val="7A364017"/>
    <w:rsid w:val="7A6650D1"/>
    <w:rsid w:val="7A8265E1"/>
    <w:rsid w:val="7A8E742C"/>
    <w:rsid w:val="7AC07A5E"/>
    <w:rsid w:val="7B686D42"/>
    <w:rsid w:val="7B7C2B7F"/>
    <w:rsid w:val="7B7F2AA7"/>
    <w:rsid w:val="7B841746"/>
    <w:rsid w:val="7BCC4458"/>
    <w:rsid w:val="7BEF1159"/>
    <w:rsid w:val="7C0A2C05"/>
    <w:rsid w:val="7C277513"/>
    <w:rsid w:val="7C495266"/>
    <w:rsid w:val="7C6C5AC7"/>
    <w:rsid w:val="7CBB76EF"/>
    <w:rsid w:val="7CC6544B"/>
    <w:rsid w:val="7CF11582"/>
    <w:rsid w:val="7D0239FF"/>
    <w:rsid w:val="7D0454BB"/>
    <w:rsid w:val="7D262581"/>
    <w:rsid w:val="7D4C0BAC"/>
    <w:rsid w:val="7D5E40CD"/>
    <w:rsid w:val="7DB346B5"/>
    <w:rsid w:val="7DC4191F"/>
    <w:rsid w:val="7DCD56F2"/>
    <w:rsid w:val="7E612463"/>
    <w:rsid w:val="7E65203E"/>
    <w:rsid w:val="7F001CE7"/>
    <w:rsid w:val="7F4C4463"/>
    <w:rsid w:val="7F5523EE"/>
    <w:rsid w:val="7F8543FD"/>
    <w:rsid w:val="7F8D5BEA"/>
    <w:rsid w:val="7FE47E50"/>
    <w:rsid w:val="7FF96AF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nhideWhenUsed="0" w:uiPriority="0" w:semiHidden="0" w:name="heading 2" w:locked="1"/>
    <w:lsdException w:qFormat="1" w:uiPriority="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39"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nhideWhenUsed="0" w:uiPriority="35" w:semiHidden="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qFormat="1" w:uiPriority="99"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nhideWhenUsed="0" w:uiPriority="0" w:semiHidden="0" w:name="Body Text 2" w:locked="1"/>
    <w:lsdException w:unhideWhenUsed="0" w:uiPriority="0" w:semiHidden="0" w:name="Body Text 3" w:locked="1"/>
    <w:lsdException w:unhideWhenUsed="0" w:uiPriority="0" w:semiHidden="0" w:name="Body Text Indent 2" w:locked="1"/>
    <w:lsdException w:unhideWhenUsed="0" w:uiPriority="0" w:semiHidden="0" w:name="Body Text Indent 3" w:locked="1"/>
    <w:lsdException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99"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qFormat="1"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Times New Roman" w:hAnsi="Times New Roman" w:eastAsia="宋体" w:cs="Times New Roman"/>
      <w:kern w:val="2"/>
      <w:sz w:val="24"/>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link w:val="35"/>
    <w:qFormat/>
    <w:locked/>
    <w:uiPriority w:val="0"/>
    <w:pPr>
      <w:keepNext/>
      <w:keepLines/>
      <w:spacing w:before="260" w:after="260" w:line="416" w:lineRule="auto"/>
      <w:outlineLvl w:val="1"/>
    </w:pPr>
    <w:rPr>
      <w:rFonts w:ascii="Calibri Light" w:hAnsi="Calibri Light" w:eastAsia="宋体" w:cs="Times New Roman"/>
      <w:b/>
      <w:bCs/>
      <w:sz w:val="32"/>
      <w:szCs w:val="32"/>
    </w:rPr>
  </w:style>
  <w:style w:type="paragraph" w:styleId="4">
    <w:name w:val="heading 4"/>
    <w:basedOn w:val="1"/>
    <w:next w:val="1"/>
    <w:link w:val="36"/>
    <w:qFormat/>
    <w:locked/>
    <w:uiPriority w:val="0"/>
    <w:pPr>
      <w:keepNext/>
      <w:keepLines/>
      <w:spacing w:before="280" w:after="290" w:line="376" w:lineRule="auto"/>
      <w:outlineLvl w:val="3"/>
    </w:pPr>
    <w:rPr>
      <w:rFonts w:ascii="Calibri Light" w:hAnsi="Calibri Light" w:eastAsia="宋体" w:cs="Times New Roman"/>
      <w:b/>
      <w:bCs/>
      <w:sz w:val="28"/>
      <w:szCs w:val="28"/>
    </w:rPr>
  </w:style>
  <w:style w:type="character" w:default="1" w:styleId="27">
    <w:name w:val="Default Paragraph Font"/>
    <w:semiHidden/>
    <w:qFormat/>
    <w:uiPriority w:val="0"/>
  </w:style>
  <w:style w:type="table" w:default="1" w:styleId="25">
    <w:name w:val="Normal Table"/>
    <w:semiHidden/>
    <w:qFormat/>
    <w:uiPriority w:val="0"/>
    <w:tblPr>
      <w:tblCellMar>
        <w:top w:w="0" w:type="dxa"/>
        <w:left w:w="108" w:type="dxa"/>
        <w:bottom w:w="0" w:type="dxa"/>
        <w:right w:w="108" w:type="dxa"/>
      </w:tblCellMar>
    </w:tblPr>
  </w:style>
  <w:style w:type="paragraph" w:styleId="5">
    <w:name w:val="Normal Indent"/>
    <w:basedOn w:val="1"/>
    <w:next w:val="1"/>
    <w:qFormat/>
    <w:locked/>
    <w:uiPriority w:val="0"/>
    <w:rPr>
      <w:sz w:val="28"/>
      <w:szCs w:val="20"/>
    </w:rPr>
  </w:style>
  <w:style w:type="paragraph" w:styleId="6">
    <w:name w:val="caption"/>
    <w:basedOn w:val="1"/>
    <w:next w:val="1"/>
    <w:link w:val="37"/>
    <w:qFormat/>
    <w:locked/>
    <w:uiPriority w:val="35"/>
    <w:pPr>
      <w:ind w:firstLine="0" w:firstLineChars="0"/>
      <w:jc w:val="center"/>
    </w:pPr>
    <w:rPr>
      <w:rFonts w:eastAsia="黑体"/>
      <w:sz w:val="24"/>
      <w:szCs w:val="20"/>
    </w:rPr>
  </w:style>
  <w:style w:type="paragraph" w:styleId="7">
    <w:name w:val="annotation text"/>
    <w:basedOn w:val="1"/>
    <w:link w:val="38"/>
    <w:semiHidden/>
    <w:qFormat/>
    <w:uiPriority w:val="0"/>
    <w:pPr>
      <w:jc w:val="left"/>
    </w:pPr>
    <w:rPr>
      <w:kern w:val="0"/>
      <w:sz w:val="24"/>
      <w:szCs w:val="20"/>
    </w:rPr>
  </w:style>
  <w:style w:type="paragraph" w:styleId="8">
    <w:name w:val="Salutation"/>
    <w:basedOn w:val="1"/>
    <w:next w:val="1"/>
    <w:unhideWhenUsed/>
    <w:qFormat/>
    <w:locked/>
    <w:uiPriority w:val="99"/>
  </w:style>
  <w:style w:type="paragraph" w:styleId="9">
    <w:name w:val="Body Text"/>
    <w:basedOn w:val="1"/>
    <w:next w:val="10"/>
    <w:link w:val="39"/>
    <w:qFormat/>
    <w:uiPriority w:val="0"/>
    <w:pPr>
      <w:widowControl/>
      <w:snapToGrid w:val="0"/>
      <w:spacing w:before="60" w:after="160" w:line="259" w:lineRule="auto"/>
      <w:ind w:right="113"/>
    </w:pPr>
    <w:rPr>
      <w:kern w:val="0"/>
      <w:sz w:val="18"/>
      <w:szCs w:val="20"/>
    </w:rPr>
  </w:style>
  <w:style w:type="paragraph" w:customStyle="1" w:styleId="10">
    <w:name w:val="xl27"/>
    <w:basedOn w:val="1"/>
    <w:qFormat/>
    <w:uiPriority w:val="0"/>
    <w:pPr>
      <w:widowControl/>
      <w:pBdr>
        <w:bottom w:val="single" w:color="auto" w:sz="12" w:space="0"/>
      </w:pBdr>
      <w:spacing w:before="100" w:beforeLines="0" w:after="100" w:afterLines="0"/>
      <w:jc w:val="center"/>
    </w:pPr>
    <w:rPr>
      <w:rFonts w:ascii="宋体" w:hAnsi="宋体"/>
      <w:kern w:val="0"/>
      <w:szCs w:val="20"/>
    </w:rPr>
  </w:style>
  <w:style w:type="paragraph" w:styleId="11">
    <w:name w:val="Body Text Indent"/>
    <w:basedOn w:val="1"/>
    <w:next w:val="9"/>
    <w:link w:val="40"/>
    <w:qFormat/>
    <w:uiPriority w:val="0"/>
    <w:pPr>
      <w:spacing w:after="120"/>
      <w:ind w:left="420" w:leftChars="200"/>
    </w:pPr>
    <w:rPr>
      <w:kern w:val="0"/>
      <w:sz w:val="24"/>
      <w:szCs w:val="20"/>
    </w:rPr>
  </w:style>
  <w:style w:type="paragraph" w:styleId="12">
    <w:name w:val="List Continue"/>
    <w:basedOn w:val="1"/>
    <w:next w:val="9"/>
    <w:qFormat/>
    <w:locked/>
    <w:uiPriority w:val="0"/>
    <w:pPr>
      <w:widowControl/>
      <w:autoSpaceDE/>
      <w:autoSpaceDN/>
      <w:spacing w:before="280" w:after="280"/>
      <w:ind w:firstLine="3584"/>
    </w:pPr>
    <w:rPr>
      <w:rFonts w:ascii="Calibri" w:hAnsi="Calibri" w:eastAsia="宋体" w:cs="Times New Roman"/>
    </w:rPr>
  </w:style>
  <w:style w:type="paragraph" w:styleId="13">
    <w:name w:val="Plain Text"/>
    <w:basedOn w:val="1"/>
    <w:qFormat/>
    <w:locked/>
    <w:uiPriority w:val="0"/>
    <w:rPr>
      <w:rFonts w:ascii="宋体" w:hAnsi="Courier New"/>
      <w:sz w:val="28"/>
      <w:szCs w:val="20"/>
    </w:rPr>
  </w:style>
  <w:style w:type="paragraph" w:styleId="14">
    <w:name w:val="Date"/>
    <w:basedOn w:val="1"/>
    <w:next w:val="1"/>
    <w:link w:val="41"/>
    <w:qFormat/>
    <w:uiPriority w:val="0"/>
    <w:pPr>
      <w:ind w:left="100" w:leftChars="2500"/>
    </w:pPr>
    <w:rPr>
      <w:kern w:val="0"/>
      <w:sz w:val="24"/>
      <w:szCs w:val="20"/>
    </w:rPr>
  </w:style>
  <w:style w:type="paragraph" w:styleId="15">
    <w:name w:val="Balloon Text"/>
    <w:basedOn w:val="1"/>
    <w:link w:val="42"/>
    <w:semiHidden/>
    <w:qFormat/>
    <w:uiPriority w:val="0"/>
    <w:rPr>
      <w:kern w:val="0"/>
      <w:sz w:val="18"/>
      <w:szCs w:val="20"/>
    </w:rPr>
  </w:style>
  <w:style w:type="paragraph" w:styleId="16">
    <w:name w:val="footer"/>
    <w:basedOn w:val="1"/>
    <w:next w:val="12"/>
    <w:link w:val="43"/>
    <w:qFormat/>
    <w:uiPriority w:val="99"/>
    <w:pPr>
      <w:tabs>
        <w:tab w:val="center" w:pos="4153"/>
        <w:tab w:val="right" w:pos="8306"/>
      </w:tabs>
      <w:snapToGrid w:val="0"/>
      <w:jc w:val="left"/>
    </w:pPr>
    <w:rPr>
      <w:kern w:val="0"/>
      <w:sz w:val="18"/>
      <w:szCs w:val="20"/>
    </w:rPr>
  </w:style>
  <w:style w:type="paragraph" w:styleId="17">
    <w:name w:val="header"/>
    <w:basedOn w:val="1"/>
    <w:link w:val="44"/>
    <w:qFormat/>
    <w:uiPriority w:val="0"/>
    <w:pPr>
      <w:pBdr>
        <w:bottom w:val="single" w:color="auto" w:sz="6" w:space="1"/>
      </w:pBdr>
      <w:tabs>
        <w:tab w:val="center" w:pos="4153"/>
        <w:tab w:val="right" w:pos="8306"/>
      </w:tabs>
      <w:snapToGrid w:val="0"/>
      <w:jc w:val="center"/>
    </w:pPr>
    <w:rPr>
      <w:kern w:val="0"/>
      <w:sz w:val="18"/>
      <w:szCs w:val="20"/>
    </w:rPr>
  </w:style>
  <w:style w:type="paragraph" w:styleId="18">
    <w:name w:val="toc 1"/>
    <w:basedOn w:val="1"/>
    <w:next w:val="1"/>
    <w:qFormat/>
    <w:locked/>
    <w:uiPriority w:val="39"/>
    <w:pPr>
      <w:spacing w:before="120" w:after="120"/>
      <w:jc w:val="left"/>
    </w:pPr>
    <w:rPr>
      <w:b/>
      <w:bCs/>
      <w:caps/>
      <w:sz w:val="20"/>
    </w:rPr>
  </w:style>
  <w:style w:type="paragraph" w:styleId="19">
    <w:name w:val="Body Text 2"/>
    <w:basedOn w:val="1"/>
    <w:next w:val="16"/>
    <w:qFormat/>
    <w:locked/>
    <w:uiPriority w:val="0"/>
    <w:pPr>
      <w:spacing w:line="312" w:lineRule="auto"/>
    </w:pPr>
    <w:rPr>
      <w:rFonts w:ascii="宋体"/>
      <w:sz w:val="28"/>
      <w:szCs w:val="20"/>
    </w:rPr>
  </w:style>
  <w:style w:type="paragraph" w:styleId="20">
    <w:name w:val="Normal (Web)"/>
    <w:basedOn w:val="1"/>
    <w:link w:val="45"/>
    <w:qFormat/>
    <w:uiPriority w:val="99"/>
    <w:pPr>
      <w:widowControl/>
      <w:spacing w:before="100" w:beforeAutospacing="1" w:after="100" w:afterAutospacing="1"/>
      <w:jc w:val="left"/>
    </w:pPr>
    <w:rPr>
      <w:rFonts w:ascii="宋体" w:hAnsi="宋体"/>
      <w:kern w:val="0"/>
      <w:sz w:val="24"/>
      <w:szCs w:val="20"/>
    </w:rPr>
  </w:style>
  <w:style w:type="paragraph" w:styleId="21">
    <w:name w:val="Title"/>
    <w:basedOn w:val="1"/>
    <w:qFormat/>
    <w:locked/>
    <w:uiPriority w:val="0"/>
    <w:pPr>
      <w:spacing w:before="240" w:beforeLines="0" w:beforeAutospacing="0" w:after="60" w:afterLines="0" w:afterAutospacing="0"/>
      <w:jc w:val="center"/>
      <w:outlineLvl w:val="0"/>
    </w:pPr>
    <w:rPr>
      <w:rFonts w:ascii="Arial" w:hAnsi="Arial"/>
      <w:b/>
      <w:sz w:val="32"/>
    </w:rPr>
  </w:style>
  <w:style w:type="paragraph" w:styleId="22">
    <w:name w:val="annotation subject"/>
    <w:basedOn w:val="7"/>
    <w:next w:val="7"/>
    <w:link w:val="46"/>
    <w:semiHidden/>
    <w:qFormat/>
    <w:uiPriority w:val="0"/>
    <w:rPr>
      <w:b/>
      <w:sz w:val="24"/>
      <w:szCs w:val="20"/>
    </w:rPr>
  </w:style>
  <w:style w:type="paragraph" w:styleId="23">
    <w:name w:val="Body Text First Indent"/>
    <w:basedOn w:val="9"/>
    <w:next w:val="24"/>
    <w:qFormat/>
    <w:locked/>
    <w:uiPriority w:val="0"/>
    <w:pPr>
      <w:ind w:firstLine="420" w:firstLineChars="100"/>
    </w:pPr>
    <w:rPr>
      <w:szCs w:val="24"/>
    </w:rPr>
  </w:style>
  <w:style w:type="paragraph" w:styleId="24">
    <w:name w:val="Body Text First Indent 2"/>
    <w:basedOn w:val="11"/>
    <w:next w:val="1"/>
    <w:qFormat/>
    <w:locked/>
    <w:uiPriority w:val="0"/>
    <w:pPr>
      <w:tabs>
        <w:tab w:val="left" w:pos="210"/>
      </w:tabs>
      <w:spacing w:after="120"/>
      <w:ind w:left="420" w:leftChars="200" w:firstLine="420"/>
    </w:pPr>
    <w:rPr>
      <w:rFonts w:ascii="Times New Roman" w:hAnsi="Times New Roman" w:eastAsia="宋体"/>
    </w:rPr>
  </w:style>
  <w:style w:type="table" w:styleId="26">
    <w:name w:val="Table Grid"/>
    <w:basedOn w:val="25"/>
    <w:qFormat/>
    <w:uiPriority w:val="0"/>
    <w:rPr>
      <w:lang w:val="en-US" w:eastAsia="zh-CN" w:bidi="ar-SA"/>
    </w:rPr>
    <w:tblPr>
      <w:tblBorders>
        <w:top w:val="single" w:color="auto" w:sz="12" w:space="0"/>
        <w:bottom w:val="single" w:color="auto" w:sz="12" w:space="0"/>
        <w:insideH w:val="single" w:color="auto" w:sz="6" w:space="0"/>
        <w:insideV w:val="single" w:color="auto" w:sz="6" w:space="0"/>
      </w:tblBorders>
    </w:tblPr>
  </w:style>
  <w:style w:type="character" w:styleId="28">
    <w:name w:val="Strong"/>
    <w:basedOn w:val="27"/>
    <w:qFormat/>
    <w:locked/>
    <w:uiPriority w:val="0"/>
    <w:rPr>
      <w:b/>
    </w:rPr>
  </w:style>
  <w:style w:type="character" w:styleId="29">
    <w:name w:val="page number"/>
    <w:qFormat/>
    <w:locked/>
    <w:uiPriority w:val="0"/>
  </w:style>
  <w:style w:type="character" w:styleId="30">
    <w:name w:val="FollowedHyperlink"/>
    <w:basedOn w:val="27"/>
    <w:qFormat/>
    <w:locked/>
    <w:uiPriority w:val="0"/>
    <w:rPr>
      <w:color w:val="800080"/>
      <w:u w:val="none"/>
    </w:rPr>
  </w:style>
  <w:style w:type="character" w:styleId="31">
    <w:name w:val="Emphasis"/>
    <w:basedOn w:val="27"/>
    <w:qFormat/>
    <w:locked/>
    <w:uiPriority w:val="0"/>
    <w:rPr>
      <w:i/>
    </w:rPr>
  </w:style>
  <w:style w:type="character" w:styleId="32">
    <w:name w:val="HTML Typewriter"/>
    <w:basedOn w:val="27"/>
    <w:qFormat/>
    <w:locked/>
    <w:uiPriority w:val="0"/>
    <w:rPr>
      <w:color w:val="333333"/>
      <w:sz w:val="24"/>
      <w:szCs w:val="24"/>
    </w:rPr>
  </w:style>
  <w:style w:type="character" w:styleId="33">
    <w:name w:val="Hyperlink"/>
    <w:qFormat/>
    <w:locked/>
    <w:uiPriority w:val="0"/>
    <w:rPr>
      <w:color w:val="0563C1"/>
      <w:u w:val="single"/>
    </w:rPr>
  </w:style>
  <w:style w:type="character" w:styleId="34">
    <w:name w:val="annotation reference"/>
    <w:semiHidden/>
    <w:qFormat/>
    <w:uiPriority w:val="0"/>
    <w:rPr>
      <w:sz w:val="21"/>
    </w:rPr>
  </w:style>
  <w:style w:type="character" w:customStyle="1" w:styleId="35">
    <w:name w:val="标题 2 Char"/>
    <w:link w:val="3"/>
    <w:semiHidden/>
    <w:qFormat/>
    <w:uiPriority w:val="0"/>
    <w:rPr>
      <w:rFonts w:ascii="Calibri Light" w:hAnsi="Calibri Light" w:eastAsia="宋体" w:cs="Times New Roman"/>
      <w:b/>
      <w:bCs/>
      <w:kern w:val="2"/>
      <w:sz w:val="32"/>
      <w:szCs w:val="32"/>
    </w:rPr>
  </w:style>
  <w:style w:type="character" w:customStyle="1" w:styleId="36">
    <w:name w:val="标题 4 Char"/>
    <w:link w:val="4"/>
    <w:semiHidden/>
    <w:qFormat/>
    <w:uiPriority w:val="0"/>
    <w:rPr>
      <w:rFonts w:ascii="Calibri Light" w:hAnsi="Calibri Light" w:eastAsia="宋体" w:cs="Times New Roman"/>
      <w:b/>
      <w:bCs/>
      <w:kern w:val="2"/>
      <w:sz w:val="28"/>
      <w:szCs w:val="28"/>
    </w:rPr>
  </w:style>
  <w:style w:type="character" w:customStyle="1" w:styleId="37">
    <w:name w:val="题注 Char"/>
    <w:link w:val="6"/>
    <w:qFormat/>
    <w:locked/>
    <w:uiPriority w:val="35"/>
    <w:rPr>
      <w:rFonts w:eastAsia="黑体"/>
      <w:kern w:val="2"/>
      <w:sz w:val="24"/>
    </w:rPr>
  </w:style>
  <w:style w:type="character" w:customStyle="1" w:styleId="38">
    <w:name w:val="批注文字 Char"/>
    <w:link w:val="7"/>
    <w:qFormat/>
    <w:locked/>
    <w:uiPriority w:val="0"/>
    <w:rPr>
      <w:rFonts w:ascii="Times New Roman" w:hAnsi="Times New Roman" w:eastAsia="宋体"/>
      <w:sz w:val="24"/>
    </w:rPr>
  </w:style>
  <w:style w:type="character" w:customStyle="1" w:styleId="39">
    <w:name w:val="正文文本 Char"/>
    <w:link w:val="9"/>
    <w:qFormat/>
    <w:locked/>
    <w:uiPriority w:val="0"/>
    <w:rPr>
      <w:sz w:val="18"/>
    </w:rPr>
  </w:style>
  <w:style w:type="character" w:customStyle="1" w:styleId="40">
    <w:name w:val="正文文本缩进 Char"/>
    <w:link w:val="11"/>
    <w:semiHidden/>
    <w:qFormat/>
    <w:locked/>
    <w:uiPriority w:val="0"/>
    <w:rPr>
      <w:rFonts w:ascii="Times New Roman" w:hAnsi="Times New Roman" w:eastAsia="宋体"/>
      <w:sz w:val="24"/>
    </w:rPr>
  </w:style>
  <w:style w:type="character" w:customStyle="1" w:styleId="41">
    <w:name w:val="日期 Char"/>
    <w:link w:val="14"/>
    <w:qFormat/>
    <w:locked/>
    <w:uiPriority w:val="0"/>
    <w:rPr>
      <w:rFonts w:ascii="Times New Roman" w:hAnsi="Times New Roman" w:eastAsia="宋体"/>
      <w:sz w:val="24"/>
    </w:rPr>
  </w:style>
  <w:style w:type="character" w:customStyle="1" w:styleId="42">
    <w:name w:val="批注框文本 Char"/>
    <w:link w:val="15"/>
    <w:semiHidden/>
    <w:qFormat/>
    <w:locked/>
    <w:uiPriority w:val="0"/>
    <w:rPr>
      <w:rFonts w:ascii="Times New Roman" w:hAnsi="Times New Roman" w:eastAsia="宋体"/>
      <w:sz w:val="18"/>
    </w:rPr>
  </w:style>
  <w:style w:type="character" w:customStyle="1" w:styleId="43">
    <w:name w:val="页脚 Char"/>
    <w:link w:val="16"/>
    <w:qFormat/>
    <w:locked/>
    <w:uiPriority w:val="99"/>
    <w:rPr>
      <w:sz w:val="18"/>
    </w:rPr>
  </w:style>
  <w:style w:type="character" w:customStyle="1" w:styleId="44">
    <w:name w:val="页眉 Char"/>
    <w:link w:val="17"/>
    <w:qFormat/>
    <w:locked/>
    <w:uiPriority w:val="0"/>
    <w:rPr>
      <w:sz w:val="18"/>
    </w:rPr>
  </w:style>
  <w:style w:type="character" w:customStyle="1" w:styleId="45">
    <w:name w:val="普通(网站) Char"/>
    <w:link w:val="20"/>
    <w:qFormat/>
    <w:locked/>
    <w:uiPriority w:val="0"/>
    <w:rPr>
      <w:rFonts w:ascii="宋体" w:hAnsi="宋体" w:eastAsia="宋体"/>
      <w:sz w:val="24"/>
    </w:rPr>
  </w:style>
  <w:style w:type="character" w:customStyle="1" w:styleId="46">
    <w:name w:val="批注主题 Char"/>
    <w:link w:val="22"/>
    <w:semiHidden/>
    <w:qFormat/>
    <w:locked/>
    <w:uiPriority w:val="0"/>
    <w:rPr>
      <w:rFonts w:ascii="Times New Roman" w:hAnsi="Times New Roman" w:eastAsia="宋体"/>
      <w:b/>
      <w:kern w:val="2"/>
      <w:sz w:val="24"/>
    </w:rPr>
  </w:style>
  <w:style w:type="character" w:customStyle="1" w:styleId="47">
    <w:name w:val="页脚 字符"/>
    <w:qFormat/>
    <w:uiPriority w:val="99"/>
  </w:style>
  <w:style w:type="character" w:customStyle="1" w:styleId="48">
    <w:name w:val="正文文本 字符1"/>
    <w:semiHidden/>
    <w:qFormat/>
    <w:uiPriority w:val="0"/>
    <w:rPr>
      <w:rFonts w:ascii="Times New Roman" w:hAnsi="Times New Roman" w:eastAsia="宋体"/>
      <w:sz w:val="24"/>
    </w:rPr>
  </w:style>
  <w:style w:type="character" w:customStyle="1" w:styleId="49">
    <w:name w:val="表格字体 Char"/>
    <w:link w:val="50"/>
    <w:qFormat/>
    <w:locked/>
    <w:uiPriority w:val="0"/>
    <w:rPr>
      <w:color w:val="000000"/>
      <w:kern w:val="2"/>
      <w:sz w:val="21"/>
    </w:rPr>
  </w:style>
  <w:style w:type="paragraph" w:customStyle="1" w:styleId="50">
    <w:name w:val="表格字体"/>
    <w:basedOn w:val="1"/>
    <w:link w:val="49"/>
    <w:qFormat/>
    <w:uiPriority w:val="0"/>
    <w:pPr>
      <w:adjustRightInd w:val="0"/>
      <w:spacing w:line="320" w:lineRule="exact"/>
      <w:ind w:firstLine="0" w:firstLineChars="0"/>
      <w:jc w:val="center"/>
    </w:pPr>
    <w:rPr>
      <w:color w:val="000000"/>
      <w:sz w:val="21"/>
      <w:szCs w:val="20"/>
    </w:rPr>
  </w:style>
  <w:style w:type="character" w:customStyle="1" w:styleId="51">
    <w:name w:val="日期 字符"/>
    <w:semiHidden/>
    <w:qFormat/>
    <w:uiPriority w:val="0"/>
    <w:rPr>
      <w:rFonts w:ascii="Times New Roman" w:hAnsi="Times New Roman" w:eastAsia="宋体"/>
      <w:sz w:val="24"/>
    </w:rPr>
  </w:style>
  <w:style w:type="character" w:customStyle="1" w:styleId="52">
    <w:name w:val="表格 Char"/>
    <w:link w:val="53"/>
    <w:qFormat/>
    <w:locked/>
    <w:uiPriority w:val="0"/>
    <w:rPr>
      <w:rFonts w:ascii="宋体"/>
      <w:sz w:val="21"/>
    </w:rPr>
  </w:style>
  <w:style w:type="paragraph" w:customStyle="1" w:styleId="53">
    <w:name w:val="表格"/>
    <w:basedOn w:val="5"/>
    <w:link w:val="52"/>
    <w:qFormat/>
    <w:uiPriority w:val="0"/>
    <w:pPr>
      <w:adjustRightInd w:val="0"/>
      <w:snapToGrid w:val="0"/>
      <w:spacing w:beforeLines="10" w:afterLines="10" w:line="259" w:lineRule="auto"/>
      <w:jc w:val="center"/>
    </w:pPr>
    <w:rPr>
      <w:rFonts w:ascii="宋体"/>
      <w:kern w:val="0"/>
      <w:szCs w:val="20"/>
    </w:rPr>
  </w:style>
  <w:style w:type="character" w:customStyle="1" w:styleId="54">
    <w:name w:val="批注文字 字符1"/>
    <w:semiHidden/>
    <w:qFormat/>
    <w:uiPriority w:val="0"/>
    <w:rPr>
      <w:rFonts w:ascii="Times New Roman" w:hAnsi="Times New Roman" w:eastAsia="宋体"/>
      <w:sz w:val="24"/>
    </w:rPr>
  </w:style>
  <w:style w:type="character" w:customStyle="1" w:styleId="55">
    <w:name w:val="curr"/>
    <w:basedOn w:val="27"/>
    <w:qFormat/>
    <w:uiPriority w:val="0"/>
    <w:rPr>
      <w:rFonts w:ascii="Arial" w:hAnsi="Arial" w:cs="Arial"/>
      <w:color w:val="FFFFFF"/>
      <w:sz w:val="21"/>
      <w:szCs w:val="21"/>
      <w:u w:val="none"/>
      <w:bdr w:val="single" w:color="E52123" w:sz="6" w:space="0"/>
      <w:shd w:val="clear" w:color="auto" w:fill="E52123"/>
    </w:rPr>
  </w:style>
  <w:style w:type="character" w:customStyle="1" w:styleId="56">
    <w:name w:val="我的表格内容 Char"/>
    <w:link w:val="57"/>
    <w:qFormat/>
    <w:uiPriority w:val="0"/>
    <w:rPr>
      <w:kern w:val="2"/>
      <w:sz w:val="21"/>
      <w:szCs w:val="24"/>
    </w:rPr>
  </w:style>
  <w:style w:type="paragraph" w:customStyle="1" w:styleId="57">
    <w:name w:val="我的表格内容"/>
    <w:basedOn w:val="1"/>
    <w:link w:val="56"/>
    <w:qFormat/>
    <w:uiPriority w:val="0"/>
    <w:pPr>
      <w:spacing w:line="280" w:lineRule="exact"/>
      <w:ind w:firstLine="0" w:firstLineChars="0"/>
      <w:jc w:val="center"/>
    </w:pPr>
    <w:rPr>
      <w:sz w:val="21"/>
    </w:rPr>
  </w:style>
  <w:style w:type="character" w:customStyle="1" w:styleId="58">
    <w:name w:val="表头 Char"/>
    <w:link w:val="59"/>
    <w:qFormat/>
    <w:uiPriority w:val="0"/>
    <w:rPr>
      <w:rFonts w:ascii="黑体" w:hAnsi="黑体" w:eastAsia="黑体"/>
      <w:kern w:val="2"/>
      <w:sz w:val="24"/>
      <w:szCs w:val="24"/>
    </w:rPr>
  </w:style>
  <w:style w:type="paragraph" w:customStyle="1" w:styleId="59">
    <w:name w:val="表头"/>
    <w:basedOn w:val="1"/>
    <w:link w:val="58"/>
    <w:qFormat/>
    <w:uiPriority w:val="0"/>
    <w:pPr>
      <w:spacing w:line="360" w:lineRule="auto"/>
      <w:jc w:val="center"/>
    </w:pPr>
    <w:rPr>
      <w:rFonts w:ascii="黑体" w:hAnsi="黑体" w:eastAsia="黑体"/>
      <w:sz w:val="24"/>
    </w:rPr>
  </w:style>
  <w:style w:type="paragraph" w:customStyle="1" w:styleId="60">
    <w:name w:val="lh-正文-报告表"/>
    <w:basedOn w:val="1"/>
    <w:qFormat/>
    <w:uiPriority w:val="0"/>
    <w:pPr>
      <w:ind w:firstLine="480"/>
    </w:pPr>
    <w:rPr>
      <w:kern w:val="0"/>
    </w:rPr>
  </w:style>
  <w:style w:type="paragraph" w:customStyle="1" w:styleId="61">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62">
    <w:name w:val="Normal"/>
    <w:qFormat/>
    <w:uiPriority w:val="0"/>
    <w:pPr>
      <w:jc w:val="both"/>
    </w:pPr>
    <w:rPr>
      <w:rFonts w:ascii="等线" w:hAnsi="等线" w:eastAsia="宋体" w:cs="宋体"/>
      <w:kern w:val="2"/>
      <w:sz w:val="21"/>
      <w:szCs w:val="21"/>
      <w:lang w:val="en-US" w:eastAsia="zh-CN" w:bidi="ar-SA"/>
    </w:rPr>
  </w:style>
  <w:style w:type="paragraph" w:customStyle="1" w:styleId="63">
    <w:name w:val="Char"/>
    <w:basedOn w:val="1"/>
    <w:qFormat/>
    <w:uiPriority w:val="0"/>
    <w:pPr>
      <w:adjustRightInd w:val="0"/>
      <w:snapToGrid w:val="0"/>
    </w:pPr>
  </w:style>
  <w:style w:type="paragraph" w:customStyle="1" w:styleId="64">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5">
    <w:name w:val="报告表表格文字"/>
    <w:basedOn w:val="1"/>
    <w:qFormat/>
    <w:uiPriority w:val="0"/>
    <w:pPr>
      <w:autoSpaceDE w:val="0"/>
      <w:autoSpaceDN w:val="0"/>
      <w:adjustRightInd w:val="0"/>
      <w:snapToGrid w:val="0"/>
      <w:spacing w:line="360" w:lineRule="exact"/>
      <w:jc w:val="center"/>
    </w:pPr>
    <w:rPr>
      <w:rFonts w:ascii="Times New Roman" w:hAnsi="Times New Roman" w:eastAsia="宋体" w:cs="Times New Roman"/>
      <w:color w:val="000000"/>
      <w:kern w:val="0"/>
      <w:sz w:val="28"/>
      <w:szCs w:val="21"/>
    </w:rPr>
  </w:style>
  <w:style w:type="paragraph" w:customStyle="1" w:styleId="66">
    <w:name w:val="表格内容"/>
    <w:basedOn w:val="1"/>
    <w:qFormat/>
    <w:uiPriority w:val="0"/>
    <w:pPr>
      <w:overflowPunct w:val="0"/>
      <w:adjustRightInd w:val="0"/>
      <w:snapToGrid w:val="0"/>
      <w:spacing w:line="320" w:lineRule="exact"/>
      <w:ind w:firstLine="0" w:firstLineChars="0"/>
      <w:jc w:val="center"/>
      <w:textAlignment w:val="baseline"/>
    </w:pPr>
    <w:rPr>
      <w:kern w:val="0"/>
      <w:sz w:val="21"/>
      <w:szCs w:val="21"/>
    </w:rPr>
  </w:style>
  <w:style w:type="paragraph" w:customStyle="1" w:styleId="67">
    <w:name w:val="Table Paragraph"/>
    <w:basedOn w:val="1"/>
    <w:qFormat/>
    <w:uiPriority w:val="1"/>
    <w:pPr>
      <w:autoSpaceDE w:val="0"/>
      <w:autoSpaceDN w:val="0"/>
      <w:adjustRightInd w:val="0"/>
      <w:spacing w:line="240" w:lineRule="auto"/>
      <w:ind w:firstLine="0" w:firstLineChars="0"/>
      <w:jc w:val="left"/>
    </w:pPr>
    <w:rPr>
      <w:rFonts w:ascii="Calibri" w:hAnsi="Calibri"/>
      <w:kern w:val="0"/>
    </w:rPr>
  </w:style>
  <w:style w:type="paragraph" w:customStyle="1" w:styleId="68">
    <w:name w:val="正文缩进1"/>
    <w:basedOn w:val="1"/>
    <w:qFormat/>
    <w:uiPriority w:val="0"/>
    <w:rPr>
      <w:sz w:val="28"/>
    </w:rPr>
  </w:style>
  <w:style w:type="paragraph" w:customStyle="1" w:styleId="69">
    <w:name w:val="正文1"/>
    <w:basedOn w:val="1"/>
    <w:qFormat/>
    <w:uiPriority w:val="0"/>
    <w:pPr>
      <w:jc w:val="center"/>
    </w:pPr>
    <w:rPr>
      <w:szCs w:val="21"/>
    </w:rPr>
  </w:style>
  <w:style w:type="paragraph" w:customStyle="1" w:styleId="70">
    <w:name w:val="段落"/>
    <w:basedOn w:val="13"/>
    <w:qFormat/>
    <w:uiPriority w:val="0"/>
    <w:pPr>
      <w:spacing w:line="500" w:lineRule="exact"/>
      <w:ind w:firstLine="578"/>
    </w:pPr>
    <w:rPr>
      <w:rFonts w:ascii="Times New Roman" w:hAnsi="Times New Roman"/>
    </w:rPr>
  </w:style>
  <w:style w:type="paragraph" w:customStyle="1" w:styleId="71">
    <w:name w:val="Default"/>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72">
    <w:name w:val="报告书表格表头"/>
    <w:basedOn w:val="1"/>
    <w:qFormat/>
    <w:uiPriority w:val="0"/>
    <w:pPr>
      <w:adjustRightInd w:val="0"/>
      <w:snapToGrid w:val="0"/>
      <w:spacing w:line="520" w:lineRule="exact"/>
      <w:ind w:firstLine="200" w:firstLineChars="200"/>
    </w:pPr>
    <w:rPr>
      <w:rFonts w:ascii="Times New Roman" w:hAnsi="Times New Roman" w:eastAsia="黑体" w:cs="Times New Roman"/>
      <w:color w:val="000000"/>
      <w:sz w:val="24"/>
      <w:szCs w:val="22"/>
    </w:rPr>
  </w:style>
  <w:style w:type="paragraph" w:customStyle="1" w:styleId="73">
    <w:name w:val="表内 定"/>
    <w:basedOn w:val="1"/>
    <w:qFormat/>
    <w:uiPriority w:val="0"/>
    <w:rPr>
      <w:rFonts w:cs="Times New Roman"/>
      <w:color w:val="000000"/>
    </w:rPr>
  </w:style>
  <w:style w:type="paragraph" w:customStyle="1" w:styleId="74">
    <w:name w:val="表内"/>
    <w:basedOn w:val="1"/>
    <w:qFormat/>
    <w:uiPriority w:val="99"/>
    <w:pPr>
      <w:framePr w:hSpace="180" w:wrap="around" w:vAnchor="page" w:hAnchor="margin" w:y="1411"/>
      <w:widowControl/>
      <w:jc w:val="both"/>
    </w:pPr>
    <w:rPr>
      <w:rFonts w:ascii="宋体" w:hAnsi="宋体" w:cs="Times New Roman"/>
      <w:snapToGrid/>
      <w:szCs w:val="20"/>
    </w:rPr>
  </w:style>
  <w:style w:type="paragraph" w:customStyle="1" w:styleId="75">
    <w:name w:val="列表段落"/>
    <w:basedOn w:val="1"/>
    <w:qFormat/>
    <w:uiPriority w:val="34"/>
    <w:pPr>
      <w:ind w:firstLine="420" w:firstLineChars="200"/>
    </w:pPr>
    <w:rPr>
      <w:rFonts w:ascii="等线" w:hAnsi="等线" w:eastAsia="等线"/>
      <w:szCs w:val="22"/>
    </w:rPr>
  </w:style>
  <w:style w:type="paragraph" w:customStyle="1" w:styleId="76">
    <w:name w:val="赵正文"/>
    <w:basedOn w:val="1"/>
    <w:qFormat/>
    <w:uiPriority w:val="0"/>
    <w:pPr>
      <w:spacing w:line="520" w:lineRule="exact"/>
      <w:ind w:firstLine="640" w:firstLineChars="200"/>
    </w:pPr>
    <w:rPr>
      <w:color w:val="auto"/>
      <w:kern w:val="0"/>
      <w:sz w:val="24"/>
    </w:rPr>
  </w:style>
  <w:style w:type="paragraph" w:customStyle="1" w:styleId="77">
    <w:name w:val="xry表格文字"/>
    <w:basedOn w:val="1"/>
    <w:qFormat/>
    <w:uiPriority w:val="0"/>
    <w:pPr>
      <w:jc w:val="center"/>
    </w:pPr>
    <w:rPr>
      <w:kern w:val="0"/>
      <w:sz w:val="20"/>
      <w:lang w:val="zh-CN"/>
    </w:rPr>
  </w:style>
  <w:style w:type="paragraph" w:customStyle="1" w:styleId="78">
    <w:name w:val="0正文"/>
    <w:unhideWhenUsed/>
    <w:qFormat/>
    <w:uiPriority w:val="0"/>
    <w:pPr>
      <w:widowControl w:val="0"/>
      <w:spacing w:line="360" w:lineRule="auto"/>
      <w:ind w:firstLine="720" w:firstLineChars="200"/>
    </w:pPr>
    <w:rPr>
      <w:rFonts w:ascii="Calibri" w:hAnsi="Calibri" w:eastAsia="宋体" w:cs="Times New Roman"/>
      <w:sz w:val="24"/>
      <w:szCs w:val="22"/>
      <w:lang w:val="en-US" w:eastAsia="zh-CN" w:bidi="ar-SA"/>
    </w:rPr>
  </w:style>
  <w:style w:type="paragraph" w:customStyle="1" w:styleId="79">
    <w:name w:val="表内文字 居中"/>
    <w:basedOn w:val="1"/>
    <w:qFormat/>
    <w:uiPriority w:val="0"/>
    <w:pPr>
      <w:autoSpaceDE w:val="0"/>
      <w:autoSpaceDN w:val="0"/>
      <w:adjustRightInd w:val="0"/>
      <w:snapToGrid w:val="0"/>
      <w:spacing w:line="240" w:lineRule="auto"/>
      <w:ind w:firstLine="0" w:firstLineChars="0"/>
      <w:jc w:val="center"/>
    </w:pPr>
    <w:rPr>
      <w:color w:val="000000"/>
      <w:kern w:val="0"/>
      <w:sz w:val="21"/>
      <w:szCs w:val="21"/>
    </w:rPr>
  </w:style>
  <w:style w:type="paragraph" w:customStyle="1" w:styleId="80">
    <w:name w:val="Body text|1"/>
    <w:basedOn w:val="1"/>
    <w:qFormat/>
    <w:uiPriority w:val="0"/>
    <w:pPr>
      <w:widowControl w:val="0"/>
      <w:shd w:val="clear" w:color="auto" w:fill="auto"/>
      <w:spacing w:line="444" w:lineRule="auto"/>
    </w:pPr>
    <w:rPr>
      <w:rFonts w:ascii="宋体" w:hAnsi="宋体" w:eastAsia="宋体" w:cs="宋体"/>
      <w:color w:val="21211E"/>
      <w:u w:val="none"/>
      <w:shd w:val="clear" w:color="auto" w:fill="auto"/>
      <w:lang w:val="zh-TW" w:eastAsia="zh-TW" w:bidi="zh-TW"/>
    </w:rPr>
  </w:style>
  <w:style w:type="paragraph" w:styleId="81">
    <w:name w:val="List Paragraph"/>
    <w:basedOn w:val="1"/>
    <w:qFormat/>
    <w:uiPriority w:val="1"/>
    <w:pPr>
      <w:ind w:firstLine="420" w:firstLineChars="200"/>
    </w:pPr>
  </w:style>
  <w:style w:type="character" w:customStyle="1" w:styleId="82">
    <w:name w:val="font101"/>
    <w:basedOn w:val="27"/>
    <w:qFormat/>
    <w:uiPriority w:val="0"/>
    <w:rPr>
      <w:rFonts w:hint="eastAsia" w:ascii="仿宋" w:hAnsi="仿宋" w:eastAsia="仿宋" w:cs="仿宋"/>
      <w:color w:val="000000"/>
      <w:sz w:val="21"/>
      <w:szCs w:val="21"/>
      <w:u w:val="none"/>
    </w:rPr>
  </w:style>
  <w:style w:type="paragraph" w:customStyle="1" w:styleId="83">
    <w:name w:val="表头 +1行"/>
    <w:basedOn w:val="84"/>
    <w:qFormat/>
    <w:uiPriority w:val="0"/>
    <w:pPr>
      <w:spacing w:before="312"/>
    </w:pPr>
    <w:rPr>
      <w:rFonts w:ascii="Times New Roman" w:hAnsi="Times New Roman" w:cs="宋体"/>
      <w:szCs w:val="20"/>
    </w:rPr>
  </w:style>
  <w:style w:type="paragraph" w:customStyle="1" w:styleId="84">
    <w:name w:val="表头格式"/>
    <w:basedOn w:val="1"/>
    <w:qFormat/>
    <w:uiPriority w:val="0"/>
    <w:pPr>
      <w:adjustRightInd w:val="0"/>
      <w:snapToGrid w:val="0"/>
      <w:spacing w:line="520" w:lineRule="exact"/>
      <w:ind w:firstLine="880"/>
      <w:jc w:val="left"/>
    </w:pPr>
    <w:rPr>
      <w:rFonts w:ascii="Times New Roman" w:hAnsi="Times New Roman" w:eastAsia="黑体" w:cs="Times New Roman"/>
      <w:snapToGrid w:val="0"/>
      <w:kern w:val="0"/>
      <w:sz w:val="28"/>
      <w:szCs w:val="20"/>
    </w:rPr>
  </w:style>
  <w:style w:type="paragraph" w:customStyle="1" w:styleId="85">
    <w:name w:val="表内容"/>
    <w:basedOn w:val="1"/>
    <w:qFormat/>
    <w:uiPriority w:val="0"/>
    <w:pPr>
      <w:autoSpaceDE w:val="0"/>
      <w:autoSpaceDN w:val="0"/>
      <w:jc w:val="center"/>
    </w:pPr>
    <w:rPr>
      <w:rFonts w:ascii="Arial" w:hAnsi="Arial" w:cs="Arial"/>
      <w:sz w:val="21"/>
      <w:szCs w:val="21"/>
    </w:rPr>
  </w:style>
  <w:style w:type="paragraph" w:customStyle="1" w:styleId="86">
    <w:name w:val="五号表格"/>
    <w:basedOn w:val="1"/>
    <w:qFormat/>
    <w:uiPriority w:val="0"/>
    <w:pPr>
      <w:jc w:val="center"/>
    </w:pPr>
    <w:rPr>
      <w:color w:val="auto"/>
      <w:sz w:val="21"/>
    </w:rPr>
  </w:style>
  <w:style w:type="paragraph" w:customStyle="1" w:styleId="87">
    <w:name w:val="环评表格表头"/>
    <w:basedOn w:val="88"/>
    <w:qFormat/>
    <w:uiPriority w:val="0"/>
    <w:pPr>
      <w:tabs>
        <w:tab w:val="left" w:pos="4540"/>
      </w:tabs>
    </w:pPr>
    <w:rPr>
      <w:b/>
    </w:rPr>
  </w:style>
  <w:style w:type="paragraph" w:customStyle="1" w:styleId="88">
    <w:name w:val="环评表格内容居中"/>
    <w:basedOn w:val="1"/>
    <w:qFormat/>
    <w:uiPriority w:val="0"/>
    <w:pPr>
      <w:tabs>
        <w:tab w:val="left" w:pos="4540"/>
      </w:tabs>
      <w:adjustRightInd w:val="0"/>
      <w:snapToGrid w:val="0"/>
      <w:jc w:val="center"/>
    </w:pPr>
    <w:rPr>
      <w:rFonts w:ascii="Times New Roman" w:hAnsi="Times New Roman" w:eastAsia="仿宋_GB2312"/>
      <w:szCs w:val="22"/>
    </w:rPr>
  </w:style>
  <w:style w:type="paragraph" w:customStyle="1" w:styleId="89">
    <w:name w:val="鸿达表格文字"/>
    <w:basedOn w:val="1"/>
    <w:qFormat/>
    <w:uiPriority w:val="0"/>
    <w:pPr>
      <w:contextualSpacing/>
      <w:jc w:val="center"/>
      <w:textAlignment w:val="baseline"/>
    </w:pPr>
    <w:rPr>
      <w:kern w:val="0"/>
      <w:szCs w:val="21"/>
    </w:rPr>
  </w:style>
  <w:style w:type="paragraph" w:customStyle="1" w:styleId="90">
    <w:name w:val="表格居中文字"/>
    <w:basedOn w:val="1"/>
    <w:next w:val="1"/>
    <w:qFormat/>
    <w:uiPriority w:val="0"/>
    <w:pPr>
      <w:adjustRightInd w:val="0"/>
      <w:snapToGrid w:val="0"/>
      <w:spacing w:line="240" w:lineRule="auto"/>
      <w:ind w:firstLine="0" w:firstLineChars="0"/>
      <w:jc w:val="center"/>
    </w:pPr>
    <w:rPr>
      <w:rFonts w:cs="宋体"/>
      <w:sz w:val="21"/>
      <w:szCs w:val="21"/>
    </w:rPr>
  </w:style>
  <w:style w:type="paragraph" w:customStyle="1" w:styleId="91">
    <w:name w:val="1.正文"/>
    <w:basedOn w:val="1"/>
    <w:qFormat/>
    <w:uiPriority w:val="0"/>
    <w:pPr>
      <w:spacing w:line="460" w:lineRule="exact"/>
      <w:ind w:firstLine="200" w:firstLineChars="200"/>
    </w:pPr>
    <w:rPr>
      <w:rFonts w:cs="宋体"/>
      <w:szCs w:val="20"/>
    </w:rPr>
  </w:style>
  <w:style w:type="character" w:customStyle="1" w:styleId="92">
    <w:name w:val="font31"/>
    <w:basedOn w:val="27"/>
    <w:qFormat/>
    <w:uiPriority w:val="0"/>
    <w:rPr>
      <w:rFonts w:hint="default" w:ascii="Times New Roman" w:hAnsi="Times New Roman" w:cs="Times New Roman"/>
      <w:color w:val="000000"/>
      <w:sz w:val="20"/>
      <w:szCs w:val="20"/>
      <w:u w:val="none"/>
    </w:rPr>
  </w:style>
  <w:style w:type="character" w:customStyle="1" w:styleId="93">
    <w:name w:val="font11"/>
    <w:basedOn w:val="27"/>
    <w:qFormat/>
    <w:uiPriority w:val="0"/>
    <w:rPr>
      <w:rFonts w:hint="eastAsia" w:ascii="宋体" w:hAnsi="宋体" w:eastAsia="宋体" w:cs="宋体"/>
      <w:color w:val="000000"/>
      <w:sz w:val="20"/>
      <w:szCs w:val="20"/>
      <w:u w:val="none"/>
    </w:rPr>
  </w:style>
  <w:style w:type="paragraph" w:customStyle="1" w:styleId="94">
    <w:name w:val="正文样式2"/>
    <w:basedOn w:val="1"/>
    <w:qFormat/>
    <w:uiPriority w:val="0"/>
    <w:pPr>
      <w:spacing w:line="500" w:lineRule="exact"/>
      <w:ind w:firstLine="480" w:firstLineChars="200"/>
    </w:pPr>
    <w:rPr>
      <w:sz w:val="24"/>
      <w:szCs w:val="22"/>
      <w:lang w:val="zh-CN"/>
    </w:rPr>
  </w:style>
  <w:style w:type="paragraph" w:customStyle="1" w:styleId="95">
    <w:name w:val="表格标题"/>
    <w:basedOn w:val="1"/>
    <w:next w:val="1"/>
    <w:qFormat/>
    <w:uiPriority w:val="0"/>
    <w:pPr>
      <w:numPr>
        <w:ilvl w:val="0"/>
        <w:numId w:val="1"/>
      </w:numPr>
      <w:spacing w:beforeLines="50"/>
      <w:jc w:val="center"/>
    </w:pPr>
    <w:rPr>
      <w:b/>
      <w:szCs w:val="22"/>
    </w:rPr>
  </w:style>
  <w:style w:type="paragraph" w:customStyle="1" w:styleId="96">
    <w:name w:val="content5"/>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2.表内居中"/>
    <w:qFormat/>
    <w:uiPriority w:val="0"/>
    <w:pPr>
      <w:jc w:val="center"/>
    </w:pPr>
    <w:rPr>
      <w:rFonts w:ascii="Times New Roman" w:hAnsi="Times New Roman" w:eastAsia="宋体" w:cs="Times New Roman"/>
      <w:bCs/>
      <w:color w:val="000000"/>
      <w:sz w:val="21"/>
      <w:szCs w:val="21"/>
      <w:lang w:val="en-US" w:eastAsia="zh-CN" w:bidi="ar-SA"/>
    </w:rPr>
  </w:style>
  <w:style w:type="paragraph" w:customStyle="1" w:styleId="98">
    <w:name w:val="鸿达表加粗"/>
    <w:basedOn w:val="1"/>
    <w:qFormat/>
    <w:uiPriority w:val="0"/>
    <w:pPr>
      <w:jc w:val="center"/>
    </w:pPr>
    <w:rPr>
      <w:rFonts w:cs="宋体"/>
      <w:b/>
      <w:color w:val="000000"/>
      <w:szCs w:val="20"/>
    </w:rPr>
  </w:style>
  <w:style w:type="paragraph" w:customStyle="1" w:styleId="99">
    <w:name w:val="表格里文字"/>
    <w:basedOn w:val="1"/>
    <w:qFormat/>
    <w:uiPriority w:val="0"/>
    <w:pPr>
      <w:adjustRightInd w:val="0"/>
      <w:snapToGrid w:val="0"/>
      <w:jc w:val="center"/>
    </w:pPr>
    <w:rPr>
      <w:bCs/>
      <w:color w:val="000000"/>
      <w:szCs w:val="21"/>
    </w:rPr>
  </w:style>
  <w:style w:type="paragraph" w:customStyle="1" w:styleId="100">
    <w:name w:val="鸿达表格段落"/>
    <w:basedOn w:val="1"/>
    <w:qFormat/>
    <w:uiPriority w:val="0"/>
    <w:pPr>
      <w:adjustRightInd w:val="0"/>
      <w:snapToGrid w:val="0"/>
      <w:ind w:firstLine="200" w:firstLineChars="200"/>
      <w:jc w:val="left"/>
    </w:pPr>
    <w:rPr>
      <w:snapToGrid w:val="0"/>
      <w:kern w:val="0"/>
    </w:rPr>
  </w:style>
  <w:style w:type="paragraph" w:customStyle="1" w:styleId="101">
    <w:name w:val="表头样式1"/>
    <w:basedOn w:val="1"/>
    <w:qFormat/>
    <w:uiPriority w:val="0"/>
    <w:pPr>
      <w:adjustRightInd w:val="0"/>
      <w:snapToGrid w:val="0"/>
      <w:jc w:val="center"/>
    </w:pPr>
    <w:rPr>
      <w:rFonts w:ascii="Calibri" w:hAnsi="Calibri" w:eastAsia="楷体_GB2312"/>
      <w:bCs/>
      <w:sz w:val="18"/>
      <w:szCs w:val="18"/>
    </w:rPr>
  </w:style>
  <w:style w:type="character" w:customStyle="1" w:styleId="102">
    <w:name w:val="font01"/>
    <w:basedOn w:val="27"/>
    <w:qFormat/>
    <w:uiPriority w:val="0"/>
    <w:rPr>
      <w:rFonts w:hint="default" w:ascii="Times New Roman" w:hAnsi="Times New Roman" w:cs="Times New Roman"/>
      <w:color w:val="000000"/>
      <w:sz w:val="21"/>
      <w:szCs w:val="21"/>
      <w:u w:val="none"/>
      <w:vertAlign w:val="subscript"/>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1" Type="http://schemas.openxmlformats.org/officeDocument/2006/relationships/fontTable" Target="fontTable.xml"/><Relationship Id="rId50" Type="http://schemas.openxmlformats.org/officeDocument/2006/relationships/numbering" Target="numbering.xml"/><Relationship Id="rId5" Type="http://schemas.openxmlformats.org/officeDocument/2006/relationships/header" Target="header1.xml"/><Relationship Id="rId49" Type="http://schemas.openxmlformats.org/officeDocument/2006/relationships/customXml" Target="../customXml/item1.xml"/><Relationship Id="rId48" Type="http://schemas.openxmlformats.org/officeDocument/2006/relationships/image" Target="media/image38.png"/><Relationship Id="rId47" Type="http://schemas.openxmlformats.org/officeDocument/2006/relationships/image" Target="media/image37.png"/><Relationship Id="rId46" Type="http://schemas.openxmlformats.org/officeDocument/2006/relationships/image" Target="media/image36.png"/><Relationship Id="rId45" Type="http://schemas.openxmlformats.org/officeDocument/2006/relationships/image" Target="media/image35.png"/><Relationship Id="rId44" Type="http://schemas.openxmlformats.org/officeDocument/2006/relationships/image" Target="media/image34.png"/><Relationship Id="rId43" Type="http://schemas.openxmlformats.org/officeDocument/2006/relationships/image" Target="media/image33.png"/><Relationship Id="rId42" Type="http://schemas.openxmlformats.org/officeDocument/2006/relationships/image" Target="media/image32.png"/><Relationship Id="rId41" Type="http://schemas.openxmlformats.org/officeDocument/2006/relationships/image" Target="media/image31.png"/><Relationship Id="rId40" Type="http://schemas.openxmlformats.org/officeDocument/2006/relationships/image" Target="media/image30.png"/><Relationship Id="rId4" Type="http://schemas.openxmlformats.org/officeDocument/2006/relationships/endnotes" Target="endnotes.xml"/><Relationship Id="rId39" Type="http://schemas.openxmlformats.org/officeDocument/2006/relationships/image" Target="media/image29.png"/><Relationship Id="rId38" Type="http://schemas.openxmlformats.org/officeDocument/2006/relationships/image" Target="media/image28.png"/><Relationship Id="rId37" Type="http://schemas.openxmlformats.org/officeDocument/2006/relationships/image" Target="media/image27.png"/><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footnotes" Target="footnotes.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emf"/><Relationship Id="rId16" Type="http://schemas.openxmlformats.org/officeDocument/2006/relationships/oleObject" Target="embeddings/oleObject1.bin"/><Relationship Id="rId15" Type="http://schemas.openxmlformats.org/officeDocument/2006/relationships/image" Target="media/image6.png"/><Relationship Id="rId14" Type="http://schemas.openxmlformats.org/officeDocument/2006/relationships/image" Target="media/image5.jpe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93</Pages>
  <Words>39880</Words>
  <Characters>43704</Characters>
  <Lines>357</Lines>
  <Paragraphs>100</Paragraphs>
  <TotalTime>161</TotalTime>
  <ScaleCrop>false</ScaleCrop>
  <LinksUpToDate>false</LinksUpToDate>
  <CharactersWithSpaces>44199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天之蓝环保</cp:lastModifiedBy>
  <cp:lastPrinted>2026-08-18T03:34:00Z</cp:lastPrinted>
  <dcterms:modified xsi:type="dcterms:W3CDTF">2026-08-18T06:30:55Z</dcterms:modified>
  <dc:title>附件2</dc:title>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6607AAD2C32645039A54535B50081DA9_13</vt:lpwstr>
  </property>
  <property fmtid="{D5CDD505-2E9C-101B-9397-08002B2CF9AE}" pid="4" name="KSOTemplateDocerSaveRecord">
    <vt:lpwstr>eyJoZGlkIjoiNzg5OTIwM2ExODBjNjUzMDk0MjE2OGM1ZGJiNDc4YTgiLCJ1c2VySWQiOiI2NzM5MjY1ODUifQ==</vt:lpwstr>
  </property>
</Properties>
</file>